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5.png" ContentType="image/png"/>
  <Override PartName="/word/media/rId31.png" ContentType="image/png"/>
  <Override PartName="/word/media/rId25.png" ContentType="image/png"/>
  <Override PartName="/word/media/rId102.png" ContentType="image/png"/>
  <Override PartName="/word/media/rId86.png" ContentType="image/png"/>
  <Override PartName="/word/media/rId49.png" ContentType="image/png"/>
  <Override PartName="/word/media/rId79.png" ContentType="image/png"/>
  <Override PartName="/word/media/rId92.png" ContentType="image/png"/>
  <Override PartName="/word/media/rId97.png" ContentType="image/png"/>
  <Override PartName="/word/media/rId54.png" ContentType="image/png"/>
  <Override PartName="/word/media/rId74.png" ContentType="image/png"/>
  <Override PartName="/word/media/rId6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Marta Román1¹⁴</w:t>
      </w:r>
    </w:p>
    <w:p>
      <w:pPr>
        <w:pStyle w:val="Author"/>
      </w:pPr>
      <w:r>
        <w:t xml:space="preserve">Pierre Gernez¹</w:t>
      </w:r>
    </w:p>
    <w:p>
      <w:pPr>
        <w:pStyle w:val="Author"/>
      </w:pPr>
      <w:r>
        <w:t xml:space="preserve">Laurent Barillé¹</w:t>
      </w:r>
    </w:p>
    <w:p>
      <w:pPr>
        <w:pStyle w:val="Date"/>
      </w:pPr>
      <w:r>
        <w:t xml:space="preserve">2025-02-19</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w:t>
      </w:r>
      <w:r>
        <w:t xml:space="preserve"> </w:t>
      </w:r>
      <w:r>
        <w:rPr>
          <w:i/>
          <w:iCs/>
        </w:rPr>
        <w:t xml:space="preserve">Zostera noltei</w:t>
      </w:r>
      <w:r>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to assess its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during three days to assess the physiological and structural impacts of extreme thermal stress on their spectral reflectance. The experimental design involved placing seagrass samples in intertidal chambers that simulated natural tidal cycles, allowing to precisely regulate temperature conditions during both high and low tides. One chamber served as a control, maintaining typical seasonal temperatures, while the other was used to simulate heatwave conditions by progressively increasing air and water temperatures to mimic an actual heatwave event observed in the field. Hyperspectral reflectance measurements were recorded at regular intervals during low-tide to monitor changes in the seagrass over time. After two days of heatwave exposure the reflectance decreased significantly, particularly in the green (around 560 nm) and near-infrared (NIR) regions of the spectrum. This decline in reflectance was closely linked to visible leaf browning, suggesting alterations in pigment content, in the internal structure of seagrass leaves and their overall physiological performance. The green reflectance decline indicated a reduction in the plant’s photosynthetic capacity, while changes in NIR reflectance were related to the heat-indiced damage to internal arrangement of cells and air spaces.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in September 2021.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which was consistent with the laboratory experiment. Spatial analysis showed that darkening was especially pronounced in the higher intertidal regions, where seagrasses were exposed to air for longer durations during low tide, underlining the interaction between tidal exposure and thermal stress. Using a Sentinel-2 image acquired one month after the heatwave, SHSI showed partial recovery of darkened patches. Despite this recovery, the seagrasses that had experienced the most severe darkening did not fully return to their original state, indicating that while</w:t>
      </w:r>
      <w:r>
        <w:t xml:space="preserve"> </w:t>
      </w:r>
      <w:r>
        <w:rPr>
          <w:i/>
          <w:iCs/>
        </w:rPr>
        <w:t xml:space="preserve">Z. noltei</w:t>
      </w:r>
      <w:r>
        <w:t xml:space="preserve"> </w:t>
      </w:r>
      <w:r>
        <w:t xml:space="preserve">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captured ecologically significant changes in the physiological performance of</w:t>
      </w:r>
      <w:r>
        <w:t xml:space="preserve"> </w:t>
      </w:r>
      <w:r>
        <w:rPr>
          <w:i/>
          <w:iCs/>
        </w:rPr>
        <w:t xml:space="preserve">Z. noltei</w:t>
      </w:r>
      <w:r>
        <w:t xml:space="preserve">,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(Brun et al., 2003; 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 Zostera marina along the European thermal gradient exhibit varied photophysiological responses during the recovery phase of HWs, indicating differential adaptation capabilities among populations (Winters et al., 2011). High-latitude populations exhibited prolonged declines in photophysiological performance even after temperatures returned to control levels, whereas the low-latitude Adriatic population showed full recovery</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Although extensive research exists on marine heatwaves’ effects on subtidal seagrasses</w:t>
      </w:r>
      <w:r>
        <w:t xml:space="preserve"> </w:t>
      </w:r>
      <w:r>
        <w:t xml:space="preserve">(Arias-Ortiz et al., 2018; Deguette et al., 2022; Strydom et al., 2020)</w:t>
      </w:r>
      <w:r>
        <w:t xml:space="preserve">, less attention has been given to intertidal habitats and even less to the effect of atmospheric extreme events on intertidal seagrass. Nonetheless, recent research showed that the low tide exposure of</w:t>
      </w:r>
      <w:r>
        <w:t xml:space="preserve"> </w:t>
      </w:r>
      <w:r>
        <w:rPr>
          <w:i/>
          <w:iCs/>
        </w:rPr>
        <w:t xml:space="preserve">Zostera noltei</w:t>
      </w:r>
      <w:r>
        <w:t xml:space="preserve"> </w:t>
      </w:r>
      <w:r>
        <w:t xml:space="preserve">to a simulated four-day atmospheric HW caused significant decreases in its photosynthetic efficiency, resulting in leaf necrosis and decay</w:t>
      </w:r>
      <w:r>
        <w:t xml:space="preserve"> </w:t>
      </w:r>
      <w:r>
        <w:t xml:space="preserve">(Román et al., 2023)</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bookmarkEnd w:id="24"/>
    <w:bookmarkStart w:id="67"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These coring device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w:t>
      </w:r>
      <w:hyperlink w:anchor="fig-Profile">
        <w:r>
          <w:rPr>
            <w:rStyle w:val="Hyperlink"/>
          </w:rPr>
          <w:t xml:space="preserve">Figure 2</w:t>
        </w:r>
      </w:hyperlink>
      <w:r>
        <w:t xml:space="preserve">). Field temperature was measured using</w:t>
      </w:r>
      <w:r>
        <w:t xml:space="preserve"> </w:t>
      </w:r>
      <w:r>
        <w:rPr>
          <w:i/>
          <w:iCs/>
        </w:rPr>
        <w:t xml:space="preserve">in situ</w:t>
      </w:r>
      <w:r>
        <w:t xml:space="preserve"> </w:t>
      </w:r>
      <w:r>
        <w:t xml:space="preserve">sensors (T7.3 EnvLoggers from ElectricBlue®) deployed at the sampling site in August 2024. The loggers were positioned along a transect from the upper to the lower intertidal zone, attached to pre-existing wooden poles at the sediment surface.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7.1</w:t>
        </w:r>
      </w:hyperlink>
      <w:r>
        <w:t xml:space="preserve">). The control chamber was kept at temperatures representing typical summer conditions, with water temperatures at 18°C and air temperatures from 19°C to 23°C, following natural daily temperature fluctuations (</w:t>
      </w:r>
      <w:hyperlink w:anchor="fig-Profile">
        <w:r>
          <w:rPr>
            <w:rStyle w:val="Hyperlink"/>
          </w:rPr>
          <w:t xml:space="preserve">Figure 2</w:t>
        </w:r>
      </w:hyperlink>
      <w:r>
        <w:t xml:space="preserve">). In the treatment chamber,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chambers, was repeated three times to obtain replicates (hereafter referred to as</w:t>
      </w:r>
      <w:r>
        <w:t xml:space="preserve"> </w:t>
      </w:r>
      <w:r>
        <w:t xml:space="preserve">“Run”</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p>
    <w:p>
      <w:pPr>
        <w:pStyle w:val="BodyText"/>
      </w:pPr>
      <w:r>
        <w:t xml:space="preserve">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subtracts the reflectance observed at 740 nm to the linearly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and</w:t>
      </w:r>
      <w:r>
        <w:t xml:space="preserve"> </w:t>
      </w:r>
      <m:oMath>
        <m:r>
          <m:t>τ</m:t>
        </m:r>
      </m:oMath>
      <w:r>
        <w:t xml:space="preserve"> </w:t>
      </w:r>
      <w:r>
        <w:t xml:space="preserve">is equal to a contant of 0.64.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5"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2" w:name="temperature-data-and-hw-detection"/>
    <w:p>
      <w:pPr>
        <w:pStyle w:val="Heading3"/>
      </w:pPr>
      <w:r>
        <w:t xml:space="preserve">3.2.1 Temperature data and HW detection</w:t>
      </w:r>
    </w:p>
    <w:bookmarkStart w:id="59" w:name="air-temperature"/>
    <w:p>
      <w:pPr>
        <w:pStyle w:val="Heading4"/>
      </w:pPr>
      <w:r>
        <w:t xml:space="preserve">3.2.1.1 Air temperature</w:t>
      </w:r>
    </w:p>
    <w:p>
      <w:pPr>
        <w:pStyle w:val="FirstParagraph"/>
      </w:pPr>
      <w:r>
        <w:t xml:space="preserve">Hourly air temperature data from 1952 to 2024 (more than 395,000 observation) from a nearby weather station (Lorient-Lann Bihoue, 47°45’46”N 3°26’11”W) was retrieved from Meteo France (https://portail-api.meteofrance.fr).</w:t>
      </w:r>
    </w:p>
    <w:bookmarkEnd w:id="59"/>
    <w:bookmarkStart w:id="60" w:name="water-temperature"/>
    <w:p>
      <w:pPr>
        <w:pStyle w:val="Heading4"/>
      </w:pPr>
      <w:r>
        <w:t xml:space="preserve">3.2.1.2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60"/>
    <w:bookmarkStart w:id="61" w:name="heatwave-detection-and-characterization"/>
    <w:p>
      <w:pPr>
        <w:pStyle w:val="Heading4"/>
      </w:pPr>
      <w:r>
        <w:t xml:space="preserve">3.2.1.3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(i.e. the average temperature of each day of the year since the start of the time serie)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61"/>
    <w:bookmarkEnd w:id="62"/>
    <w:bookmarkStart w:id="63" w:name="satellite-observations"/>
    <w:p>
      <w:pPr>
        <w:pStyle w:val="Heading3"/>
      </w:pPr>
      <w:r>
        <w:t xml:space="preserve">3.2.2 Satellite observations</w:t>
      </w:r>
    </w:p>
    <w:p>
      <w:pPr>
        <w:pStyle w:val="FirstParagraph"/>
      </w:pPr>
      <w:r>
        <w:t xml:space="preserve">Three 2021 Sentinel-2 images of the study site were selected to assess the effect of thecombined AHW and MHW (</w:t>
      </w:r>
      <w:r>
        <w:t xml:space="preserve">“HW event”</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3"/>
    <w:bookmarkStart w:id="64" w:name="emersion-time-of-the-seagrass-meadow"/>
    <w:p>
      <w:pPr>
        <w:pStyle w:val="Heading3"/>
      </w:pPr>
      <w:r>
        <w:t xml:space="preserve">3.2.3 Emersion time of the seagrass meadow</w:t>
      </w:r>
    </w:p>
    <w:p>
      <w:pPr>
        <w:pStyle w:val="FirstParagraph"/>
      </w:pPr>
      <w:r>
        <w:t xml:space="preserve">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“Service Hydrographique et Océanographique de la Marine”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4"/>
    <w:bookmarkEnd w:id="65"/>
    <w:bookmarkStart w:id="66"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6"/>
    <w:bookmarkEnd w:id="67"/>
    <w:bookmarkStart w:id="109" w:name="results"/>
    <w:p>
      <w:pPr>
        <w:pStyle w:val="Heading1"/>
      </w:pPr>
      <w:r>
        <w:t xml:space="preserve">4. Results</w:t>
      </w:r>
    </w:p>
    <w:bookmarkStart w:id="85" w:name="laboratory-experiment-1"/>
    <w:p>
      <w:pPr>
        <w:pStyle w:val="Heading2"/>
      </w:pPr>
      <w:r>
        <w:t xml:space="preserve">4.1 Laboratory Experiment</w:t>
      </w:r>
    </w:p>
    <w:bookmarkStart w:id="73" w:name="heatwave-effect-on-seagrass-reflectance"/>
    <w:p>
      <w:pPr>
        <w:pStyle w:val="Heading3"/>
      </w:pPr>
      <w:r>
        <w:t xml:space="preserve">4.1.1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endChr m:val=")"/>
            <m:sep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endChr m:val=")"/>
            <m:sepChr m:val=""/>
            <m:grow/>
          </m:dPr>
          <m:e>
            <m:r>
              <m:t>λ</m:t>
            </m:r>
          </m:e>
        </m:d>
      </m:oMath>
      <w:r>
        <w:t xml:space="preserve"> </w:t>
      </w:r>
      <w:r>
        <w:t xml:space="preserve">showed severe changes throughout the experiment. During day 1, the Treatment</w:t>
      </w:r>
      <w:r>
        <w:t xml:space="preserve"> </w:t>
      </w:r>
      <m:oMath>
        <m:r>
          <m:t>R</m:t>
        </m:r>
        <m:d>
          <m:dPr>
            <m:begChr m:val="("/>
            <m:endChr m:val=")"/>
            <m:sepChr m:val=""/>
            <m:grow/>
          </m:dPr>
          <m:e>
            <m:r>
              <m:t>λ</m:t>
            </m:r>
          </m:e>
        </m:d>
      </m:oMath>
      <w:r>
        <w:t xml:space="preserve"> </w:t>
      </w:r>
      <w:r>
        <w:t xml:space="preserve">was generally similar to the Control</w:t>
      </w:r>
      <w:r>
        <w:t xml:space="preserve"> </w:t>
      </w:r>
      <m:oMath>
        <m:r>
          <m:t>R</m:t>
        </m:r>
        <m:d>
          <m:dPr>
            <m:begChr m:val="("/>
            <m:endChr m:val=")"/>
            <m:sepChr m:val=""/>
            <m:grow/>
          </m:dPr>
          <m:e>
            <m:r>
              <m:t>λ</m:t>
            </m:r>
          </m:e>
        </m:d>
      </m:oMath>
      <w:r>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w:t>
      </w:r>
      <w:r>
        <w:t xml:space="preserve"> </w:t>
      </w:r>
      <m:oMath>
        <m:r>
          <m:t>R</m:t>
        </m:r>
        <m:d>
          <m:dPr>
            <m:begChr m:val="("/>
            <m:endChr m:val=")"/>
            <m:sepChr m:val=""/>
            <m:grow/>
          </m:dPr>
          <m:e>
            <m:r>
              <m:t>λ</m:t>
            </m:r>
          </m:e>
        </m:d>
      </m:oMath>
      <w:r>
        <w:t xml:space="preserve"> </w:t>
      </w:r>
      <w:r>
        <w:t xml:space="preserve">appeared to stabilize in the NIR, whereas it slightly continued in the green spectral region. At the end of the HW experiment, the</w:t>
      </w:r>
      <w:r>
        <w:t xml:space="preserve"> </w:t>
      </w:r>
      <m:oMath>
        <m:r>
          <m:t>R</m:t>
        </m:r>
        <m:d>
          <m:dPr>
            <m:begChr m:val="("/>
            <m:endChr m:val=")"/>
            <m:sepChr m:val=""/>
            <m:grow/>
          </m:dPr>
          <m:e>
            <m:r>
              <m:t>λ</m:t>
            </m:r>
          </m:e>
        </m:d>
      </m:oMath>
      <w:r>
        <w:t xml:space="preserve"> </w:t>
      </w:r>
      <w:r>
        <w:t xml:space="preserve">valley around 665 nm was also less pronounced, suggesting a decrease of chlorophyll-a concentration.</w:t>
      </w:r>
    </w:p>
    <w:bookmarkStart w:id="72" w:name="cell-fig-Exp_Spectra"/>
    <w:tbl>
      <w:tblPr>
        <w:tblStyle w:val="Table"/>
        <w:tblW w:type="pct" w:w="5000"/>
        <w:tblLayout w:type="fixed"/>
        <w:tblLook w:firstRow="0" w:lastRow="0" w:firstColumn="0" w:lastColumn="0" w:noHBand="0" w:noVBand="0" w:val="0000"/>
      </w:tblPr>
      <w:tblGrid>
        <w:gridCol w:w="7920"/>
      </w:tblGrid>
      <w:tr>
        <w:tc>
          <w:tcPr/>
          <w:bookmarkStart w:id="71" w:name="fig-Exp_Spectra"/>
          <w:p>
            <w:pPr>
              <w:pStyle w:val="Compact"/>
              <w:jc w:val="center"/>
            </w:pPr>
            <w:r>
              <w:drawing>
                <wp:inline>
                  <wp:extent cx="5646420" cy="2823210"/>
                  <wp:effectExtent b="0" l="0" r="0" t="0"/>
                  <wp:docPr descr="" title="" id="69" name="Picture"/>
                  <a:graphic>
                    <a:graphicData uri="http://schemas.openxmlformats.org/drawingml/2006/picture">
                      <pic:pic>
                        <pic:nvPicPr>
                          <pic:cNvPr descr="Figs/Low_res/plot_Spectra_exp.png" id="70" name="Picture"/>
                          <pic:cNvPicPr>
                            <a:picLocks noChangeArrowheads="1" noChangeAspect="1"/>
                          </pic:cNvPicPr>
                        </pic:nvPicPr>
                        <pic:blipFill>
                          <a:blip r:embed="rId68"/>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bookmarkEnd w:id="71"/>
        </w:tc>
      </w:tr>
    </w:tbl>
    <w:bookmarkEnd w:id="72"/>
    <w:bookmarkEnd w:id="73"/>
    <w:bookmarkStart w:id="84" w:name="heatwave-effect-on-radiometric-indices"/>
    <w:p>
      <w:pPr>
        <w:pStyle w:val="Heading3"/>
      </w:pPr>
      <w:r>
        <w:t xml:space="preserve">4.1.2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changed after the experimental heatwave (</w:t>
      </w:r>
      <w:hyperlink w:anchor="fig-Exp_Spectral_indices">
        <w:r>
          <w:rPr>
            <w:rStyle w:val="Hyperlink"/>
          </w:rPr>
          <w:t xml:space="preserve">Figure 7</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55 % higher than that of the Control in day 1 (</w:t>
      </w:r>
      <w:hyperlink w:anchor="fig-Exp_Spectral_indices">
        <w:r>
          <w:rPr>
            <w:rStyle w:val="Hyperlink"/>
          </w:rPr>
          <w:t xml:space="preserve">Figure 7</w:t>
        </w:r>
      </w:hyperlink>
      <w:r>
        <w:t xml:space="preserve"> </w:t>
      </w:r>
      <w:r>
        <w:t xml:space="preserve">D). By day 2, the SHSI exhibited a rapid increase of approximately 241 %, eventually reaching an overall rise of 420 % by day 3.</w:t>
      </w:r>
    </w:p>
    <w:p>
      <w:pPr>
        <w:pStyle w:val="BodyText"/>
      </w:pPr>
      <w:r>
        <w:t xml:space="preserve">With a maximum deviation of 420 %, SHSI emerges as the most sensitive index for detecting seagrass browning. Consequently, only this index was considered for the next steps of the study.</w:t>
      </w:r>
    </w:p>
    <w:bookmarkStart w:id="78" w:name="cell-fig-Exp_Spectral_indices"/>
    <w:tbl>
      <w:tblPr>
        <w:tblStyle w:val="Table"/>
        <w:tblW w:type="pct" w:w="5000"/>
        <w:tblLayout w:type="fixed"/>
        <w:tblLook w:firstRow="0" w:lastRow="0" w:firstColumn="0" w:lastColumn="0" w:noHBand="0" w:noVBand="0" w:val="0000"/>
      </w:tblPr>
      <w:tblGrid>
        <w:gridCol w:w="7920"/>
      </w:tblGrid>
      <w:tr>
        <w:tc>
          <w:tcPr/>
          <w:bookmarkStart w:id="77" w:name="fig-Exp_Spectral_indices"/>
          <w:p>
            <w:pPr>
              <w:pStyle w:val="Compact"/>
              <w:jc w:val="center"/>
            </w:pPr>
            <w:r>
              <w:drawing>
                <wp:inline>
                  <wp:extent cx="5646420" cy="5646420"/>
                  <wp:effectExtent b="0" l="0" r="0" t="0"/>
                  <wp:docPr descr="" title="" id="75" name="Picture"/>
                  <a:graphic>
                    <a:graphicData uri="http://schemas.openxmlformats.org/drawingml/2006/picture">
                      <pic:pic>
                        <pic:nvPicPr>
                          <pic:cNvPr descr="Figs/Low_res/merged_indices.png" id="76" name="Picture"/>
                          <pic:cNvPicPr>
                            <a:picLocks noChangeArrowheads="1" noChangeAspect="1"/>
                          </pic:cNvPicPr>
                        </pic:nvPicPr>
                        <pic:blipFill>
                          <a:blip r:embed="rId7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7"/>
        </w:tc>
      </w:tr>
    </w:tbl>
    <w:bookmarkEnd w:id="78"/>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 A negative SHSI was considered indicative of non-impacted seagrasses, while a positive SHSI was used as a marker for impacted seagrasses.</w:t>
      </w:r>
    </w:p>
    <w:bookmarkStart w:id="83" w:name="cell-fig-SDI_over_Time"/>
    <w:tbl>
      <w:tblPr>
        <w:tblStyle w:val="Table"/>
        <w:tblW w:type="pct" w:w="5000"/>
        <w:tblLayout w:type="fixed"/>
        <w:tblLook w:firstRow="0" w:lastRow="0" w:firstColumn="0" w:lastColumn="0" w:noHBand="0" w:noVBand="0" w:val="0000"/>
      </w:tblPr>
      <w:tblGrid>
        <w:gridCol w:w="7920"/>
      </w:tblGrid>
      <w:tr>
        <w:tc>
          <w:tcPr/>
          <w:bookmarkStart w:id="82" w:name="fig-SDI_over_Time"/>
          <w:p>
            <w:pPr>
              <w:pStyle w:val="Compact"/>
              <w:jc w:val="center"/>
            </w:pPr>
            <w:r>
              <w:drawing>
                <wp:inline>
                  <wp:extent cx="5646420" cy="3387852"/>
                  <wp:effectExtent b="0" l="0" r="0" t="0"/>
                  <wp:docPr descr="" title="" id="80" name="Picture"/>
                  <a:graphic>
                    <a:graphicData uri="http://schemas.openxmlformats.org/drawingml/2006/picture">
                      <pic:pic>
                        <pic:nvPicPr>
                          <pic:cNvPr descr="Figs/Low_res/SDI_exp_overtime.png" id="81" name="Picture"/>
                          <pic:cNvPicPr>
                            <a:picLocks noChangeArrowheads="1" noChangeAspect="1"/>
                          </pic:cNvPicPr>
                        </pic:nvPicPr>
                        <pic:blipFill>
                          <a:blip r:embed="rId79"/>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experimental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2"/>
        </w:tc>
      </w:tr>
    </w:tbl>
    <w:bookmarkEnd w:id="83"/>
    <w:bookmarkEnd w:id="84"/>
    <w:bookmarkEnd w:id="85"/>
    <w:bookmarkStart w:id="108" w:name="X8f6520fb2cd603cd376acac4efc8d29f28e0a7a"/>
    <w:p>
      <w:pPr>
        <w:pStyle w:val="Heading2"/>
      </w:pPr>
      <w:r>
        <w:t xml:space="preserve">4.2 HW of September 2021 in Quiberon, South Brittany</w:t>
      </w:r>
    </w:p>
    <w:bookmarkStart w:id="91" w:name="spectral-changes"/>
    <w:p>
      <w:pPr>
        <w:pStyle w:val="Heading3"/>
      </w:pPr>
      <w:r>
        <w:t xml:space="preserve">4.2.1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90" w:name="cell-fig-S2_comparison"/>
    <w:tbl>
      <w:tblPr>
        <w:tblStyle w:val="Table"/>
        <w:tblW w:type="pct" w:w="5000"/>
        <w:tblLayout w:type="fixed"/>
        <w:tblLook w:firstRow="0" w:lastRow="0" w:firstColumn="0" w:lastColumn="0" w:noHBand="0" w:noVBand="0" w:val="0000"/>
      </w:tblPr>
      <w:tblGrid>
        <w:gridCol w:w="7920"/>
      </w:tblGrid>
      <w:tr>
        <w:tc>
          <w:tcPr/>
          <w:bookmarkStart w:id="89" w:name="fig-S2_comparison"/>
          <w:p>
            <w:pPr>
              <w:pStyle w:val="Compact"/>
              <w:jc w:val="center"/>
            </w:pPr>
            <w:r>
              <w:drawing>
                <wp:inline>
                  <wp:extent cx="5646420" cy="5392331"/>
                  <wp:effectExtent b="0" l="0" r="0" t="0"/>
                  <wp:docPr descr="" title="" id="87" name="Picture"/>
                  <a:graphic>
                    <a:graphicData uri="http://schemas.openxmlformats.org/drawingml/2006/picture">
                      <pic:pic>
                        <pic:nvPicPr>
                          <pic:cNvPr descr="Figs/Low_res/Heatwaves_S2_plot.png" id="88" name="Picture"/>
                          <pic:cNvPicPr>
                            <a:picLocks noChangeArrowheads="1" noChangeAspect="1"/>
                          </pic:cNvPicPr>
                        </pic:nvPicPr>
                        <pic:blipFill>
                          <a:blip r:embed="rId86"/>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9"/>
        </w:tc>
      </w:tr>
    </w:tbl>
    <w:bookmarkEnd w:id="90"/>
    <w:bookmarkEnd w:id="91"/>
    <w:bookmarkStart w:id="107" w:name="shsi-metric-applied-to-sentinel-2"/>
    <w:p>
      <w:pPr>
        <w:pStyle w:val="Heading3"/>
      </w:pPr>
      <w:r>
        <w:t xml:space="preserve">4.2.2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6" w:name="cell-fig-NDVI_GLI_SPC"/>
    <w:tbl>
      <w:tblPr>
        <w:tblStyle w:val="Table"/>
        <w:tblW w:type="pct" w:w="5000"/>
        <w:tblLayout w:type="fixed"/>
        <w:tblLook w:firstRow="0" w:lastRow="0" w:firstColumn="0" w:lastColumn="0" w:noHBand="0" w:noVBand="0" w:val="0000"/>
      </w:tblPr>
      <w:tblGrid>
        <w:gridCol w:w="7920"/>
      </w:tblGrid>
      <w:tr>
        <w:tc>
          <w:tcPr/>
          <w:bookmarkStart w:id="95" w:name="fig-NDVI_GLI_SPC"/>
          <w:p>
            <w:pPr>
              <w:pStyle w:val="Compact"/>
              <w:jc w:val="center"/>
            </w:pPr>
            <w:r>
              <w:drawing>
                <wp:inline>
                  <wp:extent cx="5646420" cy="2823210"/>
                  <wp:effectExtent b="0" l="0" r="0" t="0"/>
                  <wp:docPr descr="" title="" id="93" name="Picture"/>
                  <a:graphic>
                    <a:graphicData uri="http://schemas.openxmlformats.org/drawingml/2006/picture">
                      <pic:pic>
                        <pic:nvPicPr>
                          <pic:cNvPr descr="Figs/Low_res/SHSI_S2.png" id="94" name="Picture"/>
                          <pic:cNvPicPr>
                            <a:picLocks noChangeArrowheads="1" noChangeAspect="1"/>
                          </pic:cNvPicPr>
                        </pic:nvPicPr>
                        <pic:blipFill>
                          <a:blip r:embed="rId9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5"/>
        </w:tc>
      </w:tr>
    </w:tbl>
    <w:bookmarkEnd w:id="96"/>
    <w:p>
      <w:pPr>
        <w:pStyle w:val="BodyText"/>
      </w:pPr>
      <w:r>
        <w:t xml:space="preserve">Using the SHSI (</w:t>
      </w:r>
      <w:hyperlink w:anchor="eq-SDI">
        <w:r>
          <w:rPr>
            <w:rStyle w:val="Hyperlink"/>
          </w:rPr>
          <w:t xml:space="preserve">Equation 3</w:t>
        </w:r>
      </w:hyperlink>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101" w:name="cell-fig-Map_darkening_Bathy"/>
    <w:tbl>
      <w:tblPr>
        <w:tblStyle w:val="Table"/>
        <w:tblW w:type="pct" w:w="5000"/>
        <w:tblLayout w:type="fixed"/>
        <w:tblLook w:firstRow="0" w:lastRow="0" w:firstColumn="0" w:lastColumn="0" w:noHBand="0" w:noVBand="0" w:val="0000"/>
      </w:tblPr>
      <w:tblGrid>
        <w:gridCol w:w="7920"/>
      </w:tblGrid>
      <w:tr>
        <w:tc>
          <w:tcPr/>
          <w:bookmarkStart w:id="100" w:name="fig-Map_darkening_Bathy"/>
          <w:p>
            <w:pPr>
              <w:pStyle w:val="Compact"/>
              <w:jc w:val="center"/>
            </w:pPr>
            <w:r>
              <w:drawing>
                <wp:inline>
                  <wp:extent cx="5646420" cy="4076715"/>
                  <wp:effectExtent b="0" l="0" r="0" t="0"/>
                  <wp:docPr descr="" title="" id="98" name="Picture"/>
                  <a:graphic>
                    <a:graphicData uri="http://schemas.openxmlformats.org/drawingml/2006/picture">
                      <pic:pic>
                        <pic:nvPicPr>
                          <pic:cNvPr descr="Figs/Low_res/SHSI_S2_map.png" id="99" name="Picture"/>
                          <pic:cNvPicPr>
                            <a:picLocks noChangeArrowheads="1" noChangeAspect="1"/>
                          </pic:cNvPicPr>
                        </pic:nvPicPr>
                        <pic:blipFill>
                          <a:blip r:embed="rId97"/>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 1st of September 2021), During (B ; 6th of September 2021) and After (C ; 8th of October 2021) the HW and SHSI applied to the same Sentinel-2 images Before (D), During (E) and After (F) the HW.</w:t>
            </w:r>
          </w:p>
          <w:bookmarkEnd w:id="100"/>
        </w:tc>
      </w:tr>
    </w:tbl>
    <w:bookmarkEnd w:id="101"/>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6" w:name="cell-fig-GAM_Emersion"/>
    <w:tbl>
      <w:tblPr>
        <w:tblStyle w:val="Table"/>
        <w:tblW w:type="pct" w:w="5000"/>
        <w:tblLayout w:type="fixed"/>
        <w:tblLook w:firstRow="0" w:lastRow="0" w:firstColumn="0" w:lastColumn="0" w:noHBand="0" w:noVBand="0" w:val="0000"/>
      </w:tblPr>
      <w:tblGrid>
        <w:gridCol w:w="7920"/>
      </w:tblGrid>
      <w:tr>
        <w:tc>
          <w:tcPr/>
          <w:bookmarkStart w:id="105" w:name="fig-GAM_Emersion"/>
          <w:p>
            <w:pPr>
              <w:pStyle w:val="Compact"/>
              <w:jc w:val="center"/>
            </w:pPr>
            <w:r>
              <w:drawing>
                <wp:inline>
                  <wp:extent cx="5646420" cy="2823210"/>
                  <wp:effectExtent b="0" l="0" r="0" t="0"/>
                  <wp:docPr descr="" title="" id="103" name="Picture"/>
                  <a:graphic>
                    <a:graphicData uri="http://schemas.openxmlformats.org/drawingml/2006/picture">
                      <pic:pic>
                        <pic:nvPicPr>
                          <pic:cNvPr descr="Figs/Low_res/GAM_emersion.png" id="104" name="Picture"/>
                          <pic:cNvPicPr>
                            <a:picLocks noChangeArrowheads="1" noChangeAspect="1"/>
                          </pic:cNvPicPr>
                        </pic:nvPicPr>
                        <pic:blipFill>
                          <a:blip r:embed="rId10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5"/>
        </w:tc>
      </w:tr>
    </w:tbl>
    <w:bookmarkEnd w:id="106"/>
    <w:bookmarkEnd w:id="107"/>
    <w:bookmarkEnd w:id="108"/>
    <w:bookmarkEnd w:id="109"/>
    <w:bookmarkStart w:id="113" w:name="discussion"/>
    <w:p>
      <w:pPr>
        <w:pStyle w:val="Heading1"/>
      </w:pPr>
      <w:r>
        <w:t xml:space="preserve">5. Discussion</w:t>
      </w:r>
    </w:p>
    <w:bookmarkStart w:id="110" w:name="Xb7f7f02f8dbcb55c30d8a7e7a31bd5d7dbd38a5"/>
    <w:p>
      <w:pPr>
        <w:pStyle w:val="Heading2"/>
      </w:pPr>
      <w:r>
        <w:t xml:space="preserve">5.1 Effect of heatwaves on</w:t>
      </w:r>
      <w:r>
        <w:t xml:space="preserve"> </w:t>
      </w:r>
      <w:r>
        <w:rPr>
          <w:i/>
          <w:iCs/>
        </w:rPr>
        <w:t xml:space="preserve">Zostera noltei</w:t>
      </w:r>
      <w:r>
        <w:t xml:space="preserve"> </w:t>
      </w:r>
      <w:r>
        <w:t xml:space="preserve">reflectance</w:t>
      </w:r>
    </w:p>
    <w:p>
      <w:pPr>
        <w:pStyle w:val="FirstParagraph"/>
      </w:pPr>
      <w:r>
        <w:t xml:space="preserve">This study explored the dual effect of MHWs and AHWs on spectral reflectance of intertidal seagrasses. Significant changes in the reflectance of seagrasses exposed to HWs were observed both in field measurements and the laboratory experiment. Effects were drops of reflectance around 560 nm and around 740 nm (</w:t>
      </w:r>
      <w:hyperlink w:anchor="fig-Exp_Spectral_indices">
        <w:r>
          <w:rPr>
            <w:rStyle w:val="Hyperlink"/>
          </w:rPr>
          <w:t xml:space="preserve">Figure 7</w:t>
        </w:r>
      </w:hyperlink>
      <w:r>
        <w:t xml:space="preserve">) and of the second derivative at 665 nm (R’’665), NDVI, and GLI (</w:t>
      </w:r>
      <w:hyperlink w:anchor="fig-Exp_Spectral_indices">
        <w:r>
          <w:rPr>
            <w:rStyle w:val="Hyperlink"/>
          </w:rPr>
          <w:t xml:space="preserve">Figure 7</w:t>
        </w:r>
      </w:hyperlink>
      <w:r>
        <w:t xml:space="preserve"> </w:t>
      </w:r>
      <w:r>
        <w:t xml:space="preserve">A, B &amp; C) indexes. These changes suggest a progressive reduction in photosynthetic activity as well as potential structural or physiological changes to the leaves, such as degraded pigmentation or altered light absorption. By contrast, SHSI showed a marked increase, reaching up to 600% for some samples by day 3 (</w:t>
      </w:r>
      <w:hyperlink w:anchor="fig-Exp_Spectral_indices">
        <w:r>
          <w:rPr>
            <w:rStyle w:val="Hyperlink"/>
          </w:rPr>
          <w:t xml:space="preserve">Figure 7</w:t>
        </w:r>
      </w:hyperlink>
      <w:r>
        <w:t xml:space="preserve"> </w:t>
      </w:r>
      <w:r>
        <w:t xml:space="preserve">D), which demonstrated its sensitivity at quantifying seagrass browning. Moreover, we observed a considerable decrease in the reflectance in the NIR regions (700 - 1300 nm) in stressed plants, which is mainly related with the destruction of the membranes (chloroplasts, thylakoids, cell walls) due to thermal oxidative stress, and the consequent decrease of light scattering in NIR range through the leaf surface</w:t>
      </w:r>
      <w:r>
        <w:t xml:space="preserve"> </w:t>
      </w:r>
      <w:r>
        <w:t xml:space="preserve">(Knipling, 1970)</w:t>
      </w:r>
      <w:r>
        <w:t xml:space="preserve">.</w:t>
      </w:r>
      <w:r>
        <w:t xml:space="preserve"> </w:t>
      </w:r>
      <w:r>
        <w:t xml:space="preserve">The leaf darkening observed in plants subjected to thermal stress was mainly explained by the oxidation of phenolic compounds by the enzyme polyphenol oxidase and with a damage of the photosynthetic apparatus</w:t>
      </w:r>
      <w:r>
        <w:t xml:space="preserve"> </w:t>
      </w:r>
      <w:r>
        <w:t xml:space="preserve">(Allakhverdiev et al., 2008)</w:t>
      </w:r>
      <w:r>
        <w:t xml:space="preserve">. High temperatures destabilize chloroplasts membranes, disrupting photosystem II and impairing recovery of photosynthetic function. As chlorophyll-a degrades, the ratio of pigments shifts, with pigments like carotenoids becoming more prominent</w:t>
      </w:r>
      <w:r>
        <w:t xml:space="preserve"> </w:t>
      </w:r>
      <w:r>
        <w:t xml:space="preserve">(Dascaliuc et al., 2007; Jones and Clayton-Greene, 1992)</w:t>
      </w:r>
      <w:r>
        <w:t xml:space="preserve">. These processes can eventually result in growth impairment and plant death.</w:t>
      </w:r>
      <w:r>
        <w:t xml:space="preserve"> </w:t>
      </w:r>
      <w:r>
        <w:t xml:space="preserve">The SHSI (</w:t>
      </w:r>
      <w:hyperlink w:anchor="eq-SDI">
        <w:r>
          <w:rPr>
            <w:rStyle w:val="Hyperlink"/>
          </w:rPr>
          <w:t xml:space="preserve">Equation 3</w:t>
        </w:r>
      </w:hyperlink>
      <w:r>
        <w:t xml:space="preserve">) developed in this study leveraged key reflectance bands (560, 740 and 840 nm) to detect reductions in the green and the Red-Edge regions caused by thermal stress. These wavelengths are captured by current multi-spectral satellite missions, including Sentinel-2, Pleiades-Neo, WorldView-3, SkySat, and GeoSat-2 along with upcoming missions (Sentinel-2 Next Generation and Landsat Next). Therefore, SHSI can be used to assess the extent and severity of darkening events across intertidal seagrass meadows from space. However, cloud coverage can limit continuous observations from satellite imagery, necessitating the integration of alternative tools, such as multi-spectral drone platforms. Combined approaches allow for precise, localized monitoring of damaged seagrass meadows immediately after extreme events, which is critical for the early detection of ecosystem degradation.</w:t>
      </w:r>
    </w:p>
    <w:bookmarkEnd w:id="110"/>
    <w:bookmarkStart w:id="111" w:name="observations-of-hw-effects-in-the-field"/>
    <w:p>
      <w:pPr>
        <w:pStyle w:val="Heading2"/>
      </w:pPr>
      <w:r>
        <w:t xml:space="preserve">5.2 Observations of HW effects in the field</w:t>
      </w:r>
    </w:p>
    <w:p>
      <w:pPr>
        <w:pStyle w:val="FirstParagraph"/>
      </w:pPr>
      <w:r>
        <w:t xml:space="preserve">Sentinel-2 images acquired before, during, and after a HW event enabled the assessment of leaf darkening using the SHSI index. Analyses of satellite images in Quiberon Bay during the 2021 HW revealed that most of the darkening of the meadow took place in the upper intertidal, where plants were exposed to air for more than 13 hours per day, while no significant browning was observed around mean sea level.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w:t>
      </w:r>
      <w:r>
        <w:t xml:space="preserve"> </w:t>
      </w:r>
      <w:r>
        <w:t xml:space="preserve">Field observations revealed that leaf detachment began after the heatwave, causing an apparent decline in seagrass density at the upper intertidal.</w:t>
      </w:r>
      <w:r>
        <w:t xml:space="preserve"> </w:t>
      </w:r>
      <w:r>
        <w:rPr>
          <w:i/>
          <w:iCs/>
        </w:rPr>
        <w:t xml:space="preserve">Zostera noltei</w:t>
      </w:r>
      <w:r>
        <w:t xml:space="preserve">, as a species inhabiting the intertidal zone and regularly exposed to air, has developed adaptations to minimize hydric stress, such as its narrow leaves, which help reduce water loss during air exposure periods</w:t>
      </w:r>
      <w:r>
        <w:t xml:space="preserve"> </w:t>
      </w:r>
      <w:r>
        <w:t xml:space="preserve">(Cabaço et al., 2009)</w:t>
      </w:r>
      <w:r>
        <w:t xml:space="preserve">. Nonetheless, if plants at the upper subtidal are exposed to intense heating and irradiance for prolonged periods, these mechanisms may not be able to prevent degradation of photosynthetic pigments, decreases in photosynthetic capacity and tissue degradation.</w:t>
      </w:r>
      <w:r>
        <w:t xml:space="preserve"> </w:t>
      </w:r>
      <w:r>
        <w:t xml:space="preserve">During the HW, Sentinel-2 imagery indicated that impacted seagrass patches (i.e., areas exhibiting seagrass darkening) experienced a sharp decline in NDVI. Moreover, the Sentinel-2 image acquired one month after the HW showed that the NDVI of impacted seagrass patches had not recovered to its initial level (Figure 10). NDVI is commonly used as a proxy for seagrass cover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higher NDVI values associated with greater seagrass coverage and lower NDVI values indicating reduced cover. Our findings demonstrate that heatwaves altered the spectral signature of seagrasses, causing a decrease in NDVI—and consequently, in the satellite-derived estimate of seagrass cover—while the actual coverage observed in the field remained stable (see</w:t>
      </w:r>
      <w:r>
        <w:t xml:space="preserve"> </w:t>
      </w:r>
      <w:hyperlink w:anchor="fig-QuiberonImg">
        <w:r>
          <w:rPr>
            <w:rStyle w:val="Hyperlink"/>
          </w:rPr>
          <w:t xml:space="preserve">Figure 5</w:t>
        </w:r>
      </w:hyperlink>
      <w:r>
        <w:t xml:space="preserve">). This discrepancy underscores a limitation of remote sensing in accurately capturing true seagrass cover during stress events. As well, the observed changes in seagrass reflectance linked with low tide heating and desiccation highlight the potential influence of temperature and humidity variations on the mapping accuracy of intertidal macrophytes</w:t>
      </w:r>
      <w:r>
        <w:t xml:space="preserve"> </w:t>
      </w:r>
      <w:r>
        <w:t xml:space="preserve">(Peidro-Devesa et al., 2024)</w:t>
      </w:r>
      <w:r>
        <w:t xml:space="preserve">. 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w:t>
      </w:r>
      <w:r>
        <w:t xml:space="preserve"> </w:t>
      </w:r>
      <w:r>
        <w:rPr>
          <w:i/>
          <w:iCs/>
        </w:rPr>
        <w:t xml:space="preserve">Z. noltei</w:t>
      </w:r>
      <w:r>
        <w:t xml:space="preserve"> </w:t>
      </w:r>
      <w:r>
        <w:t xml:space="preserve">patches after thermal disturbance.</w:t>
      </w:r>
      <w:r>
        <w:t xml:space="preserve"> </w:t>
      </w:r>
      <w:r>
        <w:rPr>
          <w:i/>
          <w:iCs/>
        </w:rPr>
        <w:t xml:space="preserve">Zostera noltei</w:t>
      </w:r>
      <w:r>
        <w:t xml:space="preserve"> </w:t>
      </w:r>
      <w:r>
        <w:t xml:space="preserve">is a dynamic, fast-growing colonizer species</w:t>
      </w:r>
      <w:r>
        <w:t xml:space="preserve"> </w:t>
      </w:r>
      <w:r>
        <w:t xml:space="preserve">(Roca et al., 2016)</w:t>
      </w:r>
      <w:r>
        <w:t xml:space="preserve">, with fast leaf turnover times and growth rates</w:t>
      </w:r>
      <w:r>
        <w:t xml:space="preserve"> </w:t>
      </w:r>
      <w:r>
        <w:t xml:space="preserve">(Borum et al., 2004)</w:t>
      </w:r>
      <w:r>
        <w:t xml:space="preserve"> </w:t>
      </w:r>
      <w:r>
        <w:t xml:space="preserve">and fast rhizome elongation rates</w:t>
      </w:r>
      <w:r>
        <w:t xml:space="preserve"> </w:t>
      </w:r>
      <w:r>
        <w:t xml:space="preserve">(Duarte, 1991)</w:t>
      </w:r>
      <w:r>
        <w:t xml:space="preserve">. Therefore, the return to green color in some parts of the meadow after recovery was the consequence of new leaf growth, which was likely sustained by the energy reserves of the surviving below ground biomass</w:t>
      </w:r>
      <w:r>
        <w:t xml:space="preserve"> </w:t>
      </w:r>
      <w:r>
        <w:t xml:space="preserve">(Hemminga, 1998)</w:t>
      </w:r>
      <w:r>
        <w:t xml:space="preserve">.</w:t>
      </w:r>
    </w:p>
    <w:bookmarkEnd w:id="111"/>
    <w:bookmarkStart w:id="112" w:name="Xe9ecd954fa40fb724a89f53ab52cbfa3fe94206"/>
    <w:p>
      <w:pPr>
        <w:pStyle w:val="Heading2"/>
      </w:pPr>
      <w:r>
        <w:t xml:space="preserve">5.3 Ecological implications od heatwaves impact on</w:t>
      </w:r>
      <w:r>
        <w:t xml:space="preserve"> </w:t>
      </w:r>
      <w:r>
        <w:rPr>
          <w:i/>
          <w:iCs/>
        </w:rPr>
        <w:t xml:space="preserve">Zostera noltei</w:t>
      </w:r>
    </w:p>
    <w:p>
      <w:pPr>
        <w:pStyle w:val="FirstParagraph"/>
      </w:pPr>
      <w:r>
        <w:t xml:space="preserve">In the present study we observed that heatwave-driven thermal stress changed the spectral reflectance of</w:t>
      </w:r>
      <w:r>
        <w:t xml:space="preserve"> </w:t>
      </w:r>
      <w:r>
        <w:rPr>
          <w:i/>
          <w:iCs/>
        </w:rPr>
        <w:t xml:space="preserve">Z. noltei</w:t>
      </w:r>
      <w:r>
        <w:t xml:space="preserve"> </w:t>
      </w:r>
      <w:r>
        <w:t xml:space="preserve">leaves, indicating photosynthetic pigments degradation, with potential negative consequences on health, growth and survival of the above ground biomass. In this sense, previous experiments on the effects of warming on</w:t>
      </w:r>
      <w:r>
        <w:t xml:space="preserve"> </w:t>
      </w:r>
      <w:r>
        <w:rPr>
          <w:i/>
          <w:iCs/>
        </w:rPr>
        <w:t xml:space="preserve">Zostera noltei</w:t>
      </w:r>
      <w:r>
        <w:t xml:space="preserve"> </w:t>
      </w:r>
      <w:r>
        <w:t xml:space="preserve">have shown contrasting results, depending on the duration and intensity of heating. In some cases, there were no significant changes in photosynthetic performance or survival under short-term moderate stress</w:t>
      </w:r>
      <w:r>
        <w:t xml:space="preserve"> </w:t>
      </w:r>
      <w:r>
        <w:t xml:space="preserve">(Franssen et al., 2014)</w:t>
      </w:r>
      <w:r>
        <w:t xml:space="preserve">, or under gradual temperature increases</w:t>
      </w:r>
      <w:r>
        <w:t xml:space="preserve"> </w:t>
      </w:r>
      <w:r>
        <w:t xml:space="preserve">(Román et al., 2022)</w:t>
      </w:r>
      <w:r>
        <w:t xml:space="preserve">. By contrast, studies focused on extreme temperature events have evidenced decreases of photosynthetic performance and leaf tissue integrity</w:t>
      </w:r>
      <w:r>
        <w:t xml:space="preserve"> </w:t>
      </w:r>
      <w:r>
        <w:t xml:space="preserve">(Massa et al., 2009; Román et al., 2023)</w:t>
      </w:r>
      <w:r>
        <w:t xml:space="preserve">. Therefore, our findings, jointly with previous research, suggest that</w:t>
      </w:r>
      <w:r>
        <w:t xml:space="preserve"> </w:t>
      </w:r>
      <w:r>
        <w:rPr>
          <w:i/>
          <w:iCs/>
        </w:rPr>
        <w:t xml:space="preserve">Z. noltei</w:t>
      </w:r>
      <w:r>
        <w:t xml:space="preserve"> </w:t>
      </w:r>
      <w:r>
        <w:t xml:space="preserve">meadows at the upper intertidal could be a vulnerable species under the future global warming scenarios, in which heatwaves will be more frequent and intense</w:t>
      </w:r>
      <w:r>
        <w:t xml:space="preserve"> </w:t>
      </w:r>
      <w:r>
        <w:t xml:space="preserve">(Climate Change (IPCC), 2023; Stillman, 2019)</w:t>
      </w:r>
      <w:r>
        <w:t xml:space="preserve">. The observed tissue degradation, both in the laboratory experiment and the field, can eventually result in decreases of meadows density and cover under recurrent heatwaves. This decline also could affect other species that rely on the provision of refuge and/or food by the seagrass canopy</w:t>
      </w:r>
      <w:r>
        <w:t xml:space="preserve"> </w:t>
      </w:r>
      <w:r>
        <w:t xml:space="preserve">(Zoffoli et al., 2023)</w:t>
      </w:r>
      <w:r>
        <w:t xml:space="preserve">. Moreover, the sediment stabilization and wave attenuation could be hampered, ultimately increasing the risk of coastal erosion</w:t>
      </w:r>
      <w:r>
        <w:t xml:space="preserve"> </w:t>
      </w:r>
      <w:r>
        <w:t xml:space="preserve">(Calleja et al., 2007; Folmer et al., 2012; Gacia et al., 1999)</w:t>
      </w:r>
      <w:r>
        <w:t xml:space="preserve">. The commercially important fish and shellfish populations that rely on seagrass for sustenance and refuge could also be impacted, with negative consequences on local fisheries’ productivity and the livelihoods of coastal communities</w:t>
      </w:r>
      <w:r>
        <w:t xml:space="preserve"> </w:t>
      </w:r>
      <w:r>
        <w:t xml:space="preserve">(Unsworth and Cullen-Unsworth, 2014)</w:t>
      </w:r>
      <w:r>
        <w:t xml:space="preserve">. Furthermore, as seagrass meadows decline, their capacity to act as a blue carbon sink—critical for climate mitigation—could diminish, contributing to increased atmospheric carbon levels</w:t>
      </w:r>
      <w:r>
        <w:t xml:space="preserve"> </w:t>
      </w:r>
      <w:r>
        <w:t xml:space="preserve">(Armitage and Fourqurean, 2016; Samper-Villarreal et al., 2020)</w:t>
      </w:r>
      <w:r>
        <w:t xml:space="preserve">.</w:t>
      </w:r>
      <w:r>
        <w:t xml:space="preserve"> </w:t>
      </w: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w:t>
      </w:r>
    </w:p>
    <w:bookmarkEnd w:id="112"/>
    <w:bookmarkEnd w:id="113"/>
    <w:bookmarkStart w:id="114" w:name="conclusion"/>
    <w:p>
      <w:pPr>
        <w:pStyle w:val="Heading1"/>
      </w:pPr>
      <w:r>
        <w:t xml:space="preserve">6. Conclusion</w:t>
      </w:r>
    </w:p>
    <w:p>
      <w:pPr>
        <w:pStyle w:val="FirstParagraph"/>
      </w:pPr>
      <w:r>
        <w:t xml:space="preserve">This research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under controlled experimental conditions and validating these findings with satellite observations, we aimed at understanding how extreme heat events affect seagrass health and assess the potential of remote sensing to monitor HW impacts.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also documented the broader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seagrass resilience and guide adaptive management practices.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4"/>
    <w:bookmarkStart w:id="119" w:name="annexes"/>
    <w:p>
      <w:pPr>
        <w:pStyle w:val="Heading1"/>
      </w:pPr>
      <w:r>
        <w:t xml:space="preserve">7. Annexes</w:t>
      </w:r>
    </w:p>
    <w:bookmarkStart w:id="118"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6" name="Picture"/>
            <a:graphic>
              <a:graphicData uri="http://schemas.openxmlformats.org/drawingml/2006/picture">
                <pic:pic>
                  <pic:nvPicPr>
                    <pic:cNvPr descr="Figs/High_res/Temperature_compare.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8"/>
    <w:bookmarkEnd w:id="119"/>
    <w:bookmarkStart w:id="222" w:name="references"/>
    <w:p>
      <w:pPr>
        <w:pStyle w:val="Heading1"/>
      </w:pPr>
      <w:r>
        <w:t xml:space="preserve">8. References</w:t>
      </w:r>
    </w:p>
    <w:bookmarkStart w:id="221" w:name="refs"/>
    <w:bookmarkStart w:id="120" w:name="ref-allakhverdiev2008heat"/>
    <w:p>
      <w:pPr>
        <w:pStyle w:val="Bibliography"/>
      </w:pPr>
      <w:r>
        <w:t xml:space="preserve">Allakhverdiev, S.I., Kreslavski, V.D., Klimov, V.V., Los, D.A., Carpentier, R., Mohanty, P., 2008. Heat stress: An overview of molecular responses in photosynthesis. Photosynthesis research 98, 541–550.</w:t>
      </w:r>
    </w:p>
    <w:bookmarkEnd w:id="120"/>
    <w:bookmarkStart w:id="121"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21"/>
    <w:bookmarkStart w:id="122"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2"/>
    <w:bookmarkStart w:id="123"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3"/>
    <w:bookmarkStart w:id="124" w:name="ref-borum2004european"/>
    <w:p>
      <w:pPr>
        <w:pStyle w:val="Bibliography"/>
      </w:pPr>
      <w:r>
        <w:t xml:space="preserve">Borum, J., Duarte, C.M., Krause-Jensen, D., Greve, T.M., 2004. European seagrasses: An introduction to monitoring and management. Monitoring; Managing of European Seagrasses Project.</w:t>
      </w:r>
    </w:p>
    <w:bookmarkEnd w:id="124"/>
    <w:bookmarkStart w:id="125"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5"/>
    <w:bookmarkStart w:id="126" w:name="ref-brun2003effect"/>
    <w:p>
      <w:pPr>
        <w:pStyle w:val="Bibliography"/>
      </w:pPr>
      <w:r>
        <w:t xml:space="preserve">Brun, F.G., Vergara, J.J., Navarro, G., Hernández, I., Pérez-Lloréns, J.L., 2003. Effect of shading by ulva rigida canopies on growth and carbon balance of the seagrass zostera noltii. Marine Ecology Progress Series 265, 85–96.</w:t>
      </w:r>
    </w:p>
    <w:bookmarkEnd w:id="126"/>
    <w:bookmarkStart w:id="128" w:name="ref-JSSv100i05"/>
    <w:p>
      <w:pPr>
        <w:pStyle w:val="Bibliography"/>
      </w:pPr>
      <w:r>
        <w:t xml:space="preserve">Bürkner, P.-C., 2021. Bayesian item response modeling in r with brms and stan. Journal of Statistical Software 100, 1–54.</w:t>
      </w:r>
      <w:r>
        <w:t xml:space="preserve"> </w:t>
      </w:r>
      <w:hyperlink r:id="rId127">
        <w:r>
          <w:rPr>
            <w:rStyle w:val="Hyperlink"/>
          </w:rPr>
          <w:t xml:space="preserve">https://doi.org/10.18637/jss.v100.i05</w:t>
        </w:r>
      </w:hyperlink>
    </w:p>
    <w:bookmarkEnd w:id="128"/>
    <w:bookmarkStart w:id="129"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9"/>
    <w:bookmarkStart w:id="130"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0"/>
    <w:bookmarkStart w:id="131"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1"/>
    <w:bookmarkStart w:id="133"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2">
        <w:r>
          <w:rPr>
            <w:rStyle w:val="Hyperlink"/>
          </w:rPr>
          <w:t xml:space="preserve">https://doi.org/10.18637/jss.v076.i01</w:t>
        </w:r>
      </w:hyperlink>
    </w:p>
    <w:bookmarkEnd w:id="133"/>
    <w:bookmarkStart w:id="135" w:name="ref-IPCC2023"/>
    <w:p>
      <w:pPr>
        <w:pStyle w:val="Bibliography"/>
      </w:pPr>
      <w:r>
        <w:t xml:space="preserve">Climate Change (IPCC), I.P. on, 2023. Summary for policymakers. IPCC, Geneva, Switzerland.</w:t>
      </w:r>
      <w:r>
        <w:t xml:space="preserve"> </w:t>
      </w:r>
      <w:hyperlink r:id="rId134">
        <w:r>
          <w:rPr>
            <w:rStyle w:val="Hyperlink"/>
          </w:rPr>
          <w:t xml:space="preserve">https://doi.org/10.59327/IPCC/AR6-9789291691647.001</w:t>
        </w:r>
      </w:hyperlink>
    </w:p>
    <w:bookmarkEnd w:id="135"/>
    <w:bookmarkStart w:id="13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6">
        <w:r>
          <w:rPr>
            <w:rStyle w:val="Hyperlink"/>
          </w:rPr>
          <w:t xml:space="preserve">https://doi.org/10.48670/moi-00311</w:t>
        </w:r>
      </w:hyperlink>
    </w:p>
    <w:bookmarkEnd w:id="137"/>
    <w:bookmarkStart w:id="139"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8">
        <w:r>
          <w:rPr>
            <w:rStyle w:val="Hyperlink"/>
          </w:rPr>
          <w:t xml:space="preserve">https://doi.org/10.1007/s11099-007-0084-3</w:t>
        </w:r>
      </w:hyperlink>
    </w:p>
    <w:bookmarkEnd w:id="139"/>
    <w:bookmarkStart w:id="14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0"/>
    <w:bookmarkStart w:id="142"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1">
        <w:r>
          <w:rPr>
            <w:rStyle w:val="Hyperlink"/>
          </w:rPr>
          <w:t xml:space="preserve">https://doi.org/10.1038/s43247-024-01543-z</w:t>
        </w:r>
      </w:hyperlink>
    </w:p>
    <w:bookmarkEnd w:id="142"/>
    <w:bookmarkStart w:id="144"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3">
        <w:r>
          <w:rPr>
            <w:rStyle w:val="Hyperlink"/>
          </w:rPr>
          <w:t xml:space="preserve">https://doi.org/10.1016/j.rse.2024.114340</w:t>
        </w:r>
      </w:hyperlink>
    </w:p>
    <w:bookmarkEnd w:id="144"/>
    <w:bookmarkStart w:id="145" w:name="ref-deguette2022physiological"/>
    <w:p>
      <w:pPr>
        <w:pStyle w:val="Bibliography"/>
      </w:pPr>
      <w:r>
        <w:t xml:space="preserve">Deguette, A., Barrote, I., Silva, J., 2022. Physiological and morphological effects of a marine heatwave on the seagrass cymodocea nodosa. Scientific Reports 12, 7950.</w:t>
      </w:r>
    </w:p>
    <w:bookmarkEnd w:id="145"/>
    <w:bookmarkStart w:id="146" w:name="ref-douay2022new"/>
    <w:p>
      <w:pPr>
        <w:pStyle w:val="Bibliography"/>
      </w:pPr>
      <w:r>
        <w:t xml:space="preserve">Douay, F., Verpoorter, C., Duong, G., Spilmont, N., Gevaert, F., 2022. New hyperspectral procedure to discriminate intertidal macroalgae. Remote Sensing 14, 346.</w:t>
      </w:r>
    </w:p>
    <w:bookmarkEnd w:id="146"/>
    <w:bookmarkStart w:id="147" w:name="ref-duarte1991allometric"/>
    <w:p>
      <w:pPr>
        <w:pStyle w:val="Bibliography"/>
      </w:pPr>
      <w:r>
        <w:t xml:space="preserve">Duarte, C.M., 1991. Allometric scaling of seagrass form and productivity. Marine ecology progress series. Oldendorf 77, 289–300.</w:t>
      </w:r>
    </w:p>
    <w:bookmarkEnd w:id="147"/>
    <w:bookmarkStart w:id="149" w:name="ref-electricblue_intertidal_chamber"/>
    <w:p>
      <w:pPr>
        <w:pStyle w:val="Bibliography"/>
      </w:pPr>
      <w:r>
        <w:t xml:space="preserve">Electric Blue, 2023.</w:t>
      </w:r>
      <w:r>
        <w:t xml:space="preserve"> </w:t>
      </w:r>
      <w:hyperlink r:id="rId148">
        <w:r>
          <w:rPr>
            <w:rStyle w:val="Hyperlink"/>
          </w:rPr>
          <w:t xml:space="preserve">Intertidal chamber</w:t>
        </w:r>
      </w:hyperlink>
      <w:r>
        <w:t xml:space="preserve">.</w:t>
      </w:r>
    </w:p>
    <w:bookmarkEnd w:id="149"/>
    <w:bookmarkStart w:id="150" w:name="ref-sen2cor"/>
    <w:p>
      <w:pPr>
        <w:pStyle w:val="Bibliography"/>
      </w:pPr>
      <w:r>
        <w:t xml:space="preserve">European Space Agency, 2024b. Sen2Cor: Sentinel-2 atmospheric correction processor.</w:t>
      </w:r>
    </w:p>
    <w:bookmarkEnd w:id="150"/>
    <w:bookmarkStart w:id="151" w:name="ref-copernicus_sentinel2"/>
    <w:p>
      <w:pPr>
        <w:pStyle w:val="Bibliography"/>
      </w:pPr>
      <w:r>
        <w:t xml:space="preserve">European Space Agency, 2024a. Copernicus open access hub.</w:t>
      </w:r>
    </w:p>
    <w:bookmarkEnd w:id="151"/>
    <w:bookmarkStart w:id="152"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2"/>
    <w:bookmarkStart w:id="15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3"/>
    <w:bookmarkStart w:id="154"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4"/>
    <w:bookmarkStart w:id="155"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5"/>
    <w:bookmarkStart w:id="156" w:name="ref-gardner2018global"/>
    <w:p>
      <w:pPr>
        <w:pStyle w:val="Bibliography"/>
      </w:pPr>
      <w:r>
        <w:t xml:space="preserve">Gardner, R.C., Finlayson, C., 2018. Global wetland outlook: State of the world’s wetlands and their services to people, in: Ramsar Convention Secretariat. pp. 2020–5.</w:t>
      </w:r>
    </w:p>
    <w:bookmarkEnd w:id="156"/>
    <w:bookmarkStart w:id="157"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7"/>
    <w:bookmarkStart w:id="158" w:name="ref-green2021historical"/>
    <w:p>
      <w:pPr>
        <w:pStyle w:val="Bibliography"/>
      </w:pPr>
      <w:r>
        <w:t xml:space="preserve">Green, A.E., Unsworth, R.K., Chadwick, M.A., Jones, P.J., 2021. Historical analysis exposes catastrophic seagrass loss for the united kingdom. Frontiers in plant science 12, 629962.</w:t>
      </w:r>
    </w:p>
    <w:bookmarkEnd w:id="158"/>
    <w:bookmarkStart w:id="159"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9"/>
    <w:bookmarkStart w:id="160" w:name="ref-hemminga1998root"/>
    <w:p>
      <w:pPr>
        <w:pStyle w:val="Bibliography"/>
      </w:pPr>
      <w:r>
        <w:t xml:space="preserve">Hemminga, M., 1998. The root/rhizome system of seagrasses: An asset and a burden. Journal of Sea Research 39, 183–196.</w:t>
      </w:r>
    </w:p>
    <w:bookmarkEnd w:id="160"/>
    <w:bookmarkStart w:id="161"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1"/>
    <w:bookmarkStart w:id="162"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2"/>
    <w:bookmarkStart w:id="163"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3"/>
    <w:bookmarkStart w:id="165" w:name="ref-ioc_sea_level_lecy"/>
    <w:p>
      <w:pPr>
        <w:pStyle w:val="Bibliography"/>
      </w:pPr>
      <w:r>
        <w:t xml:space="preserve">IOC, 2024.</w:t>
      </w:r>
      <w:r>
        <w:t xml:space="preserve"> </w:t>
      </w:r>
      <w:hyperlink r:id="rId164">
        <w:r>
          <w:rPr>
            <w:rStyle w:val="Hyperlink"/>
          </w:rPr>
          <w:t xml:space="preserve">Intergovernmental oceanographic commission ; sea level monitoring station - le conquet, france (LECY)</w:t>
        </w:r>
      </w:hyperlink>
      <w:r>
        <w:t xml:space="preserve">.</w:t>
      </w:r>
    </w:p>
    <w:bookmarkEnd w:id="165"/>
    <w:bookmarkStart w:id="166"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6"/>
    <w:bookmarkStart w:id="168"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7">
        <w:r>
          <w:rPr>
            <w:rStyle w:val="Hyperlink"/>
          </w:rPr>
          <w:t xml:space="preserve">https://doi.org/10.1016/S0304-4238(05)80016-0</w:t>
        </w:r>
      </w:hyperlink>
    </w:p>
    <w:bookmarkEnd w:id="168"/>
    <w:bookmarkStart w:id="170"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9">
        <w:r>
          <w:rPr>
            <w:rStyle w:val="Hyperlink"/>
          </w:rPr>
          <w:t xml:space="preserve">https://doi.org/10.1016/S0034-4257(70)80021-9</w:t>
        </w:r>
      </w:hyperlink>
    </w:p>
    <w:bookmarkEnd w:id="170"/>
    <w:bookmarkStart w:id="171" w:name="ref-hsdar"/>
    <w:p>
      <w:pPr>
        <w:pStyle w:val="Bibliography"/>
      </w:pPr>
      <w:r>
        <w:t xml:space="preserve">Lehnert, L.W., Meyer, H., Bendix, J., 2017. Hsdar: Manage, analyse and simulate hyperspectral data in r.</w:t>
      </w:r>
    </w:p>
    <w:bookmarkEnd w:id="171"/>
    <w:bookmarkStart w:id="172" w:name="ref-loarie2009velocity"/>
    <w:p>
      <w:pPr>
        <w:pStyle w:val="Bibliography"/>
      </w:pPr>
      <w:r>
        <w:t xml:space="preserve">Loarie, S.R., Duffy, P.B., Hamilton, H., Asner, G.P., Field, C.B., Ackerly, D.D., 2009. The velocity of climate change. Nature 462, 1052–1055.</w:t>
      </w:r>
    </w:p>
    <w:bookmarkEnd w:id="172"/>
    <w:bookmarkStart w:id="17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3"/>
    <w:bookmarkStart w:id="175" w:name="ref-malvern_panalytical_rs3"/>
    <w:p>
      <w:pPr>
        <w:pStyle w:val="Bibliography"/>
      </w:pPr>
      <w:r>
        <w:t xml:space="preserve">Malvern Panalytical, 2023.</w:t>
      </w:r>
      <w:r>
        <w:t xml:space="preserve"> </w:t>
      </w:r>
      <w:hyperlink r:id="rId174">
        <w:r>
          <w:rPr>
            <w:rStyle w:val="Hyperlink"/>
          </w:rPr>
          <w:t xml:space="preserve">RS3 software</w:t>
        </w:r>
      </w:hyperlink>
      <w:r>
        <w:t xml:space="preserve">.</w:t>
      </w:r>
    </w:p>
    <w:bookmarkEnd w:id="175"/>
    <w:bookmarkStart w:id="176" w:name="ref-marba2010mediterranean"/>
    <w:p>
      <w:pPr>
        <w:pStyle w:val="Bibliography"/>
      </w:pPr>
      <w:r>
        <w:t xml:space="preserve">Marbà, N., Duarte, C.M., 2010. Mediterranean warming triggers seagrass (posidonia oceanica) shoot mortality. Global change biology 16, 2366–2375.</w:t>
      </w:r>
    </w:p>
    <w:bookmarkEnd w:id="176"/>
    <w:bookmarkStart w:id="177"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7"/>
    <w:bookmarkStart w:id="17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8"/>
    <w:bookmarkStart w:id="179"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79"/>
    <w:bookmarkStart w:id="181"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0">
        <w:r>
          <w:rPr>
            <w:rStyle w:val="Hyperlink"/>
          </w:rPr>
          <w:t xml:space="preserve">https://doi.org/10.3390/rs16234383</w:t>
        </w:r>
      </w:hyperlink>
    </w:p>
    <w:bookmarkEnd w:id="181"/>
    <w:bookmarkStart w:id="182"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2"/>
    <w:bookmarkStart w:id="183" w:name="ref-peidro2024quantifying"/>
    <w:p>
      <w:pPr>
        <w:pStyle w:val="Bibliography"/>
      </w:pPr>
      <w:r>
        <w:t xml:space="preserve">Peidro-Devesa, M.J., Martı́nez-Movilla, A., Rodrı́guez-Somoza, J.L., Sánchez, J.M., Román, M., 2024. Quantifying intertidal macroalgae stocks in the NW iberian peninsula using unmanned aerial vehicle (UAV) multispectral imagery. Regional Studies in Marine Science 103621.</w:t>
      </w:r>
    </w:p>
    <w:bookmarkEnd w:id="183"/>
    <w:bookmarkStart w:id="184"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4"/>
    <w:bookmarkStart w:id="185" w:name="ref-perkins2013measurement"/>
    <w:p>
      <w:pPr>
        <w:pStyle w:val="Bibliography"/>
      </w:pPr>
      <w:r>
        <w:t xml:space="preserve">Perkins, S.E., Alexander, L.V., 2013. On the measurement of heat waves. Journal of climate 26, 4500–4517.</w:t>
      </w:r>
    </w:p>
    <w:bookmarkEnd w:id="185"/>
    <w:bookmarkStart w:id="187" w:name="ref-Rbase"/>
    <w:p>
      <w:pPr>
        <w:pStyle w:val="Bibliography"/>
      </w:pPr>
      <w:r>
        <w:t xml:space="preserve">R Core Team, 2023.</w:t>
      </w:r>
      <w:r>
        <w:t xml:space="preserve"> </w:t>
      </w:r>
      <w:hyperlink r:id="rId186">
        <w:r>
          <w:rPr>
            <w:rStyle w:val="Hyperlink"/>
          </w:rPr>
          <w:t xml:space="preserve">R: A language and environment for statistical computing</w:t>
        </w:r>
      </w:hyperlink>
      <w:r>
        <w:t xml:space="preserve">. R Foundation for Statistical Computing, Vienna, Austria.</w:t>
      </w:r>
    </w:p>
    <w:bookmarkEnd w:id="187"/>
    <w:bookmarkStart w:id="188" w:name="ref-ramesh2020seagrass"/>
    <w:p>
      <w:pPr>
        <w:pStyle w:val="Bibliography"/>
      </w:pPr>
      <w:r>
        <w:t xml:space="preserve">Ramesh, C., Mohanraju, R., 2020. Seagrass ecosystems of andaman and nicobar islands: Status and future perspective. Environmental &amp; Earth Sciences Research Journal 7.</w:t>
      </w:r>
    </w:p>
    <w:bookmarkEnd w:id="188"/>
    <w:bookmarkStart w:id="189" w:name="ref-roca2016response"/>
    <w:p>
      <w:pPr>
        <w:pStyle w:val="Bibliography"/>
      </w:pPr>
      <w:r>
        <w:t xml:space="preserve">Roca, G., Alcoverro, T., Krause-Jensen, D., Balsby, T.J.S., Katwijk, M.M. van, Marbà, N., Santos, R., Arthur, R., Mascaró, O., Fernández-Torquemada, Y., others, 2016. Response of seagrass indicators to shifts in environmental stressors: A global review and management synthesis. Ecological Indicators 63, 310–323.</w:t>
      </w:r>
    </w:p>
    <w:bookmarkEnd w:id="189"/>
    <w:bookmarkStart w:id="190" w:name="ref-roman2021using"/>
    <w:p>
      <w:pPr>
        <w:pStyle w:val="Bibliography"/>
      </w:pPr>
      <w:r>
        <w:t xml:space="preserve">Román, A., Tovar-Sánchez, A., Olivé, I., Navarro, G., 2021. Using a UAV-mounted multispectral camera for the monitoring of marine macrophytes. Frontiers in Marine Science 8, 722698.</w:t>
      </w:r>
    </w:p>
    <w:bookmarkEnd w:id="190"/>
    <w:bookmarkStart w:id="191" w:name="ref-roman2023clam"/>
    <w:p>
      <w:pPr>
        <w:pStyle w:val="Bibliography"/>
      </w:pPr>
      <w:r>
        <w:t xml:space="preserve">Román, M., Gilbert, F., Viejo, R.M., Román, S., Troncoso, J.S., Vázquez, E., Olabarria, C., 2023. Are clam-seagrass interactions affected by heatwaves during emersion? Marine Environmental Research 186, 105906.</w:t>
      </w:r>
    </w:p>
    <w:bookmarkEnd w:id="191"/>
    <w:bookmarkStart w:id="192" w:name="ref-roman2022effects"/>
    <w:p>
      <w:pPr>
        <w:pStyle w:val="Bibliography"/>
      </w:pPr>
      <w:r>
        <w:t xml:space="preserve">Román, S., Vázquez, E., Román, M., Viejo, R.M., Woodin, S.A., Wethey, D.S., Troncoso, J.S., Olabarria, C., 2022. Effects of warming on biological interactions between clams and the seagrass zostera noltei: A case study using open top chambers. Estuarine, Coastal and Shelf Science 276, 108027.</w:t>
      </w:r>
    </w:p>
    <w:bookmarkEnd w:id="192"/>
    <w:bookmarkStart w:id="193" w:name="ref-rouse1974monitoring"/>
    <w:p>
      <w:pPr>
        <w:pStyle w:val="Bibliography"/>
      </w:pPr>
      <w:r>
        <w:t xml:space="preserve">Rouse, J.W., Haas, R.H., Schell, J.A., Deering, D.W., others, 1974. Monitoring vegetation systems in the great plains with ERTS. NASA Spec. Publ 351, 309.</w:t>
      </w:r>
    </w:p>
    <w:bookmarkEnd w:id="193"/>
    <w:bookmarkStart w:id="194"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4"/>
    <w:bookmarkStart w:id="19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5"/>
    <w:bookmarkStart w:id="19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6">
        <w:r>
          <w:rPr>
            <w:rStyle w:val="Hyperlink"/>
          </w:rPr>
          <w:t xml:space="preserve">https://doi.org/10.21105/joss.00821</w:t>
        </w:r>
      </w:hyperlink>
    </w:p>
    <w:bookmarkEnd w:id="197"/>
    <w:bookmarkStart w:id="19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8"/>
    <w:bookmarkStart w:id="200" w:name="ref-shom_ram_2022"/>
    <w:p>
      <w:pPr>
        <w:pStyle w:val="Bibliography"/>
      </w:pPr>
      <w:r>
        <w:t xml:space="preserve">SHOM, 2022.</w:t>
      </w:r>
      <w:r>
        <w:t xml:space="preserve"> </w:t>
      </w:r>
      <w:hyperlink r:id="rId199">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0"/>
    <w:bookmarkStart w:id="202" w:name="Xbef41143b4d4042e58f11cfc27e216202646012"/>
    <w:p>
      <w:pPr>
        <w:pStyle w:val="Bibliography"/>
      </w:pPr>
      <w:r>
        <w:t xml:space="preserve">SHOM, 2021.</w:t>
      </w:r>
      <w:r>
        <w:t xml:space="preserve"> </w:t>
      </w:r>
      <w:hyperlink r:id="rId201">
        <w:r>
          <w:rPr>
            <w:rStyle w:val="Hyperlink"/>
          </w:rPr>
          <w:t xml:space="preserve">Service hydrographique et océanographique de la marine ; bathymétrie Litto3D® bretagne 2018-2021</w:t>
        </w:r>
      </w:hyperlink>
      <w:r>
        <w:t xml:space="preserve">.</w:t>
      </w:r>
    </w:p>
    <w:bookmarkEnd w:id="202"/>
    <w:bookmarkStart w:id="203"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3"/>
    <w:bookmarkStart w:id="20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4"/>
    <w:bookmarkStart w:id="205" w:name="ref-stan2020rstan"/>
    <w:p>
      <w:pPr>
        <w:pStyle w:val="Bibliography"/>
      </w:pPr>
      <w:r>
        <w:t xml:space="preserve">Stan Development Team, C., others, 2020. RStan: The r interface to stan. R package version 2.21. 2.</w:t>
      </w:r>
    </w:p>
    <w:bookmarkEnd w:id="205"/>
    <w:bookmarkStart w:id="206" w:name="ref-stillman2019heat"/>
    <w:p>
      <w:pPr>
        <w:pStyle w:val="Bibliography"/>
      </w:pPr>
      <w:r>
        <w:t xml:space="preserve">Stillman, J.H., 2019. Heat waves, the new normal: Summertime temperature extremes will impact animals, ecosystems, and human communities. Physiology 34, 86–100.</w:t>
      </w:r>
    </w:p>
    <w:bookmarkEnd w:id="206"/>
    <w:bookmarkStart w:id="207"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07"/>
    <w:bookmarkStart w:id="208"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8"/>
    <w:bookmarkStart w:id="209"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09"/>
    <w:bookmarkStart w:id="210" w:name="ref-unsworth2014biodiversity"/>
    <w:p>
      <w:pPr>
        <w:pStyle w:val="Bibliography"/>
      </w:pPr>
      <w:r>
        <w:t xml:space="preserve">Unsworth, R., Cullen-Unsworth, L.C., 2014. Biodiversity, ecosystem services, and the conservation of seagrass meadows. Coast. Conserv 19, 95.</w:t>
      </w:r>
    </w:p>
    <w:bookmarkEnd w:id="210"/>
    <w:bookmarkStart w:id="211" w:name="ref-unsworth2021seagrass"/>
    <w:p>
      <w:pPr>
        <w:pStyle w:val="Bibliography"/>
      </w:pPr>
      <w:r>
        <w:t xml:space="preserve">Unsworth, R.K., Butterworth, E.G., 2021. Seagrass meadows provide a significant resource in support of avifauna. Diversity 13, 363.</w:t>
      </w:r>
    </w:p>
    <w:bookmarkEnd w:id="211"/>
    <w:bookmarkStart w:id="212" w:name="ref-unsworth2022planetary"/>
    <w:p>
      <w:pPr>
        <w:pStyle w:val="Bibliography"/>
      </w:pPr>
      <w:r>
        <w:t xml:space="preserve">Unsworth, R.K., Cullen-Unsworth, L.C., Jones, B.L., Lilley, R.J., 2022. The planetary role of seagrass conservation. Science 377, 609–613.</w:t>
      </w:r>
    </w:p>
    <w:bookmarkEnd w:id="212"/>
    <w:bookmarkStart w:id="213"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3"/>
    <w:bookmarkStart w:id="214"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14"/>
    <w:bookmarkStart w:id="215"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15"/>
    <w:bookmarkStart w:id="216" w:name="ref-zahoor2023water"/>
    <w:p>
      <w:pPr>
        <w:pStyle w:val="Bibliography"/>
      </w:pPr>
      <w:r>
        <w:t xml:space="preserve">Zahoor, I., Mushtaq, A., 2023. Water pollution from agricultural activities: A critical global review. Int. J. Chem. Biochem. Sci 23, 164–176.</w:t>
      </w:r>
    </w:p>
    <w:bookmarkEnd w:id="216"/>
    <w:bookmarkStart w:id="217"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7"/>
    <w:bookmarkStart w:id="219"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8">
        <w:r>
          <w:rPr>
            <w:rStyle w:val="Hyperlink"/>
          </w:rPr>
          <w:t xml:space="preserve">https://doi.org/10.1002/rse2.319</w:t>
        </w:r>
      </w:hyperlink>
    </w:p>
    <w:bookmarkEnd w:id="219"/>
    <w:bookmarkStart w:id="220"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0"/>
    <w:bookmarkEnd w:id="221"/>
    <w:bookmarkEnd w:id="222"/>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5" Target="media/rId115.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49" Target="media/rId49.png"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4" Target="media/rId54.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hyperlink" Id="rId199" Target="https://diffusion.shom.fr/references-altimetriques-maritimes-ram.html" TargetMode="External" /><Relationship Type="http://schemas.openxmlformats.org/officeDocument/2006/relationships/hyperlink" Id="rId218"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41"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7" Target="https://doi.org/10.18637/jss.v100.i05" TargetMode="External" /><Relationship Type="http://schemas.openxmlformats.org/officeDocument/2006/relationships/hyperlink" Id="rId196" Target="https://doi.org/10.21105/joss.00821" TargetMode="External" /><Relationship Type="http://schemas.openxmlformats.org/officeDocument/2006/relationships/hyperlink" Id="rId180"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34" Target="https://doi.org/10.59327/IPCC/AR6-9789291691647.001" TargetMode="External" /><Relationship Type="http://schemas.openxmlformats.org/officeDocument/2006/relationships/hyperlink" Id="rId148" Target="https://electricblue.eu/intertidal-chamber" TargetMode="External" /><Relationship Type="http://schemas.openxmlformats.org/officeDocument/2006/relationships/hyperlink" Id="rId201" Target="https://services.data.shom.fr/geonetwork/srv/fre/catalog.search#/metadata/BATHYMETRIE_LITTO3D_BZH_2018_2021.xml" TargetMode="External" /><Relationship Type="http://schemas.openxmlformats.org/officeDocument/2006/relationships/hyperlink" Id="rId186"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199" Target="https://diffusion.shom.fr/references-altimetriques-maritimes-ram.html" TargetMode="External" /><Relationship Type="http://schemas.openxmlformats.org/officeDocument/2006/relationships/hyperlink" Id="rId218"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41"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7" Target="https://doi.org/10.18637/jss.v100.i05" TargetMode="External" /><Relationship Type="http://schemas.openxmlformats.org/officeDocument/2006/relationships/hyperlink" Id="rId196" Target="https://doi.org/10.21105/joss.00821" TargetMode="External" /><Relationship Type="http://schemas.openxmlformats.org/officeDocument/2006/relationships/hyperlink" Id="rId180"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34" Target="https://doi.org/10.59327/IPCC/AR6-9789291691647.001" TargetMode="External" /><Relationship Type="http://schemas.openxmlformats.org/officeDocument/2006/relationships/hyperlink" Id="rId148" Target="https://electricblue.eu/intertidal-chamber" TargetMode="External" /><Relationship Type="http://schemas.openxmlformats.org/officeDocument/2006/relationships/hyperlink" Id="rId201" Target="https://services.data.shom.fr/geonetwork/srv/fre/catalog.search#/metadata/BATHYMETRIE_LITTO3D_BZH_2018_2021.xml" TargetMode="External" /><Relationship Type="http://schemas.openxmlformats.org/officeDocument/2006/relationships/hyperlink" Id="rId186"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Marta Román1¹⁴; Pierre Gernez¹; Laurent Barillé¹</dc:creator>
  <cp:keywords>Remote Sensing, Pigment Composition, Seagrass, Coastal Ecosystems, Heatwaves</cp:keywords>
  <dcterms:created xsi:type="dcterms:W3CDTF">2025-02-19T10:07:47Z</dcterms:created>
  <dcterms:modified xsi:type="dcterms:W3CDTF">2025-02-19T10:07:47Z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2025-02-19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