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7.png" ContentType="image/png"/>
  <Override PartName="/word/media/rId31.png" ContentType="image/png"/>
  <Override PartName="/word/media/rId25.png" ContentType="image/png"/>
  <Override PartName="/word/media/rId103.png" ContentType="image/png"/>
  <Override PartName="/word/media/rId87.png" ContentType="image/png"/>
  <Override PartName="/word/media/rId49.png" ContentType="image/png"/>
  <Override PartName="/word/media/rId80.png" ContentType="image/png"/>
  <Override PartName="/word/media/rId93.png" ContentType="image/png"/>
  <Override PartName="/word/media/rId98.png" ContentType="image/png"/>
  <Override PartName="/word/media/rId54.png" ContentType="image/png"/>
  <Override PartName="/word/media/rId75.png" ContentType="image/png"/>
  <Override PartName="/word/media/rId69.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2024-12-17</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w:t>
      </w:r>
      <w:r>
        <w:t xml:space="preserve"> </w:t>
      </w:r>
      <w:r>
        <w:t xml:space="preserve">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Intertidal seagrasses play a crucial role in coastal ecosystems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for several ecological functions, such as sediment stabilization or reducing the risk of eutrophication by consuming nutrients (</w:t>
      </w:r>
      <w:r>
        <w:rPr>
          <w:b/>
          <w:bCs/>
        </w:rPr>
        <w:t xml:space="preserve">REF</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These habitats are subjected to a combination of aquatic and aerial conditions, facing impact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agricultural and urban runoff nutrient enrichment, leading to eutrophication. This condition promotes the rapid growth of algal causing blooms that compete with seagrasses for light and nutrients, further stressing these important plants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 Among these anthropogenic stressors, heatwaves (HW), exacerbated by climate change, pose a growing threat to seagrasses</w:t>
      </w:r>
      <w:r>
        <w:t xml:space="preserve"> </w:t>
      </w:r>
      <w:r>
        <w:t xml:space="preserve">(Deguette et al., 2022; Sawall et al., 2021)</w:t>
      </w:r>
      <w:r>
        <w:t xml:space="preserve">.</w:t>
      </w:r>
      <w:r>
        <w:t xml:space="preserve"> </w:t>
      </w:r>
      <w:r>
        <w:rPr>
          <w:b/>
          <w:bCs/>
        </w:rPr>
        <w:t xml:space="preserve">However, their impact on seagrass spectral reflectance has not yet been investigated.</w:t>
      </w:r>
      <w:r>
        <w:t xml:space="preserve"> </w:t>
      </w:r>
      <w:r>
        <w:t xml:space="preserve">Marine Heatwaves (MHW)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Intertidal seagrasses are exposed to both MHWs and AHWs at the interface between the land and oceans. HWs profoundly impact the physiology of seagrasses, with their effects varying based on species and geographic location. The widespread species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HWs,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Structural impacts on leaf coloration were also observed: in September 2021, a seagrass meadow in South Brittany (France) exhibited browning of the leaves just a few days after the start of a HW characterized by both water and atmospheric temperature anomalies (Barillé A-L &amp; Harin N., pers. comm.).</w:t>
      </w:r>
    </w:p>
    <w:p>
      <w:pPr>
        <w:pStyle w:val="BodyText"/>
      </w:pPr>
      <w:r>
        <w:t xml:space="preserve">Remote sensing is increasingly employed to monitor different type of ecosystems, including intertidal seagrass meadows</w:t>
      </w:r>
      <w:r>
        <w:t xml:space="preserve"> </w:t>
      </w:r>
      <w:r>
        <w:t xml:space="preserve">(Davies et al., 2024a, 2024b; Oiry et al., 2024; Román et al., 2021)</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phase,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These findings were then applied to satellite remote sensing iamges, providing critical insights into the spatial extent and temporal dynamics of HW effects on seagrass meadows. By linking experimental results with large-scale observations, the study underscores the potential of remote sensing to enhance our understanding of seagrass responses to extreme thermal events across diverse settings and timescales.</w:t>
      </w:r>
    </w:p>
    <w:bookmarkEnd w:id="24"/>
    <w:bookmarkStart w:id="68"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Bourgneuf Bay, France (46°57’32.0”N, 2°10’37.0”W) at low tide in summer 2024. A metal sampling box was used to sample seagrass from an area of 30 cm by 15 cm and 5 cm deep, maintaining the sediment structure and avoiding damage to seagrass rhizomes and leaves (</w:t>
      </w:r>
      <w:hyperlink w:anchor="fig-design">
        <w:r>
          <w:rPr>
            <w:rStyle w:val="Hyperlink"/>
          </w:rPr>
          <w:t xml:space="preserve">Figure 1</w:t>
        </w:r>
      </w:hyperlink>
      <w:r>
        <w:t xml:space="preserve"> </w:t>
      </w:r>
      <w:r>
        <w:t xml:space="preserve">A). This sampling box reduced variability between replicates.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during one week with a water temperature of 17°C, matching the</w:t>
      </w:r>
      <w:r>
        <w:t xml:space="preserve"> </w:t>
      </w:r>
      <w:r>
        <w:rPr>
          <w:i/>
          <w:iCs/>
        </w:rPr>
        <w:t xml:space="preserve">in situ</w:t>
      </w:r>
      <w:r>
        <w:t xml:space="preserve"> </w:t>
      </w:r>
      <w:r>
        <w:t xml:space="preserve">temperature during sampling, and light of 150 µmol.s</w:t>
      </w:r>
      <w:r>
        <w:rPr>
          <w:vertAlign w:val="superscript"/>
        </w:rPr>
        <w:t xml:space="preserve">-1</w:t>
      </w:r>
      <w:r>
        <w:t xml:space="preserve">.m</w:t>
      </w:r>
      <w:r>
        <w:rPr>
          <w:vertAlign w:val="superscript"/>
        </w:rPr>
        <w:t xml:space="preserve">-2</w:t>
      </w:r>
      <w:r>
        <w:t xml:space="preserve"> </w:t>
      </w:r>
      <w:r>
        <w:t xml:space="preserve">of PAR photons</w:t>
      </w:r>
      <w:r>
        <w:t xml:space="preserve"> </w:t>
      </w:r>
      <w:r>
        <w:t xml:space="preserve">(Akbar et al., 2020)</w:t>
      </w:r>
      <w:r>
        <w:t xml:space="preserve">. During high tide, a pump allowed the water to circulate and to re-oxygenate.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coring device; B: Intertidal chamber used during the experiment; C: Seagrass sample inside a chamber during the experiment at high tide; D: Treatment sample at the start of the experiment; E: Treatment sample at the end of the experiment, 2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Two experimental intertidal chambers from ElectricBlue®</w:t>
      </w:r>
      <w:r>
        <w:t xml:space="preserve"> </w:t>
      </w:r>
      <w:r>
        <w:t xml:space="preserve">(Electric Blue, 2023)</w:t>
      </w:r>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The chambers were utilized in parallel, with one chamber serving as the control, while the other was used for the experimental treatment.</w:t>
      </w:r>
    </w:p>
    <w:p>
      <w:pPr>
        <w:pStyle w:val="BodyText"/>
      </w:pPr>
      <w:r>
        <w:rPr>
          <w:i/>
          <w:iCs/>
        </w:rPr>
        <w:t xml:space="preserve">In situ</w:t>
      </w:r>
      <w:r>
        <w:t xml:space="preserve"> </w:t>
      </w:r>
      <w:r>
        <w:t xml:space="preserve">temperature sensors were installed at the sampling site in Bourgneuf Bay in August 2024 to closely reproduce field temperatures experienced by seagrasses during the experiment. Daily maximum temperatures recorded by these</w:t>
      </w:r>
      <w:r>
        <w:t xml:space="preserve"> </w:t>
      </w:r>
      <w:r>
        <w:rPr>
          <w:i/>
          <w:iCs/>
        </w:rPr>
        <w:t xml:space="preserve">in situ</w:t>
      </w:r>
      <w:r>
        <w:t xml:space="preserve"> </w:t>
      </w:r>
      <w:r>
        <w:t xml:space="preserve">sensors (T7.3 EnvLoggers from from ElectricBlue®) were compared to measurements from the nearest Meteo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AHW that affected the seagrass meadow in Quiberon, South Brittany, France (47°35’40.0”N, 3°07’30.0”W), from September 2 to September 6, 2021. On the first day of the experiment, air temperatures in the experimental chamber were set to range from 23°C at night to 35°C during the day, increasing by 1°C daily during three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this MHW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“Run”</w:t>
      </w:r>
      <w:r>
        <w:t xml:space="preserve">). The intertidal chambers provided by ElectricBlue® were equipped with LED lights that emitted low red and infrared radiation. To achieve a Photosynthetically Active Radiation (PAR) intensity of up to 400 μmol·m⁻²·s⁻¹, a filament bulb was added inside the chambers.</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profiles of both the control (left) and the treatment (right) followed during the HW experiment. The red line indicates air temperature, whereas the blue line indicates water temperature. Due to the tidal cycle followed during the experiment, the seagrasses only experience temperatures representade by solid lines.</w:t>
            </w:r>
          </w:p>
          <w:bookmarkEnd w:id="34"/>
        </w:tc>
      </w:tr>
    </w:tbl>
    <w:bookmarkEnd w:id="35"/>
    <w:bookmarkEnd w:id="36"/>
    <w:bookmarkStart w:id="47" w:name="optical-measurements"/>
    <w:p>
      <w:pPr>
        <w:pStyle w:val="Heading3"/>
      </w:pPr>
      <w:r>
        <w:t xml:space="preserve">3.1.3 Optical measurements</w:t>
      </w:r>
    </w:p>
    <w:bookmarkStart w:id="37" w:name="hyperspectral-measurements"/>
    <w:p>
      <w:pPr>
        <w:pStyle w:val="Heading4"/>
      </w:pPr>
      <w:r>
        <w:t xml:space="preserve">3.1.3.1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Two additional well-established radiometric indices were also tested :</w:t>
      </w:r>
    </w:p>
    <w:p>
      <w:pPr>
        <w:pStyle w:val="Compact"/>
        <w:numPr>
          <w:ilvl w:val="0"/>
          <w:numId w:val="1001"/>
        </w:numPr>
      </w:pPr>
      <w:r>
        <w:t xml:space="preserve">The 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greenness of seagrass leaves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HWs, we developed a new radiometric index to detect colour changes in the visible but also near-infrared slope variations, a significant spectral feature for seagrasses</w:t>
      </w:r>
      <w:r>
        <w:t xml:space="preserve"> </w:t>
      </w:r>
      <w:r>
        <w:t xml:space="preserve">(Davies et al., 2023)</w:t>
      </w:r>
      <w:r>
        <w:t xml:space="preserve">. The observed green colour of the leaves turning brown was characterized by a reduction in reflectance within the green region and a substantial decrease in the red-edge portion of the electromagnetic spectrum.</w:t>
      </w:r>
    </w:p>
    <w:p>
      <w:pPr>
        <w:pStyle w:val="BodyText"/>
      </w:pPr>
      <w:r>
        <w:t xml:space="preserve">The Seagrass Heat Shock Index (SHSI) is introduced here to measure the difference between the interpolated value between 560 and 842 nm and the observed value at 740 nm (</w:t>
      </w:r>
      <w:hyperlink w:anchor="fig-SHSI">
        <w:r>
          <w:rPr>
            <w:rStyle w:val="Hyperlink"/>
          </w:rPr>
          <w:t xml:space="preserve">Figure 3</w:t>
        </w:r>
      </w:hyperlink>
      <w:r>
        <w:t xml:space="preserve">). This approach calculates the line height using a triplet of bands, where 560 nm and 842 nm serve as the</w:t>
      </w:r>
      <w:r>
        <w:t xml:space="preserve"> </w:t>
      </w:r>
      <w:r>
        <w:t xml:space="preserve">‘baseline’</w:t>
      </w:r>
      <w:r>
        <w:t xml:space="preserve"> </w:t>
      </w:r>
      <w:r>
        <w:t xml:space="preserve">and 740 nm represents the central peak. The SHSI can be mathematically expressed as: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map leaves browning from satellite data. When applied to unimpacted seagrass spectra, the interpolated line between 560 and 842 nm falls below the reflectance value at 740 nm, resulting in a negative SHSI value (</w:t>
      </w:r>
      <w:hyperlink w:anchor="fig-SHSI">
        <w:r>
          <w:rPr>
            <w:rStyle w:val="Hyperlink"/>
          </w:rPr>
          <w:t xml:space="preserve">Figure 3</w:t>
        </w:r>
      </w:hyperlink>
      <w:r>
        <w:t xml:space="preserve"> </w:t>
      </w:r>
      <w:r>
        <w:t xml:space="preserve">A). In contrast, when applied to impacted seagrass spectra, the interpolated line lies above the 740 nm reflectance value, resulting in a positive SHSI value (</w:t>
      </w:r>
      <w:hyperlink w:anchor="fig-SHSI">
        <w:r>
          <w:rPr>
            <w:rStyle w:val="Hyperlink"/>
          </w:rPr>
          <w:t xml:space="preserve">Figure 3</w:t>
        </w:r>
      </w:hyperlink>
      <w:r>
        <w:t xml:space="preserve"> </w:t>
      </w:r>
      <w:r>
        <w:t xml:space="preserve">B).</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Seagrass Heat Shock Index (SHSI) from Reflectance Spectra of Impacted (A) and Unimpacted (B) seagrass. Hard darkline represents the interpolation between 560 and 842 nm while the red line represents the SHSI value, mesured at 740 nm.</w:t>
            </w:r>
          </w:p>
          <w:bookmarkEnd w:id="44"/>
        </w:tc>
      </w:tr>
    </w:tbl>
    <w:bookmarkEnd w:id="45"/>
    <w:bookmarkEnd w:id="46"/>
    <w:bookmarkEnd w:id="47"/>
    <w:bookmarkEnd w:id="48"/>
    <w:bookmarkStart w:id="66" w:name="X53c8231f04157ff9451ec0257d89262a154cfec"/>
    <w:p>
      <w:pPr>
        <w:pStyle w:val="Heading2"/>
      </w:pPr>
      <w:r>
        <w:t xml:space="preserve">3.2 Observation of a seagrass bed impacted by a HWs</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 in a seagrass meadow impacted by a HW that occured on the 10th of September 2021 in Quiberon, South Brittany, France. The red line indicates the intertidal zone (Zone between high tide and low tide, exposed during low tide), white polygons indicates land areas, the dark green polygon indicates the extent of the seagrass meadow and the olive polygons indicates saltmarshes. Greendots indicate the location of quadrat picture over unimpacted seagrasses (i.e. showing a green colour on the field), while orange-red dots indicate the location of the quadrat taken over impacted seagrasses (i.e. showing a brown colour on the field).</w:t>
            </w:r>
          </w:p>
          <w:bookmarkEnd w:id="52"/>
        </w:tc>
      </w:tr>
    </w:tbl>
    <w:bookmarkEnd w:id="53"/>
    <w:p>
      <w:pPr>
        <w:pStyle w:val="BodyText"/>
      </w:pPr>
      <w:r>
        <w:t xml:space="preserve">A field campaign, aiming to map a seagrass meadow near Quiberon (France : 46°57’32.0”N, 2°10’37.0”W), occurred on September 10th 2021 after a AHW and a MHW (</w:t>
      </w:r>
      <w:hyperlink w:anchor="fig-quiberonMap">
        <w:r>
          <w:rPr>
            <w:rStyle w:val="Hyperlink"/>
          </w:rPr>
          <w:t xml:space="preserve">Figure 4</w:t>
        </w:r>
      </w:hyperlink>
      <w:r>
        <w:t xml:space="preserve">). Seagrass leaves turning brown were observed over large areas of the meadow alongside normal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QPs unimpacted) and brown seagrasses (henceforth: QPs impacted), based on a visual estimation of the leaf coloration (</w:t>
      </w:r>
      <w:hyperlink w:anchor="fig-quiberonMap">
        <w:r>
          <w:rPr>
            <w:rStyle w:val="Hyperlink"/>
          </w:rPr>
          <w:t xml:space="preserve">Figure 4</w:t>
        </w:r>
      </w:hyperlink>
      <w:r>
        <w:t xml:space="preserve">).</w:t>
      </w:r>
    </w:p>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colorations of seagrass leaves observed in the field. A: View of a green meadow; B: Quadrat with green leaves; C: Quadrat with brown leaves; D: View of a meadow with all leaves turned brown. All images were taken on September 10th, 2021, in Quiberon, South Brittany, France, after a HW.</w:t>
            </w:r>
          </w:p>
          <w:bookmarkEnd w:id="57"/>
        </w:tc>
      </w:tr>
    </w:tbl>
    <w:bookmarkEnd w:id="58"/>
    <w:bookmarkStart w:id="63" w:name="X3f22a78bf824ed8805aa3d53dda23673418e925"/>
    <w:p>
      <w:pPr>
        <w:pStyle w:val="Heading3"/>
      </w:pPr>
      <w:r>
        <w:t xml:space="preserve">3.2.1 Temperature data and identification of the HW</w:t>
      </w:r>
    </w:p>
    <w:bookmarkStart w:id="60" w:name="air-temperature"/>
    <w:p>
      <w:pPr>
        <w:pStyle w:val="Heading4"/>
      </w:pPr>
      <w:r>
        <w:t xml:space="preserve">3.2.1.1 Air temperature</w:t>
      </w:r>
    </w:p>
    <w:p>
      <w:pPr>
        <w:pStyle w:val="FirstParagraph"/>
      </w:pPr>
      <w:r>
        <w:t xml:space="preserve">Since January 1st, 2024, Meteo France weather data has been freely and openly accessible. Hourly air temperature data (°C) was retrieved using a</w:t>
      </w:r>
      <w:r>
        <w:t xml:space="preserve"> </w:t>
      </w:r>
      <w:hyperlink r:id="rId59">
        <w:r>
          <w:rPr>
            <w:rStyle w:val="Hyperlink"/>
          </w:rPr>
          <w:t xml:space="preserve">custom script</w:t>
        </w:r>
      </w:hyperlink>
      <w:r>
        <w:t xml:space="preserve"> </w:t>
      </w:r>
      <w:r>
        <w:t xml:space="preserve">as no API was available at the time of this study. Data from the nearest weather station of our study site (Lorient-Lann Bihoue, 47°45’46”N 3°26’11”W) were downloaded. For this station more than 395000 hourly observations since the February 1</w:t>
      </w:r>
      <w:r>
        <w:rPr>
          <w:vertAlign w:val="superscript"/>
        </w:rPr>
        <w:t xml:space="preserve">st</w:t>
      </w:r>
      <w:r>
        <w:t xml:space="preserve">, 1952, were available.</w:t>
      </w:r>
    </w:p>
    <w:bookmarkEnd w:id="60"/>
    <w:bookmarkStart w:id="61" w:name="water-temperature"/>
    <w:p>
      <w:pPr>
        <w:pStyle w:val="Heading4"/>
      </w:pPr>
      <w:r>
        <w:t xml:space="preserve">3.2.1.2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61"/>
    <w:bookmarkStart w:id="62" w:name="heatwave-detection-and-characterization"/>
    <w:p>
      <w:pPr>
        <w:pStyle w:val="Heading4"/>
      </w:pPr>
      <w:r>
        <w:t xml:space="preserve">3.2.1.3 Heatwave detection and characterization</w:t>
      </w:r>
    </w:p>
    <w:p>
      <w:pPr>
        <w:pStyle w:val="FirstParagraph"/>
      </w:pPr>
      <w:r>
        <w:t xml:space="preserve">Marine and Atmospheric 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climatology of both air and water temperature for the year was computed using the temperature time series. An event was considered a HW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62"/>
    <w:bookmarkEnd w:id="63"/>
    <w:bookmarkStart w:id="64" w:name="satellite-observation"/>
    <w:p>
      <w:pPr>
        <w:pStyle w:val="Heading3"/>
      </w:pPr>
      <w:r>
        <w:t xml:space="preserve">3.2.2 Satellite observation</w:t>
      </w:r>
    </w:p>
    <w:p>
      <w:pPr>
        <w:pStyle w:val="FirstParagraph"/>
      </w:pPr>
      <w:r>
        <w:t xml:space="preserve">Three Sentinel-2 images covering the field campaign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HW event on September 1st, 2021, the second image during the event on September 6th,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The satellite reflectance value (</w:t>
      </w:r>
      <w:hyperlink w:anchor="fig-quiberonMap">
        <w:r>
          <w:rPr>
            <w:rStyle w:val="Hyperlink"/>
          </w:rPr>
          <w:t xml:space="preserve">Figure 4</w:t>
        </w:r>
      </w:hyperlink>
      <w:r>
        <w:t xml:space="preserve">) was extracted for each field QPs and compared before and after the HW event.</w:t>
      </w:r>
    </w:p>
    <w:bookmarkEnd w:id="64"/>
    <w:bookmarkStart w:id="65" w:name="emersion-time-of-the-seagrass-meadow"/>
    <w:p>
      <w:pPr>
        <w:pStyle w:val="Heading3"/>
      </w:pPr>
      <w:r>
        <w:t xml:space="preserve">3.2.3 Emersion time of the seagrass meadow</w:t>
      </w:r>
    </w:p>
    <w:p>
      <w:pPr>
        <w:pStyle w:val="FirstParagraph"/>
      </w:pPr>
      <w:r>
        <w:t xml:space="preserve">To estimate the spatial distribution of emersion time of the seagrass meadow during low tide, bathymetric and water level data were used. The hypothesis was that the leaf’s discoloration follwing the HW was related to the emersion time and intertidal topography.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with a spatial resolution of 1 m per pixel,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Water level at one-minute intervals data during the HW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The correction factor for Le Crouesty port data from 2022 was 2.85 m.</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5"/>
    <w:bookmarkEnd w:id="66"/>
    <w:bookmarkStart w:id="67"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(Impacted vs Unimpacted). For analysis of relative changes in indices calculated from experimental spectra the relative change in index was modelled as function of Days (1-3: Discrete) with Replicate (henceforth Runs; 1-3: Factor) and Timestep within Run (1-6: Factor) as cross random factors. Satellite derived indices were modelled as function of Date (1-3: Discrete) and Treatment (Impacted vs Unimpacted: Categorical). A General Additive Model (GAM) was used to assess the relationship between relative SHSI change with emersion time. SHSI was modelled as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67"/>
    <w:bookmarkEnd w:id="68"/>
    <w:bookmarkStart w:id="110" w:name="results"/>
    <w:p>
      <w:pPr>
        <w:pStyle w:val="Heading1"/>
      </w:pPr>
      <w:r>
        <w:t xml:space="preserve">4. Results</w:t>
      </w:r>
    </w:p>
    <w:bookmarkStart w:id="86" w:name="laboratory-experiment-1"/>
    <w:p>
      <w:pPr>
        <w:pStyle w:val="Heading2"/>
      </w:pPr>
      <w:r>
        <w:t xml:space="preserve">4.1 Laboratory Experiment</w:t>
      </w:r>
    </w:p>
    <w:bookmarkStart w:id="74" w:name="Xe1a7b7b5932d13b2037503f99cd25d770f111ea"/>
    <w:p>
      <w:pPr>
        <w:pStyle w:val="Heading3"/>
      </w:pPr>
      <w:r>
        <w:t xml:space="preserve">4.1.1 Seagrass spectra variations related to a heatwave</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6</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simulated HW showed more pronounced changes in reflectance throughout the experiment (</w:t>
      </w:r>
      <w:hyperlink w:anchor="fig-Exp_Spectra">
        <w:r>
          <w:rPr>
            <w:rStyle w:val="Hyperlink"/>
          </w:rPr>
          <w:t xml:space="preserve">Figure 6</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646420" cy="282321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signature of</w:t>
            </w:r>
            <w:r>
              <w:t xml:space="preserve"> </w:t>
            </w:r>
            <w:r>
              <w:rPr>
                <w:i/>
                <w:iCs/>
              </w:rPr>
              <w:t xml:space="preserve">Z. noltei</w:t>
            </w:r>
            <w:r>
              <w:t xml:space="preserve"> </w:t>
            </w:r>
            <w:r>
              <w:t xml:space="preserve">leaves measured during the HW experiment for both the Control (Left) and the Treatment (Right). Color denotes the progression along the experiment from the beginning (Day 1: green), middle (Day 2: Yellow) and end (Day 3: Brown). A min-max standardization has been applied to each individual spectrum.</w:t>
            </w:r>
          </w:p>
          <w:bookmarkEnd w:id="72"/>
        </w:tc>
      </w:tr>
    </w:tbl>
    <w:bookmarkEnd w:id="73"/>
    <w:bookmarkEnd w:id="74"/>
    <w:bookmarkStart w:id="85" w:name="evolution-of-spectral-metrics"/>
    <w:p>
      <w:pPr>
        <w:pStyle w:val="Heading3"/>
      </w:pPr>
      <w:r>
        <w:t xml:space="preserve">4.1.2 Evolution of spectral metrics</w:t>
      </w:r>
    </w:p>
    <w:p>
      <w:pPr>
        <w:pStyle w:val="FirstParagraph"/>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started similar to the control and consistently decline over the three days of experiment (</w:t>
      </w:r>
      <w:hyperlink w:anchor="fig-Exp_Spectral_indices">
        <w:r>
          <w:rPr>
            <w:rStyle w:val="Hyperlink"/>
          </w:rPr>
          <w:t xml:space="preserve">Figure 7</w:t>
        </w:r>
      </w:hyperlink>
      <w:r>
        <w:t xml:space="preserve"> </w:t>
      </w:r>
      <w:r>
        <w:t xml:space="preserve">A, B and C)</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SHSI for the Treatment group was on average 55 % greater than that of the Control. By day 2, the SHSI for the Treatment exhibited a rapid decrease of approximately 241 %, eventually reaching a cumulative decline of 420 % by day 3 (</w:t>
      </w:r>
      <w:hyperlink w:anchor="fig-Exp_Spectral_indices">
        <w:r>
          <w:rPr>
            <w:rStyle w:val="Hyperlink"/>
          </w:rPr>
          <w:t xml:space="preserve">Figure 7</w:t>
        </w:r>
      </w:hyperlink>
      <w:r>
        <w:t xml:space="preserve"> </w:t>
      </w:r>
      <w:r>
        <w:t xml:space="preserve">D).</w:t>
      </w:r>
    </w:p>
    <w:p>
      <w:pPr>
        <w:pStyle w:val="BodyText"/>
      </w:pPr>
      <w:r>
        <w:t xml:space="preserve">With a maximum deviation of 420 %, SHSI emerges as the most sensitive index for detecting seagrass browning. Consequently, only this index was considered for the next steps of this study.</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646420" cy="564642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of the second derivative at 665 nm between the Control and the Treatment over time; B: Relative difference of the NDVI; C: Relative difference of the GLI; D: Relative difference of the SHSI. Points indicate raw data, the line represents a generalized linear model, and the shaded area is the model’s standard error. The dased lines represent no difference between the Control and the Treatment.</w:t>
            </w:r>
          </w:p>
          <w:bookmarkEnd w:id="78"/>
        </w:tc>
      </w:tr>
    </w:tbl>
    <w:bookmarkEnd w:id="79"/>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At day 1, the SHSI of the Control and Treatment groups are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w:t>
      </w:r>
    </w:p>
    <w:bookmarkStart w:id="84" w:name="cell-fig-SDI_over_Time"/>
    <w:tbl>
      <w:tblPr>
        <w:tblStyle w:val="Table"/>
        <w:tblW w:type="pct" w:w="5000"/>
        <w:tblLayout w:type="fixed"/>
        <w:tblLook w:firstRow="0" w:lastRow="0" w:firstColumn="0" w:lastColumn="0" w:noHBand="0" w:noVBand="0" w:val="0000"/>
      </w:tblPr>
      <w:tblGrid>
        <w:gridCol w:w="7920"/>
      </w:tblGrid>
      <w:tr>
        <w:tc>
          <w:tcPr/>
          <w:bookmarkStart w:id="83" w:name="fig-SDI_over_Time"/>
          <w:p>
            <w:pPr>
              <w:pStyle w:val="Compact"/>
              <w:jc w:val="center"/>
            </w:pPr>
            <w:r>
              <w:drawing>
                <wp:inline>
                  <wp:extent cx="5646420" cy="3387852"/>
                  <wp:effectExtent b="0" l="0" r="0" t="0"/>
                  <wp:docPr descr="" title="" id="81" name="Picture"/>
                  <a:graphic>
                    <a:graphicData uri="http://schemas.openxmlformats.org/drawingml/2006/picture">
                      <pic:pic>
                        <pic:nvPicPr>
                          <pic:cNvPr descr="Figs/Low_res/SDI_exp_overtime.png" id="82" name="Picture"/>
                          <pic:cNvPicPr>
                            <a:picLocks noChangeArrowheads="1" noChangeAspect="1"/>
                          </pic:cNvPicPr>
                        </pic:nvPicPr>
                        <pic:blipFill>
                          <a:blip r:embed="rId80"/>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and standard deviation of the Seagrass Heat Shock Index (SHSI) across expimental runs, at each day of the experiment. The green line shows values of the Control group while the orange line indicates values of the Treatment group.</w:t>
            </w:r>
          </w:p>
          <w:bookmarkEnd w:id="83"/>
        </w:tc>
      </w:tr>
    </w:tbl>
    <w:bookmarkEnd w:id="84"/>
    <w:bookmarkEnd w:id="85"/>
    <w:bookmarkEnd w:id="86"/>
    <w:bookmarkStart w:id="109" w:name="X8f6520fb2cd603cd376acac4efc8d29f28e0a7a"/>
    <w:p>
      <w:pPr>
        <w:pStyle w:val="Heading2"/>
      </w:pPr>
      <w:r>
        <w:t xml:space="preserve">4.2 HW of September 2021 in Quiberon, South Brittany</w:t>
      </w:r>
    </w:p>
    <w:bookmarkStart w:id="92" w:name="spectral-changes"/>
    <w:p>
      <w:pPr>
        <w:pStyle w:val="Heading3"/>
      </w:pPr>
      <w:r>
        <w:t xml:space="preserve">4.2.1 Spectral changes</w:t>
      </w:r>
    </w:p>
    <w:p>
      <w:pPr>
        <w:pStyle w:val="FirstParagraph"/>
      </w:pPr>
      <w:r>
        <w:t xml:space="preserve">The Sentinel-2 images analyzed in this study corresponded to acquisitions on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the 4th of September and lasted until the 7th of September, while the Marine Heat Wave (MHW) started on the 3rd of September and ended on the 8th of September 2021 (</w:t>
      </w:r>
      <w:hyperlink w:anchor="fig-S2_comparison">
        <w:r>
          <w:rPr>
            <w:rStyle w:val="Hyperlink"/>
          </w:rPr>
          <w:t xml:space="preserve">Figure 9</w:t>
        </w:r>
      </w:hyperlink>
      <w:r>
        <w:t xml:space="preserve"> </w:t>
      </w:r>
      <w:r>
        <w:t xml:space="preserve">B). Both air and water temperatures experienced a sharp increase. Between September 1st and 6th, the daily average air temperature rose from 22.2 to 30.8 while the daily average water temperature increased from 17.7 to 19.3 °C. During this period, the 90th percentile temperatures were 25.3 °C for air and 18.8 °C for water. The air temperature anomaly of 9.9 °C classified the AHW as a strong event, whereas the 1.7 °C anomaly in water temperature classified the MHW as a moderate event.</w:t>
      </w:r>
    </w:p>
    <w:p>
      <w:pPr>
        <w:pStyle w:val="BodyText"/>
      </w:pPr>
      <w:r>
        <w:t xml:space="preserve">The Sentinel-2 image from the 6th of September, captured two days after the start of the AHW already revealed brown seagrass leaves in the true-color composition (</w:t>
      </w:r>
      <w:hyperlink w:anchor="fig-S2_comparison">
        <w:r>
          <w:rPr>
            <w:rStyle w:val="Hyperlink"/>
          </w:rPr>
          <w:t xml:space="preserve">Figure 9</w:t>
        </w:r>
      </w:hyperlink>
      <w:r>
        <w:t xml:space="preserve"> </w:t>
      </w:r>
      <w:r>
        <w:t xml:space="preserve">C). This contrasts with the reference image from the 1st of September 2021, taken before the HW began (</w:t>
      </w:r>
      <w:hyperlink w:anchor="fig-S2_comparison">
        <w:r>
          <w:rPr>
            <w:rStyle w:val="Hyperlink"/>
          </w:rPr>
          <w:t xml:space="preserve">Figure 9</w:t>
        </w:r>
      </w:hyperlink>
      <w:r>
        <w:t xml:space="preserve"> </w:t>
      </w:r>
      <w:r>
        <w:t xml:space="preserve">A), where no brown patches can be observed. Before the event,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w:t>
      </w:r>
      <w:r>
        <w:t xml:space="preserve"> </w:t>
      </w:r>
      <w:r>
        <w:t xml:space="preserve">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areas within the meadow could also be observered in the true color composition (</w:t>
      </w:r>
      <w:hyperlink w:anchor="fig-S2_comparison">
        <w:r>
          <w:rPr>
            <w:rStyle w:val="Hyperlink"/>
          </w:rPr>
          <w:t xml:space="preserve">Figure 9</w:t>
        </w:r>
      </w:hyperlink>
      <w:r>
        <w:t xml:space="preserve"> </w:t>
      </w:r>
      <w:r>
        <w:t xml:space="preserve">C)</w:t>
      </w:r>
    </w:p>
    <w:bookmarkStart w:id="91" w:name="cell-fig-S2_comparison"/>
    <w:tbl>
      <w:tblPr>
        <w:tblStyle w:val="Table"/>
        <w:tblW w:type="pct" w:w="5000"/>
        <w:tblLayout w:type="fixed"/>
        <w:tblLook w:firstRow="0" w:lastRow="0" w:firstColumn="0" w:lastColumn="0" w:noHBand="0" w:noVBand="0" w:val="0000"/>
      </w:tblPr>
      <w:tblGrid>
        <w:gridCol w:w="7920"/>
      </w:tblGrid>
      <w:tr>
        <w:tc>
          <w:tcPr/>
          <w:bookmarkStart w:id="90" w:name="fig-S2_comparison"/>
          <w:p>
            <w:pPr>
              <w:pStyle w:val="Compact"/>
              <w:jc w:val="center"/>
            </w:pPr>
            <w:r>
              <w:drawing>
                <wp:inline>
                  <wp:extent cx="5646420" cy="5392331"/>
                  <wp:effectExtent b="0" l="0" r="0" t="0"/>
                  <wp:docPr descr="" title="" id="88" name="Picture"/>
                  <a:graphic>
                    <a:graphicData uri="http://schemas.openxmlformats.org/drawingml/2006/picture">
                      <pic:pic>
                        <pic:nvPicPr>
                          <pic:cNvPr descr="Figs/Low_res/Heatwaves_S2_plot.png" id="89" name="Picture"/>
                          <pic:cNvPicPr>
                            <a:picLocks noChangeArrowheads="1" noChangeAspect="1"/>
                          </pic:cNvPicPr>
                        </pic:nvPicPr>
                        <pic:blipFill>
                          <a:blip r:embed="rId87"/>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Quadrat Points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used in this analysis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90"/>
        </w:tc>
      </w:tr>
    </w:tbl>
    <w:bookmarkEnd w:id="91"/>
    <w:bookmarkEnd w:id="92"/>
    <w:bookmarkStart w:id="108" w:name="shsi-metric-applied-to-sentinel-2"/>
    <w:p>
      <w:pPr>
        <w:pStyle w:val="Heading3"/>
      </w:pPr>
      <w:r>
        <w:t xml:space="preserve">4.2.2 SHSI metric applied to Sentinel-2</w:t>
      </w:r>
    </w:p>
    <w:p>
      <w:pPr>
        <w:pStyle w:val="FirstParagraph"/>
      </w:pPr>
      <w:r>
        <w:t xml:space="preserve">Using Sentinel-2 data and the QPs, SHSI was calculated for green seagrass unimpacted by the HW (QPs unimpacted</w:t>
      </w:r>
      <w:r>
        <w:t xml:space="preserve"> </w:t>
      </w:r>
      <w:hyperlink w:anchor="fig-S2_comparison">
        <w:r>
          <w:rPr>
            <w:rStyle w:val="Hyperlink"/>
          </w:rPr>
          <w:t xml:space="preserve">Figure 9</w:t>
        </w:r>
      </w:hyperlink>
      <w:r>
        <w:t xml:space="preserve"> </w:t>
      </w:r>
      <w:r>
        <w:t xml:space="preserve">C), showing minimal changes of 3 % between the 1st and the 6th of September (</w:t>
      </w:r>
      <w:hyperlink w:anchor="fig-NDVI_GLI_SPC">
        <w:r>
          <w:rPr>
            <w:rStyle w:val="Hyperlink"/>
          </w:rPr>
          <w:t xml:space="preserve">Figure 10</w:t>
        </w:r>
      </w:hyperlink>
      <w:r>
        <w:t xml:space="preserve">). In contrast, seagrass impacted by the HW and turned brown (QPs impacted</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7" w:name="cell-fig-NDVI_GLI_SPC"/>
    <w:tbl>
      <w:tblPr>
        <w:tblStyle w:val="Table"/>
        <w:tblW w:type="pct" w:w="5000"/>
        <w:tblLayout w:type="fixed"/>
        <w:tblLook w:firstRow="0" w:lastRow="0" w:firstColumn="0" w:lastColumn="0" w:noHBand="0" w:noVBand="0" w:val="0000"/>
      </w:tblPr>
      <w:tblGrid>
        <w:gridCol w:w="7920"/>
      </w:tblGrid>
      <w:tr>
        <w:tc>
          <w:tcPr/>
          <w:bookmarkStart w:id="96" w:name="fig-NDVI_GLI_SPC"/>
          <w:p>
            <w:pPr>
              <w:pStyle w:val="Compact"/>
              <w:jc w:val="center"/>
            </w:pPr>
            <w:r>
              <w:drawing>
                <wp:inline>
                  <wp:extent cx="5646420" cy="2823210"/>
                  <wp:effectExtent b="0" l="0" r="0" t="0"/>
                  <wp:docPr descr="" title="" id="94" name="Picture"/>
                  <a:graphic>
                    <a:graphicData uri="http://schemas.openxmlformats.org/drawingml/2006/picture">
                      <pic:pic>
                        <pic:nvPicPr>
                          <pic:cNvPr descr="Figs/Low_res/SHSI_S2.png" id="95" name="Picture"/>
                          <pic:cNvPicPr>
                            <a:picLocks noChangeArrowheads="1" noChangeAspect="1"/>
                          </pic:cNvPicPr>
                        </pic:nvPicPr>
                        <pic:blipFill>
                          <a:blip r:embed="rId9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Seagrass Heat Shock Index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Quardrat Points (QPs;</w:t>
            </w:r>
            <w:r>
              <w:t xml:space="preserve"> </w:t>
            </w:r>
            <w:hyperlink w:anchor="fig-S2_comparison">
              <w:r>
                <w:rPr>
                  <w:rStyle w:val="Hyperlink"/>
                </w:rPr>
                <w:t xml:space="preserve">Figure 9</w:t>
              </w:r>
            </w:hyperlink>
            <w:r>
              <w:t xml:space="preserve">): unimpacted seagrass (green) and impacted seagrass (orange). Points represent the predicted value of the metric using a Generalized Linear Model (GLM), while th error bar repsents the 89% confidence interval.</w:t>
            </w:r>
          </w:p>
          <w:bookmarkEnd w:id="96"/>
        </w:tc>
      </w:tr>
    </w:tbl>
    <w:bookmarkEnd w:id="97"/>
    <w:p>
      <w:pPr>
        <w:pStyle w:val="BodyText"/>
      </w:pPr>
      <w:r>
        <w:t xml:space="preserve">Using the SHSI (</w:t>
      </w:r>
      <w:hyperlink w:anchor="eq-SDI">
        <w:r>
          <w:rPr>
            <w:rStyle w:val="Hyperlink"/>
          </w:rPr>
          <w:t xml:space="preserve">Equation 3</w:t>
        </w:r>
      </w:hyperlink>
      <w:r>
        <w:t xml:space="preserve">), we detected large darkened seagrass patches in the meadow at the 6th of September (</w:t>
      </w:r>
      <w:hyperlink w:anchor="fig-Map_darkening_Bathy">
        <w:r>
          <w:rPr>
            <w:rStyle w:val="Hyperlink"/>
          </w:rPr>
          <w:t xml:space="preserve">Figure 11</w:t>
        </w:r>
      </w:hyperlink>
      <w:r>
        <w:t xml:space="preserve">). A total of 26.9 hectares of seagrass turned brown betwwen the 1st and the 6th of September. The largest brown patch covered nearly 8 hectares. Overall, 24 % of the total seagrass meadow area showed signs of darkening between the 1st and 6th of September 2021.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the 8th of October, some of the previously darkened areas regained their green color (</w:t>
      </w:r>
      <w:hyperlink w:anchor="fig-Map_darkening_Bathy">
        <w:r>
          <w:rPr>
            <w:rStyle w:val="Hyperlink"/>
          </w:rPr>
          <w:t xml:space="preserve">Figure 11</w:t>
        </w:r>
      </w:hyperlink>
      <w:r>
        <w:t xml:space="preserve"> </w:t>
      </w:r>
      <w:r>
        <w:t xml:space="preserve">C).</w:t>
      </w:r>
    </w:p>
    <w:bookmarkStart w:id="102" w:name="cell-fig-Map_darkening_Bathy"/>
    <w:tbl>
      <w:tblPr>
        <w:tblStyle w:val="Table"/>
        <w:tblW w:type="pct" w:w="5000"/>
        <w:tblLayout w:type="fixed"/>
        <w:tblLook w:firstRow="0" w:lastRow="0" w:firstColumn="0" w:lastColumn="0" w:noHBand="0" w:noVBand="0" w:val="0000"/>
      </w:tblPr>
      <w:tblGrid>
        <w:gridCol w:w="7920"/>
      </w:tblGrid>
      <w:tr>
        <w:tc>
          <w:tcPr/>
          <w:bookmarkStart w:id="101" w:name="fig-Map_darkening_Bathy"/>
          <w:p>
            <w:pPr>
              <w:pStyle w:val="Compact"/>
              <w:jc w:val="center"/>
            </w:pPr>
            <w:r>
              <w:drawing>
                <wp:inline>
                  <wp:extent cx="5646420" cy="4076715"/>
                  <wp:effectExtent b="0" l="0" r="0" t="0"/>
                  <wp:docPr descr="" title="" id="99" name="Picture"/>
                  <a:graphic>
                    <a:graphicData uri="http://schemas.openxmlformats.org/drawingml/2006/picture">
                      <pic:pic>
                        <pic:nvPicPr>
                          <pic:cNvPr descr="Figs/Low_res/SHSI_S2_map.png" id="100" name="Picture"/>
                          <pic:cNvPicPr>
                            <a:picLocks noChangeArrowheads="1" noChangeAspect="1"/>
                          </pic:cNvPicPr>
                        </pic:nvPicPr>
                        <pic:blipFill>
                          <a:blip r:embed="rId98"/>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During (B) and After (C) the HW Seagrass Heat Shock Index applyed on Sentinel-2 images Before (D), During (E) and After (F) the HW.</w:t>
            </w:r>
          </w:p>
          <w:bookmarkEnd w:id="101"/>
        </w:tc>
      </w:tr>
    </w:tbl>
    <w:bookmarkEnd w:id="102"/>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12</w:t>
        </w:r>
      </w:hyperlink>
      <w:r>
        <w:t xml:space="preserve">). During the HW, no significant darkening occurred with less than 13 hours of daily exposure. However, above 13 hours, seagrasses began to darken, reaching peak darkening at around 14.5 hours of daily exposure.</w:t>
      </w:r>
    </w:p>
    <w:bookmarkStart w:id="107" w:name="cell-fig-GAM_Emersion"/>
    <w:tbl>
      <w:tblPr>
        <w:tblStyle w:val="Table"/>
        <w:tblW w:type="pct" w:w="5000"/>
        <w:tblLayout w:type="fixed"/>
        <w:tblLook w:firstRow="0" w:lastRow="0" w:firstColumn="0" w:lastColumn="0" w:noHBand="0" w:noVBand="0" w:val="0000"/>
      </w:tblPr>
      <w:tblGrid>
        <w:gridCol w:w="7920"/>
      </w:tblGrid>
      <w:tr>
        <w:tc>
          <w:tcPr/>
          <w:bookmarkStart w:id="106" w:name="fig-GAM_Emersion"/>
          <w:p>
            <w:pPr>
              <w:pStyle w:val="Compact"/>
              <w:jc w:val="center"/>
            </w:pPr>
            <w:r>
              <w:drawing>
                <wp:inline>
                  <wp:extent cx="5646420" cy="2823210"/>
                  <wp:effectExtent b="0" l="0" r="0" t="0"/>
                  <wp:docPr descr="" title="" id="104" name="Picture"/>
                  <a:graphic>
                    <a:graphicData uri="http://schemas.openxmlformats.org/drawingml/2006/picture">
                      <pic:pic>
                        <pic:nvPicPr>
                          <pic:cNvPr descr="Figs/Low_res/GAM_emersion.png" id="105" name="Picture"/>
                          <pic:cNvPicPr>
                            <a:picLocks noChangeArrowheads="1" noChangeAspect="1"/>
                          </pic:cNvPicPr>
                        </pic:nvPicPr>
                        <pic:blipFill>
                          <a:blip r:embed="rId10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Seagrass Heat Shock Index (SHSI) before and during the HW events as a function of the daily emersion time of seagrass. The line represents a Generalized Additive Model (GAM) prediction, and the shaded area indicates the standard error. Shaded points represent raw data, each corresponding to a single pixel of the meadow.</w:t>
            </w:r>
          </w:p>
          <w:bookmarkEnd w:id="106"/>
        </w:tc>
      </w:tr>
    </w:tbl>
    <w:bookmarkEnd w:id="107"/>
    <w:bookmarkEnd w:id="108"/>
    <w:bookmarkEnd w:id="109"/>
    <w:bookmarkEnd w:id="110"/>
    <w:bookmarkStart w:id="115" w:name="discussion"/>
    <w:p>
      <w:pPr>
        <w:pStyle w:val="Heading1"/>
      </w:pPr>
      <w:r>
        <w:t xml:space="preserve">5. Discussion</w:t>
      </w:r>
    </w:p>
    <w:bookmarkStart w:id="111"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events and intertidal meadows. This study initiates an exploration of how intertidal seagrasses respond to the dual influence of MHWs and AHWs, underscoring the need for further investigation in this under explored area.</w:t>
      </w:r>
    </w:p>
    <w:p>
      <w:pPr>
        <w:pStyle w:val="BodyText"/>
      </w:pPr>
      <w:r>
        <w:t xml:space="preserve">In the present study, significant changes in the reflectance of seagrasses exposed to HWs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B, C, and D) all demonstrated a clear decline over the experimental period (days 1-3).These changes suggest a progressive reduction in photosynthetic activity as well as structural or physiological changes in the leaves, such as degraded pigmentation or altered light absorption in the treatment group relative to the control as a consequence of the simulated HW event. In contrast, SHSI shows a marked increase, reaching up to 600% for some samples by day 3 (</w:t>
      </w:r>
      <w:hyperlink w:anchor="fig-Exp_Spectral_indices">
        <w:r>
          <w:rPr>
            <w:rStyle w:val="Hyperlink"/>
          </w:rPr>
          <w:t xml:space="preserve">Figure 7</w:t>
        </w:r>
      </w:hyperlink>
      <w:r>
        <w:t xml:space="preserve"> </w:t>
      </w:r>
      <w:r>
        <w:t xml:space="preserve">E). This positive trend in SHSI demonstrates its effectiveness as an index to quantify darkening of seagrass. While the general trends are consistent across experimental runs, there is some variability, particularly evident in the confidence intervals, which are wider for SHSI than for the other indices. This suggests that while darkening is a consistent response, it may vary in intensity between individual samples or experimental runs. Furthermore, the contrasting magnitudes of change—especially the pronounced increases in SHSI versus the declines in other indices—highlight the sensitivity of SHSI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hydric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12</w:t>
        </w:r>
      </w:hyperlink>
      <w:r>
        <w:t xml:space="preserve">). Under such hydric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healthy plant leaves is primarly due to the internal cellular structure that scatters light. Once sunlight enters the leaf, it is diffused through various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SHSI (</w:t>
      </w:r>
      <w:hyperlink w:anchor="eq-SDI">
        <w:r>
          <w:rPr>
            <w:rStyle w:val="Hyperlink"/>
          </w:rPr>
          <w:t xml:space="preserve">Equation 3</w:t>
        </w:r>
      </w:hyperlink>
      <w:r>
        <w:t xml:space="preserve">) index developed in this study leverages key reflectance bands (560, 740 and 840 nm) to detect reductions in the green and the Red-Edge regions. SHSI can be used to assess the extent and severity of darkening events across intertidal seagrass meadows from space. Current multi-spectral satellite missions, including Sentinel-2, Pleiades-Neo, WorldView-3, SkySat, and GeoSat-2 along with upcoming missions (Sentinel-2 Next Generation and Landsat Next), capture reflectance in the three wavelengths used as input for SHSI. As climate change advances, remote sensing becomes a crucial tool for monitoring cumulative ecological impacts on seagrass meadows due to HWs. Although these physiological and structural changes occur at the cellular level over short temporal scales, their synchronously manifest across the entire meadow cause changes in large spatial extensions.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1"/>
    <w:bookmarkStart w:id="112" w:name="climate-change-and-heatwaves"/>
    <w:p>
      <w:pPr>
        <w:pStyle w:val="Heading2"/>
      </w:pPr>
      <w:r>
        <w:t xml:space="preserve">5.2 Climate change and heatwaves</w:t>
      </w:r>
    </w:p>
    <w:p>
      <w:pPr>
        <w:pStyle w:val="FirstParagraph"/>
      </w:pPr>
      <w:r>
        <w:t xml:space="preserve">The rapid global escalation of HW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days</w:t>
      </w:r>
      <w:r>
        <w:t xml:space="preserve"> </w:t>
      </w:r>
      <w:r>
        <w:t xml:space="preserve">(Simolo and Corti, 2022)</w:t>
      </w:r>
      <w:r>
        <w:t xml:space="preserve">.</w:t>
      </w:r>
    </w:p>
    <w:p>
      <w:pPr>
        <w:pStyle w:val="BodyText"/>
      </w:pPr>
      <w:r>
        <w:t xml:space="preserve">In the ocean, similar trends were observed with marine heatwaves (MHWs), which have increased by more than 50% in the total number of days per year since the early 20th century, and projections suggest that a near-permanent state of MHW,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interconnection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temperature spikes associated with these events occur over very short timescales, with limited recovery periods—giving organisms little to no opportunity to acclimate to rapidly changing conditions and often exceeding their tolerance limits.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2"/>
    <w:bookmarkStart w:id="113"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 </w:t>
      </w:r>
      <w:r>
        <w:t xml:space="preserve">spp.,</w:t>
      </w:r>
      <w:r>
        <w:t xml:space="preserve"> </w:t>
      </w:r>
      <w:r>
        <w:rPr>
          <w:i/>
          <w:iCs/>
        </w:rPr>
        <w:t xml:space="preserve">Amphibolis</w:t>
      </w:r>
      <w:r>
        <w:t xml:space="preserve"> </w:t>
      </w:r>
      <w:r>
        <w:t xml:space="preserve">spp., and</w:t>
      </w:r>
      <w:r>
        <w:t xml:space="preserve"> </w:t>
      </w:r>
      <w:r>
        <w:rPr>
          <w:i/>
          <w:iCs/>
        </w:rPr>
        <w:t xml:space="preserve">Zostera</w:t>
      </w:r>
      <w:r>
        <w:t xml:space="preserve"> </w:t>
      </w:r>
      <w:r>
        <w:t xml:space="preserve">spp. 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 </w:t>
      </w:r>
      <w:r>
        <w:t xml:space="preserve">spp.,</w:t>
      </w:r>
      <w:r>
        <w:t xml:space="preserve"> </w:t>
      </w:r>
      <w:r>
        <w:rPr>
          <w:i/>
          <w:iCs/>
        </w:rPr>
        <w:t xml:space="preserve">Halophila</w:t>
      </w:r>
      <w:r>
        <w:t xml:space="preserve"> </w:t>
      </w:r>
      <w:r>
        <w:t xml:space="preserve">spp., and</w:t>
      </w:r>
      <w:r>
        <w:t xml:space="preserve"> </w:t>
      </w:r>
      <w:r>
        <w:rPr>
          <w:i/>
          <w:iCs/>
        </w:rPr>
        <w:t xml:space="preserve">Syringodium</w:t>
      </w:r>
      <w:r>
        <w:t xml:space="preserve"> </w:t>
      </w:r>
      <w:r>
        <w:t xml:space="preserve">spp.,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HWs on seagrass ecosystems is further intensified by tidal variations, especially in temperate regions with large tidal ranges that can exceed 10 meters, such as Mont Saint Michel Bay ,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AHWs. Conversely, seagrasses in the lower intertidal zone experience prolonged immersion throughout the tidal cycle, making them susceptible to extreme MHWs. As a result, both marine and AHWs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periods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the SC in the impacted patch experienced a sharp decline on impacted patches. By 8th October, one month post-event, the SC of impacted seagrasses, initially higher, had fallen below that of non-impacted seagrasses (</w:t>
      </w:r>
      <w:hyperlink w:anchor="fig-NDVI_GLI_SPC">
        <w:r>
          <w:rPr>
            <w:rStyle w:val="Hyperlink"/>
          </w:rPr>
          <w:t xml:space="preserve">Figure 10</w:t>
        </w:r>
      </w:hyperlink>
      <w:r>
        <w:t xml:space="preserve">). The observed decrease in seagrass cover on 6th September was primarily due to leaf darkening. This darkening influenced the satellite NDVI measurements used to estimate SC</w:t>
      </w:r>
      <w:r>
        <w:t xml:space="preserve"> </w:t>
      </w:r>
      <w:r>
        <w:t xml:space="preserve">(Zoffoli et al., 2020)</w:t>
      </w:r>
      <w:r>
        <w:t xml:space="preserve">, creating an apparent decrease in SC in the impacted patch when, in reality, itremained stable (</w:t>
      </w:r>
      <w:hyperlink w:anchor="fig-QuiberonImg">
        <w:r>
          <w:rPr>
            <w:rStyle w:val="Hyperlink"/>
          </w:rPr>
          <w:t xml:space="preserve">Figure 5</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3"/>
    <w:bookmarkStart w:id="114"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HW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 meadows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4"/>
    <w:bookmarkEnd w:id="115"/>
    <w:bookmarkStart w:id="116"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affect seagrass health and assess the potential of remote sensing to monitor these impacts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 predicted increase in the frequency and intensity of heatwaves, the vulnerability of intertidal zones to such events will likely intensify compromising meadows survival and their ecosystem functions.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bookmarkEnd w:id="116"/>
    <w:bookmarkStart w:id="121" w:name="annexes"/>
    <w:p>
      <w:pPr>
        <w:pStyle w:val="Heading1"/>
      </w:pPr>
      <w:r>
        <w:t xml:space="preserve">7. Annexes</w:t>
      </w:r>
    </w:p>
    <w:bookmarkStart w:id="120"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8" name="Picture"/>
            <a:graphic>
              <a:graphicData uri="http://schemas.openxmlformats.org/drawingml/2006/picture">
                <pic:pic>
                  <pic:nvPicPr>
                    <pic:cNvPr descr="Figs/High_res/Temperature_compare.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20"/>
    <w:bookmarkEnd w:id="121"/>
    <w:bookmarkStart w:id="230" w:name="references"/>
    <w:p>
      <w:pPr>
        <w:pStyle w:val="Heading1"/>
      </w:pPr>
      <w:r>
        <w:t xml:space="preserve">8. References</w:t>
      </w:r>
    </w:p>
    <w:bookmarkStart w:id="229" w:name="refs"/>
    <w:bookmarkStart w:id="122"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2"/>
    <w:bookmarkStart w:id="123"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3"/>
    <w:bookmarkStart w:id="124"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4"/>
    <w:bookmarkStart w:id="126"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5">
        <w:r>
          <w:rPr>
            <w:rStyle w:val="Hyperlink"/>
          </w:rPr>
          <w:t xml:space="preserve">https://doi.org/10.3354/meps14588</w:t>
        </w:r>
      </w:hyperlink>
    </w:p>
    <w:bookmarkEnd w:id="126"/>
    <w:bookmarkStart w:id="127"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7"/>
    <w:bookmarkStart w:id="129" w:name="ref-JSSv100i05"/>
    <w:p>
      <w:pPr>
        <w:pStyle w:val="Bibliography"/>
      </w:pPr>
      <w:r>
        <w:t xml:space="preserve">Bürkner, P.-C., 2021. Bayesian item response modeling in r with brms and stan. Journal of Statistical Software 100, 1–54.</w:t>
      </w:r>
      <w:r>
        <w:t xml:space="preserve"> </w:t>
      </w:r>
      <w:hyperlink r:id="rId128">
        <w:r>
          <w:rPr>
            <w:rStyle w:val="Hyperlink"/>
          </w:rPr>
          <w:t xml:space="preserve">https://doi.org/10.18637/jss.v100.i05</w:t>
        </w:r>
      </w:hyperlink>
    </w:p>
    <w:bookmarkEnd w:id="129"/>
    <w:bookmarkStart w:id="130"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0"/>
    <w:bookmarkStart w:id="131"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1"/>
    <w:bookmarkStart w:id="132" w:name="ref-canadell2021ecosystem"/>
    <w:p>
      <w:pPr>
        <w:pStyle w:val="Bibliography"/>
      </w:pPr>
      <w:r>
        <w:t xml:space="preserve">Canadell, J.G., Jackson, R.B., 2021. Ecosystem collapse and climate change. Springer.</w:t>
      </w:r>
    </w:p>
    <w:bookmarkEnd w:id="132"/>
    <w:bookmarkStart w:id="134"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3">
        <w:r>
          <w:rPr>
            <w:rStyle w:val="Hyperlink"/>
          </w:rPr>
          <w:t xml:space="preserve">https://doi.org/10.18637/jss.v076.i01</w:t>
        </w:r>
      </w:hyperlink>
    </w:p>
    <w:bookmarkEnd w:id="134"/>
    <w:bookmarkStart w:id="136"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5">
        <w:r>
          <w:rPr>
            <w:rStyle w:val="Hyperlink"/>
          </w:rPr>
          <w:t xml:space="preserve">https://doi.org/10.48670/moi-00311</w:t>
        </w:r>
      </w:hyperlink>
    </w:p>
    <w:bookmarkEnd w:id="136"/>
    <w:bookmarkStart w:id="138"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7">
        <w:r>
          <w:rPr>
            <w:rStyle w:val="Hyperlink"/>
          </w:rPr>
          <w:t xml:space="preserve">https://doi.org/10.1007/s11099-007-0084-3</w:t>
        </w:r>
      </w:hyperlink>
    </w:p>
    <w:bookmarkEnd w:id="138"/>
    <w:bookmarkStart w:id="139"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39"/>
    <w:bookmarkStart w:id="141"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0">
        <w:r>
          <w:rPr>
            <w:rStyle w:val="Hyperlink"/>
          </w:rPr>
          <w:t xml:space="preserve">https://doi.org/10.1038/s43247-024-01543-z</w:t>
        </w:r>
      </w:hyperlink>
    </w:p>
    <w:bookmarkEnd w:id="141"/>
    <w:bookmarkStart w:id="143"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2">
        <w:r>
          <w:rPr>
            <w:rStyle w:val="Hyperlink"/>
          </w:rPr>
          <w:t xml:space="preserve">https://doi.org/10.1016/j.rse.2024.114340</w:t>
        </w:r>
      </w:hyperlink>
    </w:p>
    <w:bookmarkEnd w:id="143"/>
    <w:bookmarkStart w:id="144"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4"/>
    <w:bookmarkStart w:id="145" w:name="ref-deguette2022physiological"/>
    <w:p>
      <w:pPr>
        <w:pStyle w:val="Bibliography"/>
      </w:pPr>
      <w:r>
        <w:t xml:space="preserve">Deguette, A., Barrote, I., Silva, J., 2022. Physiological and morphological effects of a marine heatwave on the seagrass cymodocea nodosa. Scientific Reports 12, 7950.</w:t>
      </w:r>
    </w:p>
    <w:bookmarkEnd w:id="145"/>
    <w:bookmarkStart w:id="146" w:name="ref-devi2024intensity"/>
    <w:p>
      <w:pPr>
        <w:pStyle w:val="Bibliography"/>
      </w:pPr>
      <w:r>
        <w:t xml:space="preserve">Devi, R., Gouda, K., Lenka, S., 2024. Intensity duration and frequency of heat wave in different phases of MJO over india. Atmospheric Research 300, 107250.</w:t>
      </w:r>
    </w:p>
    <w:bookmarkEnd w:id="146"/>
    <w:bookmarkStart w:id="147" w:name="ref-douay2022new"/>
    <w:p>
      <w:pPr>
        <w:pStyle w:val="Bibliography"/>
      </w:pPr>
      <w:r>
        <w:t xml:space="preserve">Douay, F., Verpoorter, C., Duong, G., Spilmont, N., Gevaert, F., 2022. New hyperspectral procedure to discriminate intertidal macroalgae. Remote Sensing 14, 346.</w:t>
      </w:r>
    </w:p>
    <w:bookmarkEnd w:id="147"/>
    <w:bookmarkStart w:id="149" w:name="ref-electricblue_intertidal_chamber"/>
    <w:p>
      <w:pPr>
        <w:pStyle w:val="Bibliography"/>
      </w:pPr>
      <w:r>
        <w:t xml:space="preserve">Electric Blue, 2023.</w:t>
      </w:r>
      <w:r>
        <w:t xml:space="preserve"> </w:t>
      </w:r>
      <w:hyperlink r:id="rId148">
        <w:r>
          <w:rPr>
            <w:rStyle w:val="Hyperlink"/>
          </w:rPr>
          <w:t xml:space="preserve">Intertidal chamber</w:t>
        </w:r>
      </w:hyperlink>
      <w:r>
        <w:t xml:space="preserve">.</w:t>
      </w:r>
    </w:p>
    <w:bookmarkEnd w:id="149"/>
    <w:bookmarkStart w:id="150" w:name="ref-sen2cor"/>
    <w:p>
      <w:pPr>
        <w:pStyle w:val="Bibliography"/>
      </w:pPr>
      <w:r>
        <w:t xml:space="preserve">European Space Agency, 2024b. Sen2Cor: Sentinel-2 atmospheric correction processor.</w:t>
      </w:r>
    </w:p>
    <w:bookmarkEnd w:id="150"/>
    <w:bookmarkStart w:id="151" w:name="ref-copernicus_sentinel2"/>
    <w:p>
      <w:pPr>
        <w:pStyle w:val="Bibliography"/>
      </w:pPr>
      <w:r>
        <w:t xml:space="preserve">European Space Agency, 2024a. Copernicus open access hub.</w:t>
      </w:r>
    </w:p>
    <w:bookmarkEnd w:id="151"/>
    <w:bookmarkStart w:id="152"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2"/>
    <w:bookmarkStart w:id="15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3"/>
    <w:bookmarkStart w:id="154"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4"/>
    <w:bookmarkStart w:id="155"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5"/>
    <w:bookmarkStart w:id="156" w:name="ref-gardner2018global"/>
    <w:p>
      <w:pPr>
        <w:pStyle w:val="Bibliography"/>
      </w:pPr>
      <w:r>
        <w:t xml:space="preserve">Gardner, R.C., Finlayson, C., 2018. Global wetland outlook: State of the world’s wetlands and their services to people, in: Ramsar Convention Secretariat. pp. 2020–5.</w:t>
      </w:r>
    </w:p>
    <w:bookmarkEnd w:id="156"/>
    <w:bookmarkStart w:id="157"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7"/>
    <w:bookmarkStart w:id="159"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8">
        <w:r>
          <w:rPr>
            <w:rStyle w:val="Hyperlink"/>
          </w:rPr>
          <w:t xml:space="preserve">https://doi.org/10.1002/aqc.4210</w:t>
        </w:r>
      </w:hyperlink>
    </w:p>
    <w:bookmarkEnd w:id="159"/>
    <w:bookmarkStart w:id="160"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0"/>
    <w:bookmarkStart w:id="161"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1"/>
    <w:bookmarkStart w:id="163"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2">
        <w:r>
          <w:rPr>
            <w:rStyle w:val="Hyperlink"/>
          </w:rPr>
          <w:t xml:space="preserve">https://doi.org/10.1073/pnas.0402642101</w:t>
        </w:r>
      </w:hyperlink>
    </w:p>
    <w:bookmarkEnd w:id="163"/>
    <w:bookmarkStart w:id="165" w:name="ref-ioc_sea_level_lecy"/>
    <w:p>
      <w:pPr>
        <w:pStyle w:val="Bibliography"/>
      </w:pPr>
      <w:r>
        <w:t xml:space="preserve">IOC, 2024.</w:t>
      </w:r>
      <w:r>
        <w:t xml:space="preserve"> </w:t>
      </w:r>
      <w:hyperlink r:id="rId164">
        <w:r>
          <w:rPr>
            <w:rStyle w:val="Hyperlink"/>
          </w:rPr>
          <w:t xml:space="preserve">Intergovernmental oceanographic commission ; sea level monitoring station - le conquet, france (LECY)</w:t>
        </w:r>
      </w:hyperlink>
      <w:r>
        <w:t xml:space="preserve">.</w:t>
      </w:r>
    </w:p>
    <w:bookmarkEnd w:id="165"/>
    <w:bookmarkStart w:id="166"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6"/>
    <w:bookmarkStart w:id="168"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7">
        <w:r>
          <w:rPr>
            <w:rStyle w:val="Hyperlink"/>
          </w:rPr>
          <w:t xml:space="preserve">https://doi.org/10.1016/S0304-4238(05)80016-0</w:t>
        </w:r>
      </w:hyperlink>
    </w:p>
    <w:bookmarkEnd w:id="168"/>
    <w:bookmarkStart w:id="170"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9">
        <w:r>
          <w:rPr>
            <w:rStyle w:val="Hyperlink"/>
          </w:rPr>
          <w:t xml:space="preserve">https://doi.org/10.1016/S0034-4257(70)80021-9</w:t>
        </w:r>
      </w:hyperlink>
    </w:p>
    <w:bookmarkEnd w:id="170"/>
    <w:bookmarkStart w:id="171" w:name="ref-hsdar"/>
    <w:p>
      <w:pPr>
        <w:pStyle w:val="Bibliography"/>
      </w:pPr>
      <w:r>
        <w:t xml:space="preserve">Lehnert, L.W., Meyer, H., Bendix, J., 2017. Hsdar: Manage, analyse and simulate hyperspectral data in r.</w:t>
      </w:r>
    </w:p>
    <w:bookmarkEnd w:id="171"/>
    <w:bookmarkStart w:id="172" w:name="ref-loarie2009velocity"/>
    <w:p>
      <w:pPr>
        <w:pStyle w:val="Bibliography"/>
      </w:pPr>
      <w:r>
        <w:t xml:space="preserve">Loarie, S.R., Duffy, P.B., Hamilton, H., Asner, G.P., Field, C.B., Ackerly, D.D., 2009. The velocity of climate change. Nature 462, 1052–1055.</w:t>
      </w:r>
    </w:p>
    <w:bookmarkEnd w:id="172"/>
    <w:bookmarkStart w:id="173"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3"/>
    <w:bookmarkStart w:id="175" w:name="ref-malvern_panalytical_rs3"/>
    <w:p>
      <w:pPr>
        <w:pStyle w:val="Bibliography"/>
      </w:pPr>
      <w:r>
        <w:t xml:space="preserve">Malvern Panalytical, 2023.</w:t>
      </w:r>
      <w:r>
        <w:t xml:space="preserve"> </w:t>
      </w:r>
      <w:hyperlink r:id="rId174">
        <w:r>
          <w:rPr>
            <w:rStyle w:val="Hyperlink"/>
          </w:rPr>
          <w:t xml:space="preserve">RS3 software</w:t>
        </w:r>
      </w:hyperlink>
      <w:r>
        <w:t xml:space="preserve">.</w:t>
      </w:r>
    </w:p>
    <w:bookmarkEnd w:id="175"/>
    <w:bookmarkStart w:id="176"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6"/>
    <w:bookmarkStart w:id="17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7"/>
    <w:bookmarkStart w:id="179"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8">
        <w:r>
          <w:rPr>
            <w:rStyle w:val="Hyperlink"/>
          </w:rPr>
          <w:t xml:space="preserve">https://doi.org/10.1038/s41598-019-50643-w</w:t>
        </w:r>
      </w:hyperlink>
    </w:p>
    <w:bookmarkEnd w:id="179"/>
    <w:bookmarkStart w:id="180"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80"/>
    <w:bookmarkStart w:id="182"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1">
        <w:r>
          <w:rPr>
            <w:rStyle w:val="Hyperlink"/>
          </w:rPr>
          <w:t xml:space="preserve">https://doi.org/10.3390/rs16234383</w:t>
        </w:r>
      </w:hyperlink>
    </w:p>
    <w:bookmarkEnd w:id="182"/>
    <w:bookmarkStart w:id="184"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3">
        <w:r>
          <w:rPr>
            <w:rStyle w:val="Hyperlink"/>
          </w:rPr>
          <w:t xml:space="preserve">https://doi.org/10.3389/fmars.2019.00734</w:t>
        </w:r>
      </w:hyperlink>
    </w:p>
    <w:bookmarkEnd w:id="184"/>
    <w:bookmarkStart w:id="185"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5"/>
    <w:bookmarkStart w:id="187"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86">
        <w:r>
          <w:rPr>
            <w:rStyle w:val="Hyperlink"/>
          </w:rPr>
          <w:t xml:space="preserve">https://doi.org/10.1111/gcb.14282</w:t>
        </w:r>
      </w:hyperlink>
    </w:p>
    <w:bookmarkEnd w:id="187"/>
    <w:bookmarkStart w:id="188"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8"/>
    <w:bookmarkStart w:id="189" w:name="ref-perkins2013measurement"/>
    <w:p>
      <w:pPr>
        <w:pStyle w:val="Bibliography"/>
      </w:pPr>
      <w:r>
        <w:t xml:space="preserve">Perkins, S.E., Alexander, L.V., 2013. On the measurement of heat waves. Journal of climate 26, 4500–4517.</w:t>
      </w:r>
    </w:p>
    <w:bookmarkEnd w:id="189"/>
    <w:bookmarkStart w:id="191" w:name="ref-Rbase"/>
    <w:p>
      <w:pPr>
        <w:pStyle w:val="Bibliography"/>
      </w:pPr>
      <w:r>
        <w:t xml:space="preserve">R Core Team, 2023.</w:t>
      </w:r>
      <w:r>
        <w:t xml:space="preserve"> </w:t>
      </w:r>
      <w:hyperlink r:id="rId190">
        <w:r>
          <w:rPr>
            <w:rStyle w:val="Hyperlink"/>
          </w:rPr>
          <w:t xml:space="preserve">R: A language and environment for statistical computing</w:t>
        </w:r>
      </w:hyperlink>
      <w:r>
        <w:t xml:space="preserve">. R Foundation for Statistical Computing, Vienna, Austria.</w:t>
      </w:r>
    </w:p>
    <w:bookmarkEnd w:id="191"/>
    <w:bookmarkStart w:id="192" w:name="ref-ramesh2020seagrass"/>
    <w:p>
      <w:pPr>
        <w:pStyle w:val="Bibliography"/>
      </w:pPr>
      <w:r>
        <w:t xml:space="preserve">Ramesh, C., Mohanraju, R., 2020. Seagrass ecosystems of andaman and nicobar islands: Status and future perspective. Environmental &amp; Earth Sciences Research Journal 7.</w:t>
      </w:r>
    </w:p>
    <w:bookmarkEnd w:id="192"/>
    <w:bookmarkStart w:id="194"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3">
        <w:r>
          <w:rPr>
            <w:rStyle w:val="Hyperlink"/>
          </w:rPr>
          <w:t xml:space="preserve">https://doi.org/10.1073/pnas.0500008102</w:t>
        </w:r>
      </w:hyperlink>
    </w:p>
    <w:bookmarkEnd w:id="194"/>
    <w:bookmarkStart w:id="195" w:name="ref-roman2021using"/>
    <w:p>
      <w:pPr>
        <w:pStyle w:val="Bibliography"/>
      </w:pPr>
      <w:r>
        <w:t xml:space="preserve">Román, A., Tovar-Sánchez, A., Olivé, I., Navarro, G., 2021. Using a UAV-mounted multispectral camera for the monitoring of marine macrophytes. Frontiers in Marine Science 8, 722698.</w:t>
      </w:r>
    </w:p>
    <w:bookmarkEnd w:id="195"/>
    <w:bookmarkStart w:id="196" w:name="ref-rouse1974monitoring"/>
    <w:p>
      <w:pPr>
        <w:pStyle w:val="Bibliography"/>
      </w:pPr>
      <w:r>
        <w:t xml:space="preserve">Rouse, J.W., Haas, R.H., Schell, J.A., Deering, D.W., others, 1974. Monitoring vegetation systems in the great plains with ERTS. NASA Spec. Publ 351, 309.</w:t>
      </w:r>
    </w:p>
    <w:bookmarkEnd w:id="196"/>
    <w:bookmarkStart w:id="198"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7">
        <w:r>
          <w:rPr>
            <w:rStyle w:val="Hyperlink"/>
          </w:rPr>
          <w:t xml:space="preserve">https://doi.org/10.1029/2023GL103540</w:t>
        </w:r>
      </w:hyperlink>
    </w:p>
    <w:bookmarkEnd w:id="198"/>
    <w:bookmarkStart w:id="199"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9"/>
    <w:bookmarkStart w:id="200"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0"/>
    <w:bookmarkStart w:id="202"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01">
        <w:r>
          <w:rPr>
            <w:rStyle w:val="Hyperlink"/>
          </w:rPr>
          <w:t xml:space="preserve">https://doi.org/10.21105/joss.00821</w:t>
        </w:r>
      </w:hyperlink>
    </w:p>
    <w:bookmarkEnd w:id="202"/>
    <w:bookmarkStart w:id="203"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3"/>
    <w:bookmarkStart w:id="204"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204"/>
    <w:bookmarkStart w:id="206" w:name="ref-shom_ram_2022"/>
    <w:p>
      <w:pPr>
        <w:pStyle w:val="Bibliography"/>
      </w:pPr>
      <w:r>
        <w:t xml:space="preserve">Shom, 2022.</w:t>
      </w:r>
      <w:r>
        <w:t xml:space="preserve"> </w:t>
      </w:r>
      <w:hyperlink r:id="rId205">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6"/>
    <w:bookmarkStart w:id="208" w:name="Xbef41143b4d4042e58f11cfc27e216202646012"/>
    <w:p>
      <w:pPr>
        <w:pStyle w:val="Bibliography"/>
      </w:pPr>
      <w:r>
        <w:t xml:space="preserve">SHOM, 2021.</w:t>
      </w:r>
      <w:r>
        <w:t xml:space="preserve"> </w:t>
      </w:r>
      <w:hyperlink r:id="rId207">
        <w:r>
          <w:rPr>
            <w:rStyle w:val="Hyperlink"/>
          </w:rPr>
          <w:t xml:space="preserve">Service hydrographique et océanographique de la marine ; bathymétrie Litto3D® bretagne 2018-2021</w:t>
        </w:r>
      </w:hyperlink>
      <w:r>
        <w:t xml:space="preserve">.</w:t>
      </w:r>
    </w:p>
    <w:bookmarkEnd w:id="208"/>
    <w:bookmarkStart w:id="210" w:name="ref-simolo2022quantifying"/>
    <w:p>
      <w:pPr>
        <w:pStyle w:val="Bibliography"/>
      </w:pPr>
      <w:r>
        <w:t xml:space="preserve">Simolo, C., Corti, S., 2022. Quantifying the role of variability in future intensification of heat extremes. Nature Communications 13.</w:t>
      </w:r>
      <w:r>
        <w:t xml:space="preserve"> </w:t>
      </w:r>
      <w:hyperlink r:id="rId209">
        <w:r>
          <w:rPr>
            <w:rStyle w:val="Hyperlink"/>
          </w:rPr>
          <w:t xml:space="preserve">https://doi.org/10.1038/s41467-022-35571-0</w:t>
        </w:r>
      </w:hyperlink>
    </w:p>
    <w:bookmarkEnd w:id="210"/>
    <w:bookmarkStart w:id="211"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1"/>
    <w:bookmarkStart w:id="213"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2">
        <w:r>
          <w:rPr>
            <w:rStyle w:val="Hyperlink"/>
          </w:rPr>
          <w:t xml:space="preserve">https://doi.org/10.1038/s41558-019-0412-1</w:t>
        </w:r>
      </w:hyperlink>
    </w:p>
    <w:bookmarkEnd w:id="213"/>
    <w:bookmarkStart w:id="21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4"/>
    <w:bookmarkStart w:id="215" w:name="ref-stan2020rstan"/>
    <w:p>
      <w:pPr>
        <w:pStyle w:val="Bibliography"/>
      </w:pPr>
      <w:r>
        <w:t xml:space="preserve">Stan Development Team, C., others, 2020. RStan: The r interface to stan. R package version 2.21. 2.</w:t>
      </w:r>
    </w:p>
    <w:bookmarkEnd w:id="215"/>
    <w:bookmarkStart w:id="217"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6">
        <w:r>
          <w:rPr>
            <w:rStyle w:val="Hyperlink"/>
          </w:rPr>
          <w:t xml:space="preserve">https://doi.org/10.1152/physiol.00040.2018</w:t>
        </w:r>
      </w:hyperlink>
    </w:p>
    <w:bookmarkEnd w:id="217"/>
    <w:bookmarkStart w:id="218"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8"/>
    <w:bookmarkStart w:id="219" w:name="ref-unsworth2014biodiversity"/>
    <w:p>
      <w:pPr>
        <w:pStyle w:val="Bibliography"/>
      </w:pPr>
      <w:r>
        <w:t xml:space="preserve">Unsworth, R., Cullen-Unsworth, L.C., 2014. Biodiversity, ecosystem services, and the conservation of seagrass meadows. Coast. Conserv 19, 95.</w:t>
      </w:r>
    </w:p>
    <w:bookmarkEnd w:id="219"/>
    <w:bookmarkStart w:id="220" w:name="ref-unsworth2022planetary"/>
    <w:p>
      <w:pPr>
        <w:pStyle w:val="Bibliography"/>
      </w:pPr>
      <w:r>
        <w:t xml:space="preserve">Unsworth, R.K., Cullen-Unsworth, L.C., Jones, B.L., Lilley, R.J., 2022. The planetary role of seagrass conservation. Science 377, 609–613.</w:t>
      </w:r>
    </w:p>
    <w:bookmarkEnd w:id="220"/>
    <w:bookmarkStart w:id="221"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1"/>
    <w:bookmarkStart w:id="222"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2"/>
    <w:bookmarkStart w:id="223"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3"/>
    <w:bookmarkStart w:id="224" w:name="ref-zahoor2023water"/>
    <w:p>
      <w:pPr>
        <w:pStyle w:val="Bibliography"/>
      </w:pPr>
      <w:r>
        <w:t xml:space="preserve">Zahoor, I., Mushtaq, A., 2023. Water pollution from agricultural activities: A critical global review. Int. J. Chem. Biochem. Sci 23, 164–176.</w:t>
      </w:r>
    </w:p>
    <w:bookmarkEnd w:id="224"/>
    <w:bookmarkStart w:id="225"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5"/>
    <w:bookmarkStart w:id="227"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6">
        <w:r>
          <w:rPr>
            <w:rStyle w:val="Hyperlink"/>
          </w:rPr>
          <w:t xml:space="preserve">https://doi.org/10.1002/rse2.319</w:t>
        </w:r>
      </w:hyperlink>
    </w:p>
    <w:bookmarkEnd w:id="227"/>
    <w:bookmarkStart w:id="228"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8"/>
    <w:bookmarkEnd w:id="229"/>
    <w:bookmarkEnd w:id="230"/>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7" Target="media/rId117.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3" Target="media/rId103.png" /><Relationship Type="http://schemas.openxmlformats.org/officeDocument/2006/relationships/image" Id="rId87" Target="media/rId87.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205" Target="https://diffusion.shom.fr/references-altimetriques-maritimes-ram.html" TargetMode="External" /><Relationship Type="http://schemas.openxmlformats.org/officeDocument/2006/relationships/hyperlink" Id="rId158" Target="https://doi.org/10.1002/aqc.4210" TargetMode="External" /><Relationship Type="http://schemas.openxmlformats.org/officeDocument/2006/relationships/hyperlink" Id="rId226"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2" Target="https://doi.org/10.1016/j.rse.2024.114340" TargetMode="External" /><Relationship Type="http://schemas.openxmlformats.org/officeDocument/2006/relationships/hyperlink" Id="rId197" Target="https://doi.org/10.1029/2023GL103540" TargetMode="External" /><Relationship Type="http://schemas.openxmlformats.org/officeDocument/2006/relationships/hyperlink" Id="rId209" Target="https://doi.org/10.1038/s41467-022-35571-0" TargetMode="External" /><Relationship Type="http://schemas.openxmlformats.org/officeDocument/2006/relationships/hyperlink" Id="rId212" Target="https://doi.org/10.1038/s41558-019-0412-1" TargetMode="External" /><Relationship Type="http://schemas.openxmlformats.org/officeDocument/2006/relationships/hyperlink" Id="rId178" Target="https://doi.org/10.1038/s41598-019-50643-w" TargetMode="External" /><Relationship Type="http://schemas.openxmlformats.org/officeDocument/2006/relationships/hyperlink" Id="rId140" Target="https://doi.org/10.1038/s43247-024-01543-z" TargetMode="External" /><Relationship Type="http://schemas.openxmlformats.org/officeDocument/2006/relationships/hyperlink" Id="rId162" Target="https://doi.org/10.1073/pnas.0402642101" TargetMode="External" /><Relationship Type="http://schemas.openxmlformats.org/officeDocument/2006/relationships/hyperlink" Id="rId193" Target="https://doi.org/10.1073/pnas.0500008102" TargetMode="External" /><Relationship Type="http://schemas.openxmlformats.org/officeDocument/2006/relationships/hyperlink" Id="rId186" Target="https://doi.org/10.1111/gcb.14282" TargetMode="External" /><Relationship Type="http://schemas.openxmlformats.org/officeDocument/2006/relationships/hyperlink" Id="rId216" Target="https://doi.org/10.1152/physiol.00040.2018" TargetMode="External" /><Relationship Type="http://schemas.openxmlformats.org/officeDocument/2006/relationships/hyperlink" Id="rId133"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1"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3" Target="https://doi.org/10.3389/fmars.2019.00734" TargetMode="External" /><Relationship Type="http://schemas.openxmlformats.org/officeDocument/2006/relationships/hyperlink" Id="rId181" Target="https://doi.org/10.3390/rs16234383" TargetMode="External" /><Relationship Type="http://schemas.openxmlformats.org/officeDocument/2006/relationships/hyperlink" Id="rId135" Target="https://doi.org/10.48670/moi-00311" TargetMode="External" /><Relationship Type="http://schemas.openxmlformats.org/officeDocument/2006/relationships/hyperlink" Id="rId148"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7" Target="https://services.data.shom.fr/geonetwork/srv/fre/catalog.search#/metadata/BATHYMETRIE_LITTO3D_BZH_2018_2021.xml" TargetMode="External" /><Relationship Type="http://schemas.openxmlformats.org/officeDocument/2006/relationships/hyperlink" Id="rId190"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5" Target="https://diffusion.shom.fr/references-altimetriques-maritimes-ram.html" TargetMode="External" /><Relationship Type="http://schemas.openxmlformats.org/officeDocument/2006/relationships/hyperlink" Id="rId158" Target="https://doi.org/10.1002/aqc.4210" TargetMode="External" /><Relationship Type="http://schemas.openxmlformats.org/officeDocument/2006/relationships/hyperlink" Id="rId226"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2" Target="https://doi.org/10.1016/j.rse.2024.114340" TargetMode="External" /><Relationship Type="http://schemas.openxmlformats.org/officeDocument/2006/relationships/hyperlink" Id="rId197" Target="https://doi.org/10.1029/2023GL103540" TargetMode="External" /><Relationship Type="http://schemas.openxmlformats.org/officeDocument/2006/relationships/hyperlink" Id="rId209" Target="https://doi.org/10.1038/s41467-022-35571-0" TargetMode="External" /><Relationship Type="http://schemas.openxmlformats.org/officeDocument/2006/relationships/hyperlink" Id="rId212" Target="https://doi.org/10.1038/s41558-019-0412-1" TargetMode="External" /><Relationship Type="http://schemas.openxmlformats.org/officeDocument/2006/relationships/hyperlink" Id="rId178" Target="https://doi.org/10.1038/s41598-019-50643-w" TargetMode="External" /><Relationship Type="http://schemas.openxmlformats.org/officeDocument/2006/relationships/hyperlink" Id="rId140" Target="https://doi.org/10.1038/s43247-024-01543-z" TargetMode="External" /><Relationship Type="http://schemas.openxmlformats.org/officeDocument/2006/relationships/hyperlink" Id="rId162" Target="https://doi.org/10.1073/pnas.0402642101" TargetMode="External" /><Relationship Type="http://schemas.openxmlformats.org/officeDocument/2006/relationships/hyperlink" Id="rId193" Target="https://doi.org/10.1073/pnas.0500008102" TargetMode="External" /><Relationship Type="http://schemas.openxmlformats.org/officeDocument/2006/relationships/hyperlink" Id="rId186" Target="https://doi.org/10.1111/gcb.14282" TargetMode="External" /><Relationship Type="http://schemas.openxmlformats.org/officeDocument/2006/relationships/hyperlink" Id="rId216" Target="https://doi.org/10.1152/physiol.00040.2018" TargetMode="External" /><Relationship Type="http://schemas.openxmlformats.org/officeDocument/2006/relationships/hyperlink" Id="rId133"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1"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3" Target="https://doi.org/10.3389/fmars.2019.00734" TargetMode="External" /><Relationship Type="http://schemas.openxmlformats.org/officeDocument/2006/relationships/hyperlink" Id="rId181" Target="https://doi.org/10.3390/rs16234383" TargetMode="External" /><Relationship Type="http://schemas.openxmlformats.org/officeDocument/2006/relationships/hyperlink" Id="rId135" Target="https://doi.org/10.48670/moi-00311" TargetMode="External" /><Relationship Type="http://schemas.openxmlformats.org/officeDocument/2006/relationships/hyperlink" Id="rId148"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7" Target="https://services.data.shom.fr/geonetwork/srv/fre/catalog.search#/metadata/BATHYMETRIE_LITTO3D_BZH_2018_2021.xml" TargetMode="External" /><Relationship Type="http://schemas.openxmlformats.org/officeDocument/2006/relationships/hyperlink" Id="rId190"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2024-12-17T09:16:32Z</dcterms:created>
  <dcterms:modified xsi:type="dcterms:W3CDTF">2024-12-17T09:16:32Z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2024-12-17</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