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p>
      <w:pPr>
        <w:numPr>
          <w:ilvl w:val="0"/>
          <w:numId w:val="1004"/>
        </w:numPr>
      </w:pPr>
      <w:r>
        <w:t xml:space="preserve">lack of literature about atmospheric heatwaves and intertidal seagrasses</w:t>
      </w:r>
    </w:p>
    <w:p>
      <w:pPr>
        <w:numPr>
          <w:ilvl w:val="0"/>
          <w:numId w:val="1004"/>
        </w:numPr>
      </w:pPr>
      <w:r>
        <w:t xml:space="preserve">Relation between the exposure time and the impact of the heatwave- Compare the time of exposure in situ and during the experiment = more than 14h per days in situ whereas during the experiment, seagrasses have been exposed 12h a day</w:t>
      </w:r>
    </w:p>
    <w:p>
      <w:pPr>
        <w:numPr>
          <w:ilvl w:val="0"/>
          <w:numId w:val="1004"/>
        </w:numPr>
      </w:pPr>
      <w:r>
        <w:t xml:space="preserve">Sediment Heatwaves</w:t>
      </w:r>
    </w:p>
    <w:p>
      <w:pPr>
        <w:pStyle w:val="FirstParagraph"/>
      </w:pPr>
      <w:r>
        <w:t xml:space="preserve">Although extensive research exists on marine heatwaves’ effects on subtidal seagrasses, little attention has been given to intertidal regions. This study initiates an exploration of how intertidal seagrasses respond to the dual influence of marine and atmospheric heatwaves, underscoring the need for further investigation in this underexplored area.</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The boxplot in</w:t>
      </w:r>
      <w:r>
        <w:t xml:space="preserve"> </w:t>
      </w:r>
      <w:hyperlink w:anchor="fig-Resilience_of_seagrasses">
        <w:r>
          <w:rPr>
            <w:rStyle w:val="Hyperlink"/>
          </w:rPr>
          <w:t xml:space="preserve">Figure 14</w:t>
        </w:r>
      </w:hyperlink>
      <w:r>
        <w:t xml:space="preserve"> </w:t>
      </w:r>
      <w:r>
        <w:t xml:space="preserve">illustrates the seagrass cover (SPC) changes between impacted and non-impacted areas across three dates: 1st of September, 6th of September and 7th of October 2021. Before the heatwave event on the 1st of September, the impacted seagrass patch had a higher SPC compared to non-impacted areas. However, during the event on the 6th September, a noticeable decline in SPC occurred in the impacted patch (</w:t>
      </w:r>
      <w:hyperlink w:anchor="fig-NDVI_GLI_SPC">
        <w:r>
          <w:rPr>
            <w:rStyle w:val="Hyperlink"/>
          </w:rPr>
          <w:t xml:space="preserve">Figure 10</w:t>
        </w:r>
      </w:hyperlink>
      <w:r>
        <w:t xml:space="preserve">, C and D). ThisOne month post-event, on the 7th of October, the SPC of the impacted seagrasses, which was initially higher, had decreased to a level below that of the non-impacted seagrasses. This shift underscores the long-term impact of extreme events on previously robust seagrass patches, revealing how heatwaves can reverse resilience patterns, leaving once-thriving patches in a weakened state compared to less disturbed areas.</w:t>
      </w:r>
    </w:p>
    <w:p>
      <w:pPr>
        <w:pStyle w:val="BodyText"/>
      </w:pPr>
      <w:r>
        <w:t xml:space="preserve">Seagrass resilience to heatwaves is a complex issue influenced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Temperate meadows composed of slow-growing, long-lived species such as</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are highly vulnerable to climate change-related disturbances. In contrast, smaller, colonizing species typical of tropical regions, including</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In temperate regions, tidal ranges are generally more pronounced than in tropical areas, reaching over 10 meters in locations like Mont Saint Michel Bay, France. This significant variation affects intertidal seagrasses, which are exposed to air for varying durations depending on their position within the intertidal zone and the tidal amplitude. During neap tides, seagrasses in the upper intertidal zone may experience only brief periods of submersion or may remain emerged, increasing their susceptibility to extreme atmospheric events. Conversely, seagrasses in the lower intertidal zone may undergo extended emersion periods, making them more exposed to extreme marine events. Consequently, the effects of both marine and atmospheric heatwaves can be amplified by tidal amplitude at the time the event occurs.</w:t>
      </w:r>
    </w:p>
    <w:p>
      <w:pPr>
        <w:pStyle w:val="BodyText"/>
      </w:pPr>
      <w:r>
        <w:t xml:space="preserve">Intertidal seagrass species such as</w:t>
      </w:r>
      <w:r>
        <w:t xml:space="preserve"> </w:t>
      </w:r>
      <w:r>
        <w:rPr>
          <w:i/>
          <w:iCs/>
        </w:rPr>
        <w:t xml:space="preserve">Nanozostera noltei</w:t>
      </w:r>
      <w:r>
        <w:t xml:space="preserve"> </w:t>
      </w:r>
      <w:r>
        <w:t xml:space="preserve">exhibit distinct phenological patterns throughout the year, which become more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 timing of extreme events can significantly impact meadow resilience, particularly if they coincide with early developmental stages or occur after the biomass peak has been reached and leaf senescence has begun.</w:t>
      </w:r>
    </w:p>
    <w:p>
      <w:pPr>
        <w:pStyle w:val="BodyText"/>
      </w:pPr>
      <w:r>
        <w:t xml:space="preserve">Environmental factors further shape this differential resilience. Seagrass meadows in regions benefiting from tidal cooling or situated away from the warmer edges of their geographical ranges tend to experience less heat stress and exhibit higher shoot densities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Seagrasses possess inherent coping mechanisms, including genetic adaptations and physiological acclimation, such as the rapid activation of photoprotective mechanisms and heat-responsive gene expression</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 However, the accelerated pace of climate change raises concerns about the ability of these adaptations to keep pace with escalating temperatures</w:t>
      </w:r>
      <w:r>
        <w:t xml:space="preserve"> </w:t>
      </w:r>
      <w:r>
        <w:t xml:space="preserve">(</w:t>
      </w:r>
      <w:hyperlink w:anchor="ref-loarie2009velocity">
        <w:r>
          <w:rPr>
            <w:rStyle w:val="Hyperlink"/>
          </w:rPr>
          <w:t xml:space="preserve">Loarie et al., 2009</w:t>
        </w:r>
      </w:hyperlink>
      <w:r>
        <w:t xml:space="preserve">)</w:t>
      </w:r>
      <w:r>
        <w:t xml:space="preserve">. Management strategies focused on mitigating local stressors, utilizing heatwave-resistant genotypes, and implementing restoration efforts are critical for bolstering seagrass resilience. Despite these challenges, emerging evidence suggests that some seagrass species may adapt to evolving ecological conditions, providing hope for their persistence in an increasingly warm climate</w:t>
      </w:r>
      <w:r>
        <w:t xml:space="preserve"> </w:t>
      </w:r>
      <w:r>
        <w:t xml:space="preserve">(</w:t>
      </w:r>
      <w:hyperlink w:anchor="ref-canadell2021ecosystem">
        <w:r>
          <w:rPr>
            <w:rStyle w:val="Hyperlink"/>
          </w:rPr>
          <w:t xml:space="preserve">Canadell and Jackson, 2021</w:t>
        </w:r>
      </w:hyperlink>
      <w:r>
        <w:t xml:space="preserve">)</w:t>
      </w:r>
      <w:r>
        <w:t xml:space="preserve">.</w:t>
      </w:r>
    </w:p>
    <w:bookmarkEnd w:id="124"/>
    <w:bookmarkEnd w:id="125"/>
    <w:bookmarkStart w:id="182" w:name="bibliography"/>
    <w:p>
      <w:pPr>
        <w:pStyle w:val="Heading1"/>
      </w:pPr>
      <w:r>
        <w:t xml:space="preserve">5. Bibliography</w:t>
      </w:r>
    </w:p>
    <w:bookmarkStart w:id="181"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guette2022physiological"/>
    <w:p>
      <w:pPr>
        <w:pStyle w:val="Bibliography"/>
      </w:pPr>
      <w:r>
        <w:t xml:space="preserve">Deguette, A., Barrote, I., Silva, J., 2022. Physiological and morphological effects of a marine heatwave on the seagrass cymodocea nodosa. Scientific Reports 12, 7950.</w:t>
      </w:r>
    </w:p>
    <w:bookmarkEnd w:id="137"/>
    <w:bookmarkStart w:id="138" w:name="ref-sen2cor"/>
    <w:p>
      <w:pPr>
        <w:pStyle w:val="Bibliography"/>
      </w:pPr>
      <w:r>
        <w:t xml:space="preserve">European Space Agency, 2024b. Sen2Cor: Sentinel-2 atmospheric correction processor.</w:t>
      </w:r>
    </w:p>
    <w:bookmarkEnd w:id="138"/>
    <w:bookmarkStart w:id="139" w:name="ref-copernicus_sentinel2"/>
    <w:p>
      <w:pPr>
        <w:pStyle w:val="Bibliography"/>
      </w:pPr>
      <w:r>
        <w:t xml:space="preserve">European Space Agency, 2024a. Copernicus open access hub.</w:t>
      </w:r>
    </w:p>
    <w:bookmarkEnd w:id="139"/>
    <w:bookmarkStart w:id="140" w:name="ref-gardner2018global"/>
    <w:p>
      <w:pPr>
        <w:pStyle w:val="Bibliography"/>
      </w:pPr>
      <w:r>
        <w:t xml:space="preserve">Gardner, R.C., Finlayson, C., 2018. Global wetland outlook: State of the world’s wetlands and their services to people, in: Ramsar Convention Secretariat. pp. 2020–5.</w:t>
      </w:r>
    </w:p>
    <w:bookmarkEnd w:id="140"/>
    <w:bookmarkStart w:id="141"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1"/>
    <w:bookmarkStart w:id="143"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2">
        <w:r>
          <w:rPr>
            <w:rStyle w:val="Hyperlink"/>
          </w:rPr>
          <w:t xml:space="preserve">https://doi.org/10.1002/aqc.4210</w:t>
        </w:r>
      </w:hyperlink>
    </w:p>
    <w:bookmarkEnd w:id="143"/>
    <w:bookmarkStart w:id="144"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4"/>
    <w:bookmarkStart w:id="145"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5"/>
    <w:bookmarkStart w:id="146" w:name="ref-huete2012vegetation"/>
    <w:p>
      <w:pPr>
        <w:pStyle w:val="Bibliography"/>
      </w:pPr>
      <w:r>
        <w:t xml:space="preserve">Huete, A.R., 2012. Vegetation indices, remote sensing and forest monitoring. Geography Compass 6, 513–532.</w:t>
      </w:r>
    </w:p>
    <w:bookmarkEnd w:id="146"/>
    <w:bookmarkStart w:id="148"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7">
        <w:r>
          <w:rPr>
            <w:rStyle w:val="Hyperlink"/>
          </w:rPr>
          <w:t xml:space="preserve">https://doi.org/10.1073/pnas.0402642101</w:t>
        </w:r>
      </w:hyperlink>
    </w:p>
    <w:bookmarkEnd w:id="148"/>
    <w:bookmarkStart w:id="150" w:name="ref-ioc_sea_level_lecy"/>
    <w:p>
      <w:pPr>
        <w:pStyle w:val="Bibliography"/>
      </w:pPr>
      <w:r>
        <w:t xml:space="preserve">IOC, 2024.</w:t>
      </w:r>
      <w:r>
        <w:t xml:space="preserve"> </w:t>
      </w:r>
      <w:hyperlink r:id="rId149">
        <w:r>
          <w:rPr>
            <w:rStyle w:val="Hyperlink"/>
          </w:rPr>
          <w:t xml:space="preserve">Intergovernmental oceanographic commission ; sea level monitoring station - le conquet, france (LECY)</w:t>
        </w:r>
      </w:hyperlink>
      <w:r>
        <w:t xml:space="preserve">.</w:t>
      </w:r>
    </w:p>
    <w:bookmarkEnd w:id="150"/>
    <w:bookmarkStart w:id="15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1"/>
    <w:bookmarkStart w:id="152" w:name="ref-kloos2021agricultural"/>
    <w:p>
      <w:pPr>
        <w:pStyle w:val="Bibliography"/>
      </w:pPr>
      <w:r>
        <w:t xml:space="preserve">Kloos, S., Yuan, Y., Castelli, M., Menzel, A., 2021. Agricultural drought detection with MODIS based vegetation health indices in southeast germany. Remote Sensing 13, 3907.</w:t>
      </w:r>
    </w:p>
    <w:bookmarkEnd w:id="152"/>
    <w:bookmarkStart w:id="153" w:name="ref-loarie2009velocity"/>
    <w:p>
      <w:pPr>
        <w:pStyle w:val="Bibliography"/>
      </w:pPr>
      <w:r>
        <w:t xml:space="preserve">Loarie, S.R., Duffy, P.B., Hamilton, H., Asner, G.P., Field, C.B., Ackerly, D.D., 2009. The velocity of climate change. Nature 462, 1052–1055.</w:t>
      </w:r>
    </w:p>
    <w:bookmarkEnd w:id="153"/>
    <w:bookmarkStart w:id="154"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4"/>
    <w:bookmarkStart w:id="155"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5"/>
    <w:bookmarkStart w:id="15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6"/>
    <w:bookmarkStart w:id="157" w:name="ref-perkins2013measurement"/>
    <w:p>
      <w:pPr>
        <w:pStyle w:val="Bibliography"/>
      </w:pPr>
      <w:r>
        <w:t xml:space="preserve">Perkins, S.E., Alexander, L.V., 2013. On the measurement of heat waves. Journal of climate 26, 4500–4517.</w:t>
      </w:r>
    </w:p>
    <w:bookmarkEnd w:id="157"/>
    <w:bookmarkStart w:id="158" w:name="ref-ramesh2020seagrass"/>
    <w:p>
      <w:pPr>
        <w:pStyle w:val="Bibliography"/>
      </w:pPr>
      <w:r>
        <w:t xml:space="preserve">Ramesh, C., Mohanraju, R., 2020. Seagrass ecosystems of andaman and nicobar islands: Status and future perspective. Environmental &amp; Earth Sciences Research Journal 7.</w:t>
      </w:r>
    </w:p>
    <w:bookmarkEnd w:id="158"/>
    <w:bookmarkStart w:id="16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59">
        <w:r>
          <w:rPr>
            <w:rStyle w:val="Hyperlink"/>
          </w:rPr>
          <w:t xml:space="preserve">https://doi.org/10.1073/pnas.0500008102</w:t>
        </w:r>
      </w:hyperlink>
    </w:p>
    <w:bookmarkEnd w:id="160"/>
    <w:bookmarkStart w:id="161" w:name="ref-rouse1974monitoring"/>
    <w:p>
      <w:pPr>
        <w:pStyle w:val="Bibliography"/>
      </w:pPr>
      <w:r>
        <w:t xml:space="preserve">Rouse, J.W., Haas, R.H., Schell, J.A., Deering, D.W., others, 1974. Monitoring vegetation systems in the great plains with ERTS. NASA Spec. Publ 351, 309.</w:t>
      </w:r>
    </w:p>
    <w:bookmarkEnd w:id="161"/>
    <w:bookmarkStart w:id="162"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62"/>
    <w:bookmarkStart w:id="163" w:name="ref-schlegel2017nearshore"/>
    <w:p>
      <w:pPr>
        <w:pStyle w:val="Bibliography"/>
      </w:pPr>
      <w:r>
        <w:t xml:space="preserve">Schlegel, R.W., Oliver, E.C., Wernberg, T., Smit, A.J., 2017. Nearshore and offshore co-occurrence of marine heatwaves and cold-spells. Progress in Oceanography 151, 189–205.</w:t>
      </w:r>
    </w:p>
    <w:bookmarkEnd w:id="163"/>
    <w:bookmarkStart w:id="165"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4">
        <w:r>
          <w:rPr>
            <w:rStyle w:val="Hyperlink"/>
          </w:rPr>
          <w:t xml:space="preserve">https://doi.org/10.21105/joss.00821</w:t>
        </w:r>
      </w:hyperlink>
    </w:p>
    <w:bookmarkEnd w:id="165"/>
    <w:bookmarkStart w:id="166"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6"/>
    <w:bookmarkStart w:id="167"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67"/>
    <w:bookmarkStart w:id="169" w:name="ref-shom_ram_2022"/>
    <w:p>
      <w:pPr>
        <w:pStyle w:val="Bibliography"/>
      </w:pPr>
      <w:r>
        <w:t xml:space="preserve">Shom, 2022.</w:t>
      </w:r>
      <w:r>
        <w:t xml:space="preserve"> </w:t>
      </w:r>
      <w:hyperlink r:id="rId168">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69"/>
    <w:bookmarkStart w:id="171" w:name="Xbef41143b4d4042e58f11cfc27e216202646012"/>
    <w:p>
      <w:pPr>
        <w:pStyle w:val="Bibliography"/>
      </w:pPr>
      <w:r>
        <w:t xml:space="preserve">SHOM, 2021.</w:t>
      </w:r>
      <w:r>
        <w:t xml:space="preserve"> </w:t>
      </w:r>
      <w:hyperlink r:id="rId170">
        <w:r>
          <w:rPr>
            <w:rStyle w:val="Hyperlink"/>
          </w:rPr>
          <w:t xml:space="preserve">Service hydrographique et océanographique de la marine ; bathymétrie Litto3D® bretagne 2018-2021</w:t>
        </w:r>
      </w:hyperlink>
      <w:r>
        <w:t xml:space="preserve">.</w:t>
      </w:r>
    </w:p>
    <w:bookmarkEnd w:id="171"/>
    <w:bookmarkStart w:id="172"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72"/>
    <w:bookmarkStart w:id="173"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73"/>
    <w:bookmarkStart w:id="17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4"/>
    <w:bookmarkStart w:id="175" w:name="ref-unsworth2022planetary"/>
    <w:p>
      <w:pPr>
        <w:pStyle w:val="Bibliography"/>
      </w:pPr>
      <w:r>
        <w:t xml:space="preserve">Unsworth, R.K., Cullen-Unsworth, L.C., Jones, B.L., Lilley, R.J., 2022. The planetary role of seagrass conservation. Science 377, 609–613.</w:t>
      </w:r>
    </w:p>
    <w:bookmarkEnd w:id="175"/>
    <w:bookmarkStart w:id="176"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6"/>
    <w:bookmarkStart w:id="177"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77"/>
    <w:bookmarkStart w:id="17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78"/>
    <w:bookmarkStart w:id="17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79"/>
    <w:bookmarkStart w:id="18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80"/>
    <w:bookmarkEnd w:id="181"/>
    <w:sectPr>
      <w:lnNumType w:countBy="1" w:restart="continuous"/>
    </w:sectPr>
    <w:bookmarkEnd w:id="18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68" Target="https://diffusion.shom.fr/references-altimetriques-maritimes-ram.html" TargetMode="External" /><Relationship Type="http://schemas.openxmlformats.org/officeDocument/2006/relationships/hyperlink" Id="rId142"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7" Target="https://doi.org/10.1073/pnas.0402642101" TargetMode="External" /><Relationship Type="http://schemas.openxmlformats.org/officeDocument/2006/relationships/hyperlink" Id="rId159" Target="https://doi.org/10.1073/pnas.0500008102" TargetMode="External" /><Relationship Type="http://schemas.openxmlformats.org/officeDocument/2006/relationships/hyperlink" Id="rId164"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0"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9"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68" Target="https://diffusion.shom.fr/references-altimetriques-maritimes-ram.html" TargetMode="External" /><Relationship Type="http://schemas.openxmlformats.org/officeDocument/2006/relationships/hyperlink" Id="rId142"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7" Target="https://doi.org/10.1073/pnas.0402642101" TargetMode="External" /><Relationship Type="http://schemas.openxmlformats.org/officeDocument/2006/relationships/hyperlink" Id="rId159" Target="https://doi.org/10.1073/pnas.0500008102" TargetMode="External" /><Relationship Type="http://schemas.openxmlformats.org/officeDocument/2006/relationships/hyperlink" Id="rId164"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0"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9"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2024-11-01T18:54:07Z</dcterms:created>
  <dcterms:modified xsi:type="dcterms:W3CDTF">2024-11-01T18:54:07Z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