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7.png" ContentType="image/png"/>
  <Override PartName="/word/media/rId31.png" ContentType="image/png"/>
  <Override PartName="/word/media/rId25.png" ContentType="image/png"/>
  <Override PartName="/word/media/rId103.png" ContentType="image/png"/>
  <Override PartName="/word/media/rId87.png" ContentType="image/png"/>
  <Override PartName="/word/media/rId49.png" ContentType="image/png"/>
  <Override PartName="/word/media/rId80.png" ContentType="image/png"/>
  <Override PartName="/word/media/rId93.png" ContentType="image/png"/>
  <Override PartName="/word/media/rId98.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2025-01-22</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 shallow waters,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HWs,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In complement to its ability to measure the spatial distribution of post-heatwave seagrass loss, we hypothesize that remote sensing has the potential to detect more subtle changes, such as the browning of seagrass leaves.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phase,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 findings were then applied to satellite remote sensing images, providing critical insights into the spatial extent and temporal dynamics of HW effects on seagrass meadows. By linking experimental results with large-scale observations of seagrass leaves’ browning,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sampling box was used to sample seagrass from an area of 30x15 cm and 5 cm deep, maintaining the sediment structure and avoiding damage to seagrass rhizomes and leaves (</w:t>
      </w:r>
      <w:hyperlink w:anchor="fig-design">
        <w:r>
          <w:rPr>
            <w:rStyle w:val="Hyperlink"/>
          </w:rPr>
          <w:t xml:space="preserve">Figure 1</w:t>
        </w:r>
      </w:hyperlink>
      <w:r>
        <w:t xml:space="preserve"> </w:t>
      </w:r>
      <w:r>
        <w:t xml:space="preserve">A). This sampling box reduced the variability between each sample replicates.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from a nearby site and transported to the lab, where it was filtered using a 0.22 µm nitrocellulose filter to remove suspended particulate matter. The filtered seawater was used in the acclimation tank and the intertidal chambers. The seagrasses were acclimated during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r>
        <w:t xml:space="preserve"> </w:t>
      </w:r>
      <w:r>
        <w:t xml:space="preserve">(Akbar et al., 2020)</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2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 tide and 6h of high-tide) was simulated in the laboratory using an intertidal chamber system from ElectricBlue®</w:t>
      </w:r>
      <w:r>
        <w:t xml:space="preserve"> </w:t>
      </w:r>
      <w:r>
        <w:t xml:space="preserve">(Electric Blue, 2023)</w:t>
      </w:r>
      <w:r>
        <w:t xml:space="preserve">. The transition between low tide and high tide is binary and took about 15 minutes to be completed when initiated.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low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light was turn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Field temperature was measured using</w:t>
      </w:r>
      <w:r>
        <w:t xml:space="preserve"> </w:t>
      </w:r>
      <w:r>
        <w:rPr>
          <w:i/>
          <w:iCs/>
        </w:rPr>
        <w:t xml:space="preserve">in situ sensors</w:t>
      </w:r>
      <w:r>
        <w:t xml:space="preserve"> </w:t>
      </w:r>
      <w:r>
        <w:t xml:space="preserve">(T7.3 EnvLoggers from ElectricBlue®) deployed at the sampling site in August 2024. In complement, the temperature daily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r>
        <w:t xml:space="preserve"> </w:t>
      </w:r>
      <w:r>
        <w:t xml:space="preserve">(Davies et al., 2023)</w:t>
      </w:r>
      <w:r>
        <w:t xml:space="preserve"> </w:t>
      </w:r>
      <w:r>
        <w:t xml:space="preserve">Based on the observed spectral changes in seagrasses exposed to HWs, we developed a new radiometric index to better detect the radiometric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 the reflectance observed at 740 nm to the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6"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heatwave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polygons indicate saltmarshes. Green points indicate the location of quadrat pictures over unimpacted seagrasses (i.e. showing a green colour on the field), and orange points indicate the location of quadrats taken over impacted seagrasses (i.e. showing a brown color on the field,</w:t>
            </w:r>
            <w:r>
              <w:t xml:space="preserve"> </w:t>
            </w:r>
            <w:hyperlink w:anchor="fig-QuiberonImg">
              <w:r>
                <w:rPr>
                  <w:rStyle w:val="Hyperlink"/>
                </w:rPr>
                <w:t xml:space="preserve">Figure 5</w:t>
              </w:r>
            </w:hyperlink>
            <w:r>
              <w:t xml:space="preserve">).</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3" w:name="temperature-data-and-hw-detection"/>
    <w:p>
      <w:pPr>
        <w:pStyle w:val="Heading3"/>
      </w:pPr>
      <w:r>
        <w:t xml:space="preserve">3.2.1 Temperature data and HW detection</w:t>
      </w:r>
    </w:p>
    <w:bookmarkStart w:id="60" w:name="air-temperature"/>
    <w:p>
      <w:pPr>
        <w:pStyle w:val="Heading4"/>
      </w:pPr>
      <w:r>
        <w:t xml:space="preserve">3.2.1.1 Air temperature</w:t>
      </w:r>
    </w:p>
    <w:p>
      <w:pPr>
        <w:pStyle w:val="FirstParagraph"/>
      </w:pPr>
      <w:r>
        <w:t xml:space="preserve">Since 2024, Meteo France weather data has been freely and openly accessible. Hourly air temperature data from a nearby weather station (Lorient-Lann Bihoue, 47°45’46”N 3°26’11”W) was retrieved using a</w:t>
      </w:r>
      <w:r>
        <w:t xml:space="preserve"> </w:t>
      </w:r>
      <w:hyperlink r:id="rId59">
        <w:r>
          <w:rPr>
            <w:rStyle w:val="Hyperlink"/>
          </w:rPr>
          <w:t xml:space="preserve">custom script</w:t>
        </w:r>
      </w:hyperlink>
      <w:r>
        <w:t xml:space="preserve"> </w:t>
      </w:r>
      <w:r>
        <w:t xml:space="preserve">as no API was available at the time of this study. For this station more than 395,000 hourly observations were available since 1952.</w:t>
      </w:r>
    </w:p>
    <w:bookmarkEnd w:id="60"/>
    <w:bookmarkStart w:id="61" w:name="water-temperature"/>
    <w:p>
      <w:pPr>
        <w:pStyle w:val="Heading4"/>
      </w:pPr>
      <w:r>
        <w:t xml:space="preserve">3.2.1.2 Water temperature</w:t>
      </w:r>
    </w:p>
    <w:p>
      <w:pPr>
        <w:pStyle w:val="FirstParagraph"/>
      </w:pPr>
      <w:r>
        <w:t xml:space="preserve">Sea Surface Temperature (SST) data from 1982 -2022 was downloaded from the Copernicus Marine Data Store (Copernicus Marine Environment Monitoring Service,</w:t>
      </w:r>
      <w:r>
        <w:t xml:space="preserve"> </w:t>
      </w:r>
      <w:r>
        <w:t xml:space="preserve">CMEMS (2024)</w:t>
      </w:r>
      <w:r>
        <w:t xml:space="preserve">) over the Quiberon coastal area. An area of 2700 km² was extracted and analyzed. This area was large enough to minimize missing values caused by cloud cover and small enough to limit the influence of offshore SST stability.</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of both air and water temperature was computed. Heatwaves were defined as events when the temperature exceeded the 90th percentile of the climatology during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s"/>
    <w:p>
      <w:pPr>
        <w:pStyle w:val="Heading3"/>
      </w:pPr>
      <w:r>
        <w:t xml:space="preserve">3.2.2 Satellite observations</w:t>
      </w:r>
    </w:p>
    <w:p>
      <w:pPr>
        <w:pStyle w:val="FirstParagraph"/>
      </w:pPr>
      <w:r>
        <w:t xml:space="preserve">Three Sentinel-2 images of the study site were selected in 2021 to assess the effect of the HW on the seagrass meadow: the first image was taken 5 days before the HW (1st of September 2021), the second image during the HW (6th of September 2021) and the third image one month later (8th of October 2021). Level-2 data was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 standard correction (i.e., Sen2cor,</w:t>
      </w:r>
      <w:r>
        <w:t xml:space="preserve"> </w:t>
      </w:r>
      <w:r>
        <w:t xml:space="preserve">European Space Agency (2024b)</w:t>
      </w:r>
      <w:r>
        <w:t xml:space="preserve">).</w:t>
      </w:r>
    </w:p>
    <w:p>
      <w:pPr>
        <w:pStyle w:val="BodyText"/>
      </w:pPr>
      <w:r>
        <w:t xml:space="preserve">The seagrass heat shock index (SHSI,</w:t>
      </w:r>
      <w:r>
        <w:t xml:space="preserve">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4"/>
    <w:bookmarkStart w:id="65" w:name="emersion-time-of-the-seagrass-meadow"/>
    <w:p>
      <w:pPr>
        <w:pStyle w:val="Heading3"/>
      </w:pPr>
      <w:r>
        <w:t xml:space="preserve">3.2.3 Emersion time of the seagrass meadow</w:t>
      </w:r>
    </w:p>
    <w:p>
      <w:pPr>
        <w:pStyle w:val="FirstParagraph"/>
      </w:pPr>
      <w:r>
        <w:t xml:space="preserve">The post-HW seagrass discoloration is likely related to the emersion time and intertidal topography. The spatial distribution of seagrass emersion time during low tide was estimated using bathymetric and water level data. High resolution bathymetry data (Litto3D® product) for the Quiberon intertidal meadow was sourced from the</w:t>
      </w:r>
      <w:r>
        <w:t xml:space="preserve"> </w:t>
      </w:r>
      <w:r>
        <w:t xml:space="preserve">“Service Hydrographique et Océanographique de la Marine”</w:t>
      </w:r>
      <w:r>
        <w:t xml:space="preserve"> </w:t>
      </w:r>
      <w:r>
        <w:t xml:space="preserve">(SHOM, 2021)</w:t>
      </w:r>
      <w:r>
        <w:t xml:space="preserve">. This product is a three-dimensional land-sea elevation database with 1m of spatial resolution, accurately depicting the coastal terrain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Water level at one-minute intervals data during the HW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w:t>
      </w:r>
      <w:r>
        <w:t xml:space="preserve"> </w:t>
      </w:r>
      <w:r>
        <w:t xml:space="preserve">SHOM (2022)</w:t>
      </w:r>
      <w:r>
        <w:t xml:space="preserve">), which provides the correction factors for each station of reference along the French coastline. The correction factor for Le Crouesty port data for 2022 was 2.85 m.</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function of Days (1-3: Discrete) with Replicate (henceforth Runs; 1-3: Factor) and Timestep within Run (1-6: Factor) as cross random factors. Satellite-derived indices were modeled as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7"/>
    <w:bookmarkEnd w:id="68"/>
    <w:bookmarkStart w:id="110" w:name="results"/>
    <w:p>
      <w:pPr>
        <w:pStyle w:val="Heading1"/>
      </w:pPr>
      <w:r>
        <w:t xml:space="preserve">4. Results</w:t>
      </w:r>
    </w:p>
    <w:bookmarkStart w:id="86" w:name="laboratory-experiment-1"/>
    <w:p>
      <w:pPr>
        <w:pStyle w:val="Heading2"/>
      </w:pPr>
      <w:r>
        <w:t xml:space="preserve">4.1 Laboratory Experiment</w:t>
      </w:r>
    </w:p>
    <w:bookmarkStart w:id="74" w:name="heatwave-effect-on-seagrass-reflectance"/>
    <w:p>
      <w:pPr>
        <w:pStyle w:val="Heading3"/>
      </w:pPr>
      <w:r>
        <w:t xml:space="preserve">4.1.1 Heatwave effect on seagrass reflectance</w:t>
      </w:r>
    </w:p>
    <w:p>
      <w:pPr>
        <w:pStyle w:val="FirstParagraph"/>
      </w:pPr>
      <w:r>
        <w:t xml:space="preserve">During the HW laboratory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which displayed a spectral shape typical of seagrass (i.e. a green peak around 560 nm, a valley associated with chlorophyll-a absorption around 665 nm, and a high near-infrared (NIR) plateau beyond 705 nm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overall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continues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the chlorophyll-a concentration.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measurments. The color indicates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heatwave-effect-on-radiometric-indices"/>
    <w:p>
      <w:pPr>
        <w:pStyle w:val="Heading3"/>
      </w:pPr>
      <w:r>
        <w:t xml:space="preserve">4.1.2 Heatwave effect on radiometric indices</w:t>
      </w:r>
    </w:p>
    <w:p>
      <w:pPr>
        <w:pStyle w:val="FirstParagraph"/>
      </w:pPr>
      <w:r>
        <w:t xml:space="preserve">All radiometric indices (i.e. the</w:t>
      </w:r>
      <w:r>
        <w:t xml:space="preserve"> </w:t>
      </w:r>
      <m:oMath>
        <m:r>
          <m:t>R</m:t>
        </m:r>
        <m:sSub>
          <m:e>
            <m:r>
              <m:rPr>
                <m:sty m:val="p"/>
              </m:rPr>
              <m:t>″</m:t>
            </m:r>
          </m:e>
          <m:sub>
            <m:r>
              <m:t>665</m:t>
            </m:r>
            <m:r>
              <m:t> </m:t>
            </m:r>
            <m:r>
              <m:rPr>
                <m:nor/>
                <m:sty m:val="p"/>
              </m:rPr>
              <m:t>nm</m:t>
            </m:r>
          </m:sub>
        </m:sSub>
      </m:oMath>
      <w:r>
        <w:t xml:space="preserve">, NDVI, GLI and SHSI), were impacted by the experimental heatwave (</w:t>
      </w:r>
      <w:hyperlink w:anchor="fig-Exp_Spectral_indices">
        <w:r>
          <w:rPr>
            <w:rStyle w:val="Hyperlink"/>
          </w:rPr>
          <w:t xml:space="preserve">Figure 7</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at the start of the experiment (day 1). By day 2, the SHSI exhibited a rapid increase of approximately 241 %, eventually reaching an overall rise of 420 % by day 3 (</w:t>
      </w:r>
      <w:hyperlink w:anchor="fig-Exp_Spectral_indices">
        <w:r>
          <w:rPr>
            <w:rStyle w:val="Hyperlink"/>
          </w:rPr>
          <w:t xml:space="preserve">Figure 7</w:t>
        </w:r>
      </w:hyperlink>
      <w:r>
        <w:t xml:space="preserve"> </w:t>
      </w:r>
      <w:r>
        <w:t xml:space="preserve">D).</w:t>
      </w:r>
    </w:p>
    <w:p>
      <w:pPr>
        <w:pStyle w:val="BodyText"/>
      </w:pPr>
      <w:r>
        <w:t xml:space="preserve">With a maximum deviation of 420 %, SHSI emerges as the most sensitive index for detecting seagrass browning. Consequently, only this index was considered for the next steps of the study.</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564642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Control and the Treatment over time for A) the second derivative at 665 nm B) the NDVI C) the GLI and D) the SHSI. Points indicate raw data, the line represents a generalized linear model, and the shaded area is the model’s standard error. The dashed lines represent no difference between the Control and the Treatment.</w:t>
            </w:r>
          </w:p>
          <w:bookmarkEnd w:id="78"/>
        </w:tc>
      </w:tr>
    </w:tbl>
    <w:bookmarkEnd w:id="79"/>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At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In the following section, a negative SHSI will be considered indicative of non-impacted seagrasses, while a positive SHSI will be used as a marker for impacted seagrasses.</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and standard deviation of the Seagrass Heat Shock Index (SHSI) across expimental runs, at each day of the experiment. The green line shows values of the Control group while the orange line indicates values of the Treatment group.</w:t>
            </w:r>
          </w:p>
          <w:bookmarkEnd w:id="83"/>
        </w:tc>
      </w:tr>
    </w:tbl>
    <w:bookmarkEnd w:id="84"/>
    <w:bookmarkEnd w:id="85"/>
    <w:bookmarkEnd w:id="86"/>
    <w:bookmarkStart w:id="109" w:name="X8f6520fb2cd603cd376acac4efc8d29f28e0a7a"/>
    <w:p>
      <w:pPr>
        <w:pStyle w:val="Heading2"/>
      </w:pPr>
      <w:r>
        <w:t xml:space="preserve">4.2 HW of September 2021 in Quiberon, South Brittany</w:t>
      </w:r>
    </w:p>
    <w:bookmarkStart w:id="92" w:name="spectral-changes"/>
    <w:p>
      <w:pPr>
        <w:pStyle w:val="Heading3"/>
      </w:pPr>
      <w:r>
        <w:t xml:space="preserve">4.2.1 Spectral changes</w:t>
      </w:r>
    </w:p>
    <w:p>
      <w:pPr>
        <w:pStyle w:val="FirstParagraph"/>
      </w:pPr>
      <w:r>
        <w:t xml:space="preserve">Sentinel-2 images acquired the 1st and 6th of September 2021 were anbalysed to assess the short-term impact of an heatwave on seagrass leaves in South Brittany, France (</w:t>
      </w:r>
      <w:hyperlink w:anchor="fig-S2_comparison">
        <w:r>
          <w:rPr>
            <w:rStyle w:val="Hyperlink"/>
          </w:rPr>
          <w:t xml:space="preserve">Figure 9</w:t>
        </w:r>
      </w:hyperlink>
      <w:r>
        <w:t xml:space="preserve"> </w:t>
      </w:r>
      <w:r>
        <w:t xml:space="preserve">A and C). Both and Atmospheric Heat Wave (AHW) and a Marine Heat wave (MHW) occured there during the summer 2021, from the 4th to the 7th of September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for air temperature, and from 17.7 to 19.3 °C for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Quadrat Points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used in this analysis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90"/>
        </w:tc>
      </w:tr>
    </w:tbl>
    <w:bookmarkEnd w:id="91"/>
    <w:bookmarkEnd w:id="92"/>
    <w:bookmarkStart w:id="108" w:name="shsi-metric-applied-to-sentinel-2"/>
    <w:p>
      <w:pPr>
        <w:pStyle w:val="Heading3"/>
      </w:pPr>
      <w:r>
        <w:t xml:space="preserve">4.2.2 SHSI metric applied to Sentinel-2</w:t>
      </w:r>
    </w:p>
    <w:p>
      <w:pPr>
        <w:pStyle w:val="FirstParagraph"/>
      </w:pPr>
      <w:r>
        <w:t xml:space="preserve">Using Sentinel-2 data and the QPs, SHSI was calculated for green seagrass unimpacted by the HW (QPs unimpacted</w:t>
      </w:r>
      <w:r>
        <w:t xml:space="preserve"> </w:t>
      </w:r>
      <w:hyperlink w:anchor="fig-S2_comparison">
        <w:r>
          <w:rPr>
            <w:rStyle w:val="Hyperlink"/>
          </w:rPr>
          <w:t xml:space="preserve">Figure 9</w:t>
        </w:r>
      </w:hyperlink>
      <w:r>
        <w:t xml:space="preserve"> </w:t>
      </w:r>
      <w:r>
        <w:t xml:space="preserve">C), showing minimal changes of 3 % between the 1st and the 6th of September (</w:t>
      </w:r>
      <w:hyperlink w:anchor="fig-NDVI_GLI_SPC">
        <w:r>
          <w:rPr>
            <w:rStyle w:val="Hyperlink"/>
          </w:rPr>
          <w:t xml:space="preserve">Figure 10</w:t>
        </w:r>
      </w:hyperlink>
      <w:r>
        <w:t xml:space="preserve">). In contrast, seagrass impacted by the HW and turned brown (QPs impacted</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2823210"/>
                  <wp:effectExtent b="0" l="0" r="0" t="0"/>
                  <wp:docPr descr="" title="" id="94" name="Picture"/>
                  <a:graphic>
                    <a:graphicData uri="http://schemas.openxmlformats.org/drawingml/2006/picture">
                      <pic:pic>
                        <pic:nvPicPr>
                          <pic:cNvPr descr="Figs/Low_res/SHSI_S2.png" id="95" name="Picture"/>
                          <pic:cNvPicPr>
                            <a:picLocks noChangeArrowheads="1" noChangeAspect="1"/>
                          </pic:cNvPicPr>
                        </pic:nvPicPr>
                        <pic:blipFill>
                          <a:blip r:embed="rId9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Seagrass Heat Shock Index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predicted value of the metric using a Generalized Linear Model (GLM), while th error bar repsents the 89% confidence interval.</w:t>
            </w:r>
          </w:p>
          <w:bookmarkEnd w:id="96"/>
        </w:tc>
      </w:tr>
    </w:tbl>
    <w:bookmarkEnd w:id="97"/>
    <w:p>
      <w:pPr>
        <w:pStyle w:val="BodyText"/>
      </w:pPr>
      <w:r>
        <w:t xml:space="preserve">Using the SHSI (</w:t>
      </w:r>
      <w:hyperlink w:anchor="eq-SDI">
        <w:r>
          <w:rPr>
            <w:rStyle w:val="Hyperlink"/>
          </w:rPr>
          <w:t xml:space="preserve">Equation 3</w:t>
        </w:r>
      </w:hyperlink>
      <w:r>
        <w:t xml:space="preserve">), we detected large darkened seagrass patches in the meadow at the 6th of September (</w:t>
      </w:r>
      <w:hyperlink w:anchor="fig-Map_darkening_Bathy">
        <w:r>
          <w:rPr>
            <w:rStyle w:val="Hyperlink"/>
          </w:rPr>
          <w:t xml:space="preserve">Figure 11</w:t>
        </w:r>
      </w:hyperlink>
      <w:r>
        <w:t xml:space="preserve">). A total of 26.9 hectares of seagrass turned brown between the 1st and 6th of September. The largest brown patch covered nearly 8 hectares. Overall, 24 % of the total seagrass meadow area showed signs of darkening between the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the 8th of October, some of the previously darkened areas regained their green color (</w:t>
      </w:r>
      <w:hyperlink w:anchor="fig-Map_darkening_Bathy">
        <w:r>
          <w:rPr>
            <w:rStyle w:val="Hyperlink"/>
          </w:rPr>
          <w:t xml:space="preserve">Figure 11</w:t>
        </w:r>
      </w:hyperlink>
      <w:r>
        <w:t xml:space="preserve"> </w:t>
      </w:r>
      <w:r>
        <w:t xml:space="preserve">C).</w:t>
      </w:r>
    </w:p>
    <w:bookmarkStart w:id="102" w:name="cell-fig-Map_darkening_Bathy"/>
    <w:tbl>
      <w:tblPr>
        <w:tblStyle w:val="Table"/>
        <w:tblW w:type="pct" w:w="5000"/>
        <w:tblLayout w:type="fixed"/>
        <w:tblLook w:firstRow="0" w:lastRow="0" w:firstColumn="0" w:lastColumn="0" w:noHBand="0" w:noVBand="0" w:val="0000"/>
      </w:tblPr>
      <w:tblGrid>
        <w:gridCol w:w="7920"/>
      </w:tblGrid>
      <w:tr>
        <w:tc>
          <w:tcPr/>
          <w:bookmarkStart w:id="101" w:name="fig-Map_darkening_Bathy"/>
          <w:p>
            <w:pPr>
              <w:pStyle w:val="Compact"/>
              <w:jc w:val="center"/>
            </w:pPr>
            <w:r>
              <w:drawing>
                <wp:inline>
                  <wp:extent cx="5646420" cy="4076715"/>
                  <wp:effectExtent b="0" l="0" r="0" t="0"/>
                  <wp:docPr descr="" title="" id="99" name="Picture"/>
                  <a:graphic>
                    <a:graphicData uri="http://schemas.openxmlformats.org/drawingml/2006/picture">
                      <pic:pic>
                        <pic:nvPicPr>
                          <pic:cNvPr descr="Figs/Low_res/SHSI_S2_map.png" id="100" name="Picture"/>
                          <pic:cNvPicPr>
                            <a:picLocks noChangeArrowheads="1" noChangeAspect="1"/>
                          </pic:cNvPicPr>
                        </pic:nvPicPr>
                        <pic:blipFill>
                          <a:blip r:embed="rId98"/>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HW Seagrass Heat Shock Index applyed on Sentinel-2 images Before (D), During (E) and After (F) the HW.</w:t>
            </w:r>
          </w:p>
          <w:bookmarkEnd w:id="101"/>
        </w:tc>
      </w:tr>
    </w:tbl>
    <w:bookmarkEnd w:id="102"/>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Seagrass emerged during less than 13 hours of daily were not impacted, whereas seagrass emerged during more than 13 hours turned brown with the maximum darkening occuring on seagrass emerged during more than 14.5 hours daily.</w:t>
      </w:r>
    </w:p>
    <w:bookmarkStart w:id="107" w:name="cell-fig-GAM_Emersion"/>
    <w:tbl>
      <w:tblPr>
        <w:tblStyle w:val="Table"/>
        <w:tblW w:type="pct" w:w="5000"/>
        <w:tblLayout w:type="fixed"/>
        <w:tblLook w:firstRow="0" w:lastRow="0" w:firstColumn="0" w:lastColumn="0" w:noHBand="0" w:noVBand="0" w:val="0000"/>
      </w:tblPr>
      <w:tblGrid>
        <w:gridCol w:w="7920"/>
      </w:tblGrid>
      <w:tr>
        <w:tc>
          <w:tcPr/>
          <w:bookmarkStart w:id="106" w:name="fig-GAM_Emersion"/>
          <w:p>
            <w:pPr>
              <w:pStyle w:val="Compact"/>
              <w:jc w:val="center"/>
            </w:pPr>
            <w:r>
              <w:drawing>
                <wp:inline>
                  <wp:extent cx="5646420" cy="2823210"/>
                  <wp:effectExtent b="0" l="0" r="0" t="0"/>
                  <wp:docPr descr="" title="" id="104" name="Picture"/>
                  <a:graphic>
                    <a:graphicData uri="http://schemas.openxmlformats.org/drawingml/2006/picture">
                      <pic:pic>
                        <pic:nvPicPr>
                          <pic:cNvPr descr="Figs/Low_res/GAM_emersion.png" id="105" name="Picture"/>
                          <pic:cNvPicPr>
                            <a:picLocks noChangeArrowheads="1" noChangeAspect="1"/>
                          </pic:cNvPicPr>
                        </pic:nvPicPr>
                        <pic:blipFill>
                          <a:blip r:embed="rId10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Heat Shock Index (SHSI) before and during the HW events as a function of the daily emersion time of seagrass. The line represents a Generalized Additive Model (GAM) prediction, and the shaded area indicates the standard error. Shaded points represent raw data, each corresponding to a single pixel of the meadow.</w:t>
            </w:r>
          </w:p>
          <w:bookmarkEnd w:id="106"/>
        </w:tc>
      </w:tr>
    </w:tbl>
    <w:bookmarkEnd w:id="107"/>
    <w:bookmarkEnd w:id="108"/>
    <w:bookmarkEnd w:id="109"/>
    <w:bookmarkEnd w:id="110"/>
    <w:bookmarkStart w:id="115" w:name="discussion"/>
    <w:p>
      <w:pPr>
        <w:pStyle w:val="Heading1"/>
      </w:pPr>
      <w:r>
        <w:t xml:space="preserve">5. Discussion</w:t>
      </w:r>
    </w:p>
    <w:bookmarkStart w:id="111"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effect of atmospheric extreme events on intertidal seagrass. This study initiates an exploration of how intertidal seagrasses respond to the dual influence of MHWs and AHWs, underscoring the need for further investigation in this under-explored area.</w:t>
      </w:r>
    </w:p>
    <w:p>
      <w:pPr>
        <w:pStyle w:val="BodyText"/>
      </w:pPr>
      <w:r>
        <w:t xml:space="preserve">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These changes suggest a progressive reduction in photosynthetic activity as well as structural or physiological changes in the leaves, such as degraded pigmentation or altered light absorption in the treatment group relative to the control as a consequence of the simulated HW event. In contrast, SHSI shows a marked increase, reaching up to 600% for some samples by day 3 (</w:t>
      </w:r>
      <w:hyperlink w:anchor="fig-Exp_Spectral_indices">
        <w:r>
          <w:rPr>
            <w:rStyle w:val="Hyperlink"/>
          </w:rPr>
          <w:t xml:space="preserve">Figure 7</w:t>
        </w:r>
      </w:hyperlink>
      <w:r>
        <w:t xml:space="preserve"> </w:t>
      </w:r>
      <w:r>
        <w:t xml:space="preserve">E). This positive trend in SHSI demonstrates its sensitivit to quantify seagrass browning.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shifts,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hydric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emerged during prolonged periods (</w:t>
      </w:r>
      <w:hyperlink w:anchor="fig-GAM_Emersion">
        <w:r>
          <w:rPr>
            <w:rStyle w:val="Hyperlink"/>
          </w:rPr>
          <w:t xml:space="preserve">Figure 12</w:t>
        </w:r>
      </w:hyperlink>
      <w:r>
        <w:t xml:space="preserve">).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In healthy plant leaves, the high infrared reflectance in the near-infrared spectral range (700 - 1300 nm) is primarily due to the internal cellular structure that scatters light, as well as the absence of light absorption by pigments in that spectral range. Once sunlight enters the leaf, it is diffused through various layers, particularly the spongy mesophyll, which contains air spaces and cell walls with different refractive indices. The scattering effect in the NIR is intensified because there is minimal absorption allowing light to reflect back through the leaf surface. Once the membranes (chloroplasts, thylakoids, cell walls) are destroyed due to oxidative stress, the reflectance in the Red Edge and the NIR regions decreases significantly</w:t>
      </w:r>
      <w:r>
        <w:t xml:space="preserve"> </w:t>
      </w:r>
      <w:r>
        <w:t xml:space="preserve">(Knipling, 1970)</w:t>
      </w:r>
      <w:r>
        <w:t xml:space="preserve">.</w:t>
      </w:r>
    </w:p>
    <w:p>
      <w:pPr>
        <w:pStyle w:val="BodyText"/>
      </w:pPr>
      <w:r>
        <w:t xml:space="preserve">The influence of heat stress on seagrass enables the detection of leaves darkening using remote sensing. The SHSI (</w:t>
      </w:r>
      <w:hyperlink w:anchor="eq-SDI">
        <w:r>
          <w:rPr>
            <w:rStyle w:val="Hyperlink"/>
          </w:rPr>
          <w:t xml:space="preserve">Equation 3</w:t>
        </w:r>
      </w:hyperlink>
      <w:r>
        <w:t xml:space="preserve">) index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 physiological and structural changes occur at the cellular level over short temporal scales, their synchronous manifestation across the entire meadow cause changes in large spatial extensions. Remote sensing, with its synoptic views and real-time acquisition capabilities, enables the monitoring of these rapid biological responses to anthropogenic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1"/>
    <w:bookmarkStart w:id="112" w:name="climate-change-and-heatwaves"/>
    <w:p>
      <w:pPr>
        <w:pStyle w:val="Heading2"/>
      </w:pPr>
      <w:r>
        <w:t xml:space="preserve">5.2 Climate change and heatwaves</w:t>
      </w:r>
    </w:p>
    <w:p>
      <w:pPr>
        <w:pStyle w:val="FirstParagraph"/>
      </w:pPr>
      <w:r>
        <w:t xml:space="preserve">The rapid global escalation of HW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days</w:t>
      </w:r>
      <w:r>
        <w:t xml:space="preserve"> </w:t>
      </w:r>
      <w:r>
        <w:t xml:space="preserve">(Simolo and Corti, 2022)</w:t>
      </w:r>
      <w:r>
        <w:t xml:space="preserve">.</w:t>
      </w:r>
    </w:p>
    <w:p>
      <w:pPr>
        <w:pStyle w:val="BodyText"/>
      </w:pPr>
      <w:r>
        <w:t xml:space="preserve">In the ocean, similar trends were observed with marine heatwaves (MHWs), which have increased by more than 50% in the total number of days per year since the early 20th century, and projections suggest that a near-permanent state of MHW,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interconnection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temperature spikes associated with these events occur over very short timescales, with limited recovery periods—giving organisms little to no opportunity to acclimate to rapidly changing conditions and often exceeding their tolerance limits.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2"/>
    <w:bookmarkStart w:id="113"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 </w:t>
      </w:r>
      <w:r>
        <w:t xml:space="preserve">spp.,</w:t>
      </w:r>
      <w:r>
        <w:t xml:space="preserve"> </w:t>
      </w:r>
      <w:r>
        <w:rPr>
          <w:i/>
          <w:iCs/>
        </w:rPr>
        <w:t xml:space="preserve">Amphibolis</w:t>
      </w:r>
      <w:r>
        <w:t xml:space="preserve"> </w:t>
      </w:r>
      <w:r>
        <w:t xml:space="preserve">spp.. 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 </w:t>
      </w:r>
      <w:r>
        <w:t xml:space="preserve">spp.,</w:t>
      </w:r>
      <w:r>
        <w:t xml:space="preserve"> </w:t>
      </w:r>
      <w:r>
        <w:rPr>
          <w:i/>
          <w:iCs/>
        </w:rPr>
        <w:t xml:space="preserve">Halophila</w:t>
      </w:r>
      <w:r>
        <w:t xml:space="preserve"> </w:t>
      </w:r>
      <w:r>
        <w:t xml:space="preserve">spp., and</w:t>
      </w:r>
      <w:r>
        <w:t xml:space="preserve"> </w:t>
      </w:r>
      <w:r>
        <w:rPr>
          <w:i/>
          <w:iCs/>
        </w:rPr>
        <w:t xml:space="preserve">Syringodium</w:t>
      </w:r>
      <w:r>
        <w:t xml:space="preserve"> </w:t>
      </w:r>
      <w:r>
        <w:t xml:space="preserve">spp.,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HWs on seagrass ecosystems is further intensified by tidal variations, especially in temperate regions with large tidal ranges that can exceed 10 meters, such as Mont Saint Michel Bay ,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increasing their vulnerability to AHWs. Conversely, seagrasses in the lower intertidal zone experience prolonged immersion throughout the tidal cycle, making them susceptible to extreme MHWs. As a result, both marine and atmospheric HWs can increase stress on intertidal seagrass meadows, with effects that may be intensified by tidal timing and amplitude. In our study, we observed a darkening effect in the seagrasses, using an experimental setup simulating tides with a uniformed period of daily exposure. In natural settings, however, bathymetry plays a significant role, and depending on depth variations, seagrasses may be exposed for even longer periods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the impact on meadow resilience can be quite severe if a heatwave coincides with early developmental stages, and less severe if it occurs after the biomass peak when leaf senescence has already begun.</w:t>
      </w:r>
    </w:p>
    <w:p>
      <w:pPr>
        <w:pStyle w:val="BodyText"/>
      </w:pPr>
      <w:r>
        <w:t xml:space="preserve">Environmental conditions can moderate seagrass resilience to thermal stress. Seagrass meadows located in areas benefiting from tidal cooling or positioned in the middle of their geographical ranges (i.e., far away from the warmer edges)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stress.In the present study, Sentinel-2 images acquiring before, during, and after an HW event made it possible to document the long-term impact of HW on seagrass cover (SC). During the HW, Sentinel-2 imagery suggested that impacted seagrass patches (i.e. areas showing seagrass darkening) also displayed a sharp decline in seagrass cover. The S2 image acquired one month after the HW showed that the SC of impacted seagrasses patches did not recover up to its initial level (</w:t>
      </w:r>
      <w:hyperlink w:anchor="fig-NDVI_GLI_SPC">
        <w:r>
          <w:rPr>
            <w:rStyle w:val="Hyperlink"/>
          </w:rPr>
          <w:t xml:space="preserve">Figure 10</w:t>
        </w:r>
      </w:hyperlink>
      <w:r>
        <w:t xml:space="preserve">). However, the satellite-derived SC might be misleading because field pictures did not show any significant reduction in SC during the HW (</w:t>
      </w:r>
      <w:hyperlink w:anchor="fig-QuiberonImg">
        <w:r>
          <w:rPr>
            <w:rStyle w:val="Hyperlink"/>
          </w:rPr>
          <w:t xml:space="preserve">Figure 5</w:t>
        </w:r>
      </w:hyperlink>
      <w:r>
        <w:t xml:space="preserve">). The decrease in SC apparently observed on satellite imagery was therefore most likely due to leaf darkening rather than to a real decrease in seagrass density. Seagrass darkening resulted in a decrease in NDVI, thus creating an apparent decrease in SC because seagrass cover was computed from NDVI</w:t>
      </w:r>
      <w:r>
        <w:t xml:space="preserve"> </w:t>
      </w:r>
      <w:r>
        <w:t xml:space="preserve">(Zoffoli et al., 2020)</w:t>
      </w:r>
      <w:r>
        <w:t xml:space="preserve">. The bias introduced by remote sensing in this instance reflects a limitation in accurately capturing true seagrass cover during stress events. It was only after the heatwave that leaves began to detach, leading to an actual decline in seagrass density. The delayed response in SC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bookmarkEnd w:id="113"/>
    <w:bookmarkStart w:id="114" w:name="big-picture"/>
    <w:p>
      <w:pPr>
        <w:pStyle w:val="Heading2"/>
      </w:pPr>
      <w:r>
        <w:t xml:space="preserve">5.4 Big picture</w:t>
      </w:r>
    </w:p>
    <w:p>
      <w:pPr>
        <w:pStyle w:val="FirstParagraph"/>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HW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 meadows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4"/>
    <w:bookmarkEnd w:id="115"/>
    <w:bookmarkStart w:id="116"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under controlled experimental conditions and validating these findings with satellite observations, we aimed at understanding how extreme heat events affect seagrass health and assess the potential of remote sensing to monitor HW impacts. Our findings revealed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also documented the broader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seagrass resilience and guide adaptive management practices. As climate change accelerates, with a predicted increase in the frequency and intensity of heatwaves in the next decades,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6"/>
    <w:bookmarkStart w:id="121" w:name="annexes"/>
    <w:p>
      <w:pPr>
        <w:pStyle w:val="Heading1"/>
      </w:pPr>
      <w:r>
        <w:t xml:space="preserve">7. Annexes</w:t>
      </w:r>
    </w:p>
    <w:bookmarkStart w:id="120"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8" name="Picture"/>
            <a:graphic>
              <a:graphicData uri="http://schemas.openxmlformats.org/drawingml/2006/picture">
                <pic:pic>
                  <pic:nvPicPr>
                    <pic:cNvPr descr="Figs/High_res/Temperature_compare.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0"/>
    <w:bookmarkEnd w:id="121"/>
    <w:bookmarkStart w:id="234" w:name="references"/>
    <w:p>
      <w:pPr>
        <w:pStyle w:val="Heading1"/>
      </w:pPr>
      <w:r>
        <w:t xml:space="preserve">8. References</w:t>
      </w:r>
    </w:p>
    <w:bookmarkStart w:id="233" w:name="refs"/>
    <w:bookmarkStart w:id="122"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2"/>
    <w:bookmarkStart w:id="123"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3"/>
    <w:bookmarkStart w:id="124"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4"/>
    <w:bookmarkStart w:id="126"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5">
        <w:r>
          <w:rPr>
            <w:rStyle w:val="Hyperlink"/>
          </w:rPr>
          <w:t xml:space="preserve">https://doi.org/10.3354/meps14588</w:t>
        </w:r>
      </w:hyperlink>
    </w:p>
    <w:bookmarkEnd w:id="126"/>
    <w:bookmarkStart w:id="127"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7"/>
    <w:bookmarkStart w:id="129" w:name="ref-JSSv100i05"/>
    <w:p>
      <w:pPr>
        <w:pStyle w:val="Bibliography"/>
      </w:pPr>
      <w:r>
        <w:t xml:space="preserve">Bürkner, P.-C., 2021. Bayesian item response modeling in r with brms and stan. Journal of Statistical Software 100, 1–54.</w:t>
      </w:r>
      <w:r>
        <w:t xml:space="preserve"> </w:t>
      </w:r>
      <w:hyperlink r:id="rId128">
        <w:r>
          <w:rPr>
            <w:rStyle w:val="Hyperlink"/>
          </w:rPr>
          <w:t xml:space="preserve">https://doi.org/10.18637/jss.v100.i05</w:t>
        </w:r>
      </w:hyperlink>
    </w:p>
    <w:bookmarkEnd w:id="129"/>
    <w:bookmarkStart w:id="130"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0"/>
    <w:bookmarkStart w:id="131"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1"/>
    <w:bookmarkStart w:id="132" w:name="ref-canadell2021ecosystem"/>
    <w:p>
      <w:pPr>
        <w:pStyle w:val="Bibliography"/>
      </w:pPr>
      <w:r>
        <w:t xml:space="preserve">Canadell, J.G., Jackson, R.B., 2021. Ecosystem collapse and climate change. Springer.</w:t>
      </w:r>
    </w:p>
    <w:bookmarkEnd w:id="132"/>
    <w:bookmarkStart w:id="133"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3"/>
    <w:bookmarkStart w:id="135"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4">
        <w:r>
          <w:rPr>
            <w:rStyle w:val="Hyperlink"/>
          </w:rPr>
          <w:t xml:space="preserve">https://doi.org/10.18637/jss.v076.i01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5"/>
    <w:bookmarkStart w:id="146" w:name="ref-deguette2022physiological"/>
    <w:p>
      <w:pPr>
        <w:pStyle w:val="Bibliography"/>
      </w:pPr>
      <w:r>
        <w:t xml:space="preserve">Deguette, A., Barrote, I., Silva, J., 2022. Physiological and morphological effects of a marine heatwave on the seagrass cymodocea nodosa. Scientific Reports 12, 7950.</w:t>
      </w:r>
    </w:p>
    <w:bookmarkEnd w:id="146"/>
    <w:bookmarkStart w:id="147" w:name="ref-devi2024intensity"/>
    <w:p>
      <w:pPr>
        <w:pStyle w:val="Bibliography"/>
      </w:pPr>
      <w:r>
        <w:t xml:space="preserve">Devi, R., Gouda, K., Lenka, S., 2024. Intensity duration and frequency of heat wave in different phases of MJO over india. Atmospheric Research 300, 107250.</w:t>
      </w:r>
    </w:p>
    <w:bookmarkEnd w:id="147"/>
    <w:bookmarkStart w:id="148" w:name="ref-douay2022new"/>
    <w:p>
      <w:pPr>
        <w:pStyle w:val="Bibliography"/>
      </w:pPr>
      <w:r>
        <w:t xml:space="preserve">Douay, F., Verpoorter, C., Duong, G., Spilmont, N., Gevaert, F., 2022. New hyperspectral procedure to discriminate intertidal macroalgae. Remote Sensing 14, 346.</w:t>
      </w:r>
    </w:p>
    <w:bookmarkEnd w:id="148"/>
    <w:bookmarkStart w:id="150" w:name="ref-electricblue_intertidal_chamber"/>
    <w:p>
      <w:pPr>
        <w:pStyle w:val="Bibliography"/>
      </w:pPr>
      <w:r>
        <w:t xml:space="preserve">Electric Blue, 2023.</w:t>
      </w:r>
      <w:r>
        <w:t xml:space="preserve"> </w:t>
      </w:r>
      <w:hyperlink r:id="rId149">
        <w:r>
          <w:rPr>
            <w:rStyle w:val="Hyperlink"/>
          </w:rPr>
          <w:t xml:space="preserve">Intertidal chamber</w:t>
        </w:r>
      </w:hyperlink>
      <w:r>
        <w:t xml:space="preserve">.</w:t>
      </w:r>
    </w:p>
    <w:bookmarkEnd w:id="150"/>
    <w:bookmarkStart w:id="151" w:name="ref-sen2cor"/>
    <w:p>
      <w:pPr>
        <w:pStyle w:val="Bibliography"/>
      </w:pPr>
      <w:r>
        <w:t xml:space="preserve">European Space Agency, 2024b. Sen2Cor: Sentinel-2 atmospheric correction processor.</w:t>
      </w:r>
    </w:p>
    <w:bookmarkEnd w:id="151"/>
    <w:bookmarkStart w:id="152" w:name="ref-copernicus_sentinel2"/>
    <w:p>
      <w:pPr>
        <w:pStyle w:val="Bibliography"/>
      </w:pPr>
      <w:r>
        <w:t xml:space="preserve">European Space Agency, 2024a. Copernicus open access hub.</w:t>
      </w:r>
    </w:p>
    <w:bookmarkEnd w:id="152"/>
    <w:bookmarkStart w:id="153"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3"/>
    <w:bookmarkStart w:id="154"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4"/>
    <w:bookmarkStart w:id="155"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5"/>
    <w:bookmarkStart w:id="156"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6"/>
    <w:bookmarkStart w:id="157" w:name="ref-gardner2018global"/>
    <w:p>
      <w:pPr>
        <w:pStyle w:val="Bibliography"/>
      </w:pPr>
      <w:r>
        <w:t xml:space="preserve">Gardner, R.C., Finlayson, C., 2018. Global wetland outlook: State of the world’s wetlands and their services to people, in: Ramsar Convention Secretariat. pp. 2020–5.</w:t>
      </w:r>
    </w:p>
    <w:bookmarkEnd w:id="157"/>
    <w:bookmarkStart w:id="158"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8"/>
    <w:bookmarkStart w:id="159" w:name="ref-green2021historical"/>
    <w:p>
      <w:pPr>
        <w:pStyle w:val="Bibliography"/>
      </w:pPr>
      <w:r>
        <w:t xml:space="preserve">Green, A.E., Unsworth, R.K., Chadwick, M.A., Jones, P.J., 2021. Historical analysis exposes catastrophic seagrass loss for the united kingdom. Frontiers in plant science 12, 629962.</w:t>
      </w:r>
    </w:p>
    <w:bookmarkEnd w:id="159"/>
    <w:bookmarkStart w:id="160"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60"/>
    <w:bookmarkStart w:id="162"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61">
        <w:r>
          <w:rPr>
            <w:rStyle w:val="Hyperlink"/>
          </w:rPr>
          <w:t xml:space="preserve">https://doi.org/10.1002/aqc.4210</w:t>
        </w:r>
      </w:hyperlink>
    </w:p>
    <w:bookmarkEnd w:id="162"/>
    <w:bookmarkStart w:id="16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3"/>
    <w:bookmarkStart w:id="16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4"/>
    <w:bookmarkStart w:id="165"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5"/>
    <w:bookmarkStart w:id="167" w:name="ref-ioc_sea_level_lecy"/>
    <w:p>
      <w:pPr>
        <w:pStyle w:val="Bibliography"/>
      </w:pPr>
      <w:r>
        <w:t xml:space="preserve">IOC, 2024.</w:t>
      </w:r>
      <w:r>
        <w:t xml:space="preserve"> </w:t>
      </w:r>
      <w:hyperlink r:id="rId166">
        <w:r>
          <w:rPr>
            <w:rStyle w:val="Hyperlink"/>
          </w:rPr>
          <w:t xml:space="preserve">Intergovernmental oceanographic commission ; sea level monitoring station - le conquet, france (LECY)</w:t>
        </w:r>
      </w:hyperlink>
      <w:r>
        <w:t xml:space="preserve">.</w:t>
      </w:r>
    </w:p>
    <w:bookmarkEnd w:id="167"/>
    <w:bookmarkStart w:id="168"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8"/>
    <w:bookmarkStart w:id="170"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9">
        <w:r>
          <w:rPr>
            <w:rStyle w:val="Hyperlink"/>
          </w:rPr>
          <w:t xml:space="preserve">https://doi.org/10.1016/S0304-4238(05)80016-0</w:t>
        </w:r>
      </w:hyperlink>
    </w:p>
    <w:bookmarkEnd w:id="170"/>
    <w:bookmarkStart w:id="172"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1">
        <w:r>
          <w:rPr>
            <w:rStyle w:val="Hyperlink"/>
          </w:rPr>
          <w:t xml:space="preserve">https://doi.org/10.1016/S0034-4257(70)80021-9</w:t>
        </w:r>
      </w:hyperlink>
    </w:p>
    <w:bookmarkEnd w:id="172"/>
    <w:bookmarkStart w:id="173" w:name="ref-hsdar"/>
    <w:p>
      <w:pPr>
        <w:pStyle w:val="Bibliography"/>
      </w:pPr>
      <w:r>
        <w:t xml:space="preserve">Lehnert, L.W., Meyer, H., Bendix, J., 2017. Hsdar: Manage, analyse and simulate hyperspectral data in r.</w:t>
      </w:r>
    </w:p>
    <w:bookmarkEnd w:id="173"/>
    <w:bookmarkStart w:id="174" w:name="ref-loarie2009velocity"/>
    <w:p>
      <w:pPr>
        <w:pStyle w:val="Bibliography"/>
      </w:pPr>
      <w:r>
        <w:t xml:space="preserve">Loarie, S.R., Duffy, P.B., Hamilton, H., Asner, G.P., Field, C.B., Ackerly, D.D., 2009. The velocity of climate change. Nature 462, 1052–1055.</w:t>
      </w:r>
    </w:p>
    <w:bookmarkEnd w:id="174"/>
    <w:bookmarkStart w:id="175"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5"/>
    <w:bookmarkStart w:id="177" w:name="ref-malvern_panalytical_rs3"/>
    <w:p>
      <w:pPr>
        <w:pStyle w:val="Bibliography"/>
      </w:pPr>
      <w:r>
        <w:t xml:space="preserve">Malvern Panalytical, 2023.</w:t>
      </w:r>
      <w:r>
        <w:t xml:space="preserve"> </w:t>
      </w:r>
      <w:hyperlink r:id="rId176">
        <w:r>
          <w:rPr>
            <w:rStyle w:val="Hyperlink"/>
          </w:rPr>
          <w:t xml:space="preserve">RS3 software</w:t>
        </w:r>
      </w:hyperlink>
      <w:r>
        <w:t xml:space="preserve">.</w:t>
      </w:r>
    </w:p>
    <w:bookmarkEnd w:id="177"/>
    <w:bookmarkStart w:id="178" w:name="ref-marba2010mediterranean"/>
    <w:p>
      <w:pPr>
        <w:pStyle w:val="Bibliography"/>
      </w:pPr>
      <w:r>
        <w:t xml:space="preserve">Marbà, N., Duarte, C.M., 2010. Mediterranean warming triggers seagrass (posidonia oceanica) shoot mortality. Global change biology 16, 2366–2375.</w:t>
      </w:r>
    </w:p>
    <w:bookmarkEnd w:id="178"/>
    <w:bookmarkStart w:id="179"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9"/>
    <w:bookmarkStart w:id="180"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80"/>
    <w:bookmarkStart w:id="182"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81">
        <w:r>
          <w:rPr>
            <w:rStyle w:val="Hyperlink"/>
          </w:rPr>
          <w:t xml:space="preserve">https://doi.org/10.1038/s41598-019-50643-w</w:t>
        </w:r>
      </w:hyperlink>
    </w:p>
    <w:bookmarkEnd w:id="182"/>
    <w:bookmarkStart w:id="183"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83"/>
    <w:bookmarkStart w:id="184"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4"/>
    <w:bookmarkStart w:id="186"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5">
        <w:r>
          <w:rPr>
            <w:rStyle w:val="Hyperlink"/>
          </w:rPr>
          <w:t xml:space="preserve">https://doi.org/10.3390/rs16234383</w:t>
        </w:r>
      </w:hyperlink>
    </w:p>
    <w:bookmarkEnd w:id="186"/>
    <w:bookmarkStart w:id="188"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7">
        <w:r>
          <w:rPr>
            <w:rStyle w:val="Hyperlink"/>
          </w:rPr>
          <w:t xml:space="preserve">https://doi.org/10.3389/fmars.2019.00734</w:t>
        </w:r>
      </w:hyperlink>
    </w:p>
    <w:bookmarkEnd w:id="188"/>
    <w:bookmarkStart w:id="189"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9"/>
    <w:bookmarkStart w:id="191"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90">
        <w:r>
          <w:rPr>
            <w:rStyle w:val="Hyperlink"/>
          </w:rPr>
          <w:t xml:space="preserve">https://doi.org/10.1111/gcb.14282</w:t>
        </w:r>
      </w:hyperlink>
    </w:p>
    <w:bookmarkEnd w:id="191"/>
    <w:bookmarkStart w:id="192"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92"/>
    <w:bookmarkStart w:id="193" w:name="ref-perkins2013measurement"/>
    <w:p>
      <w:pPr>
        <w:pStyle w:val="Bibliography"/>
      </w:pPr>
      <w:r>
        <w:t xml:space="preserve">Perkins, S.E., Alexander, L.V., 2013. On the measurement of heat waves. Journal of climate 26, 4500–4517.</w:t>
      </w:r>
    </w:p>
    <w:bookmarkEnd w:id="193"/>
    <w:bookmarkStart w:id="195" w:name="ref-Rbase"/>
    <w:p>
      <w:pPr>
        <w:pStyle w:val="Bibliography"/>
      </w:pPr>
      <w:r>
        <w:t xml:space="preserve">R Core Team, 2023.</w:t>
      </w:r>
      <w:r>
        <w:t xml:space="preserve"> </w:t>
      </w:r>
      <w:hyperlink r:id="rId194">
        <w:r>
          <w:rPr>
            <w:rStyle w:val="Hyperlink"/>
          </w:rPr>
          <w:t xml:space="preserve">R: A language and environment for statistical computing</w:t>
        </w:r>
      </w:hyperlink>
      <w:r>
        <w:t xml:space="preserve">. R Foundation for Statistical Computing, Vienna, Austria.</w:t>
      </w:r>
    </w:p>
    <w:bookmarkEnd w:id="195"/>
    <w:bookmarkStart w:id="196" w:name="ref-ramesh2020seagrass"/>
    <w:p>
      <w:pPr>
        <w:pStyle w:val="Bibliography"/>
      </w:pPr>
      <w:r>
        <w:t xml:space="preserve">Ramesh, C., Mohanraju, R., 2020. Seagrass ecosystems of andaman and nicobar islands: Status and future perspective. Environmental &amp; Earth Sciences Research Journal 7.</w:t>
      </w:r>
    </w:p>
    <w:bookmarkEnd w:id="196"/>
    <w:bookmarkStart w:id="197" w:name="ref-roman2021using"/>
    <w:p>
      <w:pPr>
        <w:pStyle w:val="Bibliography"/>
      </w:pPr>
      <w:r>
        <w:t xml:space="preserve">Román, A., Tovar-Sánchez, A., Olivé, I., Navarro, G., 2021. Using a UAV-mounted multispectral camera for the monitoring of marine macrophytes. Frontiers in Marine Science 8, 722698.</w:t>
      </w:r>
    </w:p>
    <w:bookmarkEnd w:id="197"/>
    <w:bookmarkStart w:id="198" w:name="ref-rouse1974monitoring"/>
    <w:p>
      <w:pPr>
        <w:pStyle w:val="Bibliography"/>
      </w:pPr>
      <w:r>
        <w:t xml:space="preserve">Rouse, J.W., Haas, R.H., Schell, J.A., Deering, D.W., others, 1974. Monitoring vegetation systems in the great plains with ERTS. NASA Spec. Publ 351, 309.</w:t>
      </w:r>
    </w:p>
    <w:bookmarkEnd w:id="198"/>
    <w:bookmarkStart w:id="200"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9">
        <w:r>
          <w:rPr>
            <w:rStyle w:val="Hyperlink"/>
          </w:rPr>
          <w:t xml:space="preserve">https://doi.org/10.1029/2023GL103540</w:t>
        </w:r>
      </w:hyperlink>
    </w:p>
    <w:bookmarkEnd w:id="200"/>
    <w:bookmarkStart w:id="201"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1"/>
    <w:bookmarkStart w:id="202"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2"/>
    <w:bookmarkStart w:id="204"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3">
        <w:r>
          <w:rPr>
            <w:rStyle w:val="Hyperlink"/>
          </w:rPr>
          <w:t xml:space="preserve">https://doi.org/10.21105/joss.00821</w:t>
        </w:r>
      </w:hyperlink>
    </w:p>
    <w:bookmarkEnd w:id="204"/>
    <w:bookmarkStart w:id="205"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5"/>
    <w:bookmarkStart w:id="207" w:name="ref-shom_ram_2022"/>
    <w:p>
      <w:pPr>
        <w:pStyle w:val="Bibliography"/>
      </w:pPr>
      <w:r>
        <w:t xml:space="preserve">SHOM, 2022.</w:t>
      </w:r>
      <w:r>
        <w:t xml:space="preserve"> </w:t>
      </w:r>
      <w:hyperlink r:id="rId206">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7"/>
    <w:bookmarkStart w:id="209" w:name="Xbef41143b4d4042e58f11cfc27e216202646012"/>
    <w:p>
      <w:pPr>
        <w:pStyle w:val="Bibliography"/>
      </w:pPr>
      <w:r>
        <w:t xml:space="preserve">SHOM, 2021.</w:t>
      </w:r>
      <w:r>
        <w:t xml:space="preserve"> </w:t>
      </w:r>
      <w:hyperlink r:id="rId208">
        <w:r>
          <w:rPr>
            <w:rStyle w:val="Hyperlink"/>
          </w:rPr>
          <w:t xml:space="preserve">Service hydrographique et océanographique de la marine ; bathymétrie Litto3D® bretagne 2018-2021</w:t>
        </w:r>
      </w:hyperlink>
      <w:r>
        <w:t xml:space="preserve">.</w:t>
      </w:r>
    </w:p>
    <w:bookmarkEnd w:id="209"/>
    <w:bookmarkStart w:id="211" w:name="ref-simolo2022quantifying"/>
    <w:p>
      <w:pPr>
        <w:pStyle w:val="Bibliography"/>
      </w:pPr>
      <w:r>
        <w:t xml:space="preserve">Simolo, C., Corti, S., 2022. Quantifying the role of variability in future intensification of heat extremes. Nature Communications 13.</w:t>
      </w:r>
      <w:r>
        <w:t xml:space="preserve"> </w:t>
      </w:r>
      <w:hyperlink r:id="rId210">
        <w:r>
          <w:rPr>
            <w:rStyle w:val="Hyperlink"/>
          </w:rPr>
          <w:t xml:space="preserve">https://doi.org/10.1038/s41467-022-35571-0</w:t>
        </w:r>
      </w:hyperlink>
    </w:p>
    <w:bookmarkEnd w:id="211"/>
    <w:bookmarkStart w:id="212"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2"/>
    <w:bookmarkStart w:id="214"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3">
        <w:r>
          <w:rPr>
            <w:rStyle w:val="Hyperlink"/>
          </w:rPr>
          <w:t xml:space="preserve">https://doi.org/10.1038/s41558-019-0412-1</w:t>
        </w:r>
      </w:hyperlink>
    </w:p>
    <w:bookmarkEnd w:id="214"/>
    <w:bookmarkStart w:id="21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5"/>
    <w:bookmarkStart w:id="216" w:name="ref-stan2020rstan"/>
    <w:p>
      <w:pPr>
        <w:pStyle w:val="Bibliography"/>
      </w:pPr>
      <w:r>
        <w:t xml:space="preserve">Stan Development Team, C., others, 2020. RStan: The r interface to stan. R package version 2.21. 2.</w:t>
      </w:r>
    </w:p>
    <w:bookmarkEnd w:id="216"/>
    <w:bookmarkStart w:id="218"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7">
        <w:r>
          <w:rPr>
            <w:rStyle w:val="Hyperlink"/>
          </w:rPr>
          <w:t xml:space="preserve">https://doi.org/10.1152/physiol.00040.2018</w:t>
        </w:r>
      </w:hyperlink>
    </w:p>
    <w:bookmarkEnd w:id="218"/>
    <w:bookmarkStart w:id="219"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19"/>
    <w:bookmarkStart w:id="220"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20"/>
    <w:bookmarkStart w:id="221"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21"/>
    <w:bookmarkStart w:id="222" w:name="ref-unsworth2014biodiversity"/>
    <w:p>
      <w:pPr>
        <w:pStyle w:val="Bibliography"/>
      </w:pPr>
      <w:r>
        <w:t xml:space="preserve">Unsworth, R., Cullen-Unsworth, L.C., 2014. Biodiversity, ecosystem services, and the conservation of seagrass meadows. Coast. Conserv 19, 95.</w:t>
      </w:r>
    </w:p>
    <w:bookmarkEnd w:id="222"/>
    <w:bookmarkStart w:id="223" w:name="ref-unsworth2021seagrass"/>
    <w:p>
      <w:pPr>
        <w:pStyle w:val="Bibliography"/>
      </w:pPr>
      <w:r>
        <w:t xml:space="preserve">Unsworth, R.K., Butterworth, E.G., 2021. Seagrass meadows provide a significant resource in support of avifauna. Diversity 13, 363.</w:t>
      </w:r>
    </w:p>
    <w:bookmarkEnd w:id="223"/>
    <w:bookmarkStart w:id="224" w:name="ref-unsworth2022planetary"/>
    <w:p>
      <w:pPr>
        <w:pStyle w:val="Bibliography"/>
      </w:pPr>
      <w:r>
        <w:t xml:space="preserve">Unsworth, R.K., Cullen-Unsworth, L.C., Jones, B.L., Lilley, R.J., 2022. The planetary role of seagrass conservation. Science 377, 609–613.</w:t>
      </w:r>
    </w:p>
    <w:bookmarkEnd w:id="224"/>
    <w:bookmarkStart w:id="225"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5"/>
    <w:bookmarkStart w:id="226"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6"/>
    <w:bookmarkStart w:id="227"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7"/>
    <w:bookmarkStart w:id="228" w:name="ref-zahoor2023water"/>
    <w:p>
      <w:pPr>
        <w:pStyle w:val="Bibliography"/>
      </w:pPr>
      <w:r>
        <w:t xml:space="preserve">Zahoor, I., Mushtaq, A., 2023. Water pollution from agricultural activities: A critical global review. Int. J. Chem. Biochem. Sci 23, 164–176.</w:t>
      </w:r>
    </w:p>
    <w:bookmarkEnd w:id="228"/>
    <w:bookmarkStart w:id="229"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9"/>
    <w:bookmarkStart w:id="231"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30">
        <w:r>
          <w:rPr>
            <w:rStyle w:val="Hyperlink"/>
          </w:rPr>
          <w:t xml:space="preserve">https://doi.org/10.1002/rse2.319</w:t>
        </w:r>
      </w:hyperlink>
    </w:p>
    <w:bookmarkEnd w:id="231"/>
    <w:bookmarkStart w:id="232"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32"/>
    <w:bookmarkEnd w:id="233"/>
    <w:bookmarkEnd w:id="234"/>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3" Target="media/rId103.png" /><Relationship Type="http://schemas.openxmlformats.org/officeDocument/2006/relationships/image" Id="rId87" Target="media/rId87.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06" Target="https://diffusion.shom.fr/references-altimetriques-maritimes-ram.html" TargetMode="External" /><Relationship Type="http://schemas.openxmlformats.org/officeDocument/2006/relationships/hyperlink" Id="rId161" Target="https://doi.org/10.1002/aqc.4210" TargetMode="External" /><Relationship Type="http://schemas.openxmlformats.org/officeDocument/2006/relationships/hyperlink" Id="rId230"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1" Target="https://doi.org/10.1016/S0034-4257(70)80021-9" TargetMode="External" /><Relationship Type="http://schemas.openxmlformats.org/officeDocument/2006/relationships/hyperlink" Id="rId169"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99" Target="https://doi.org/10.1029/2023GL103540" TargetMode="External" /><Relationship Type="http://schemas.openxmlformats.org/officeDocument/2006/relationships/hyperlink" Id="rId210" Target="https://doi.org/10.1038/s41467-022-35571-0" TargetMode="External" /><Relationship Type="http://schemas.openxmlformats.org/officeDocument/2006/relationships/hyperlink" Id="rId213" Target="https://doi.org/10.1038/s41558-019-0412-1" TargetMode="External" /><Relationship Type="http://schemas.openxmlformats.org/officeDocument/2006/relationships/hyperlink" Id="rId181"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90" Target="https://doi.org/10.1111/gcb.14282" TargetMode="External" /><Relationship Type="http://schemas.openxmlformats.org/officeDocument/2006/relationships/hyperlink" Id="rId217"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3"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7" Target="https://doi.org/10.3389/fmars.2019.00734" TargetMode="External" /><Relationship Type="http://schemas.openxmlformats.org/officeDocument/2006/relationships/hyperlink" Id="rId185"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8" Target="https://services.data.shom.fr/geonetwork/srv/fre/catalog.search#/metadata/BATHYMETRIE_LITTO3D_BZH_2018_2021.xml" TargetMode="External" /><Relationship Type="http://schemas.openxmlformats.org/officeDocument/2006/relationships/hyperlink" Id="rId194" Target="https://www.R-project.org/" TargetMode="External" /><Relationship Type="http://schemas.openxmlformats.org/officeDocument/2006/relationships/hyperlink" Id="rId166" Target="https://www.ioc-sealevelmonitoring.org/station.php?code=lecy" TargetMode="External" /><Relationship Type="http://schemas.openxmlformats.org/officeDocument/2006/relationships/hyperlink" Id="rId176"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6" Target="https://diffusion.shom.fr/references-altimetriques-maritimes-ram.html" TargetMode="External" /><Relationship Type="http://schemas.openxmlformats.org/officeDocument/2006/relationships/hyperlink" Id="rId161" Target="https://doi.org/10.1002/aqc.4210" TargetMode="External" /><Relationship Type="http://schemas.openxmlformats.org/officeDocument/2006/relationships/hyperlink" Id="rId230"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1" Target="https://doi.org/10.1016/S0034-4257(70)80021-9" TargetMode="External" /><Relationship Type="http://schemas.openxmlformats.org/officeDocument/2006/relationships/hyperlink" Id="rId169"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99" Target="https://doi.org/10.1029/2023GL103540" TargetMode="External" /><Relationship Type="http://schemas.openxmlformats.org/officeDocument/2006/relationships/hyperlink" Id="rId210" Target="https://doi.org/10.1038/s41467-022-35571-0" TargetMode="External" /><Relationship Type="http://schemas.openxmlformats.org/officeDocument/2006/relationships/hyperlink" Id="rId213" Target="https://doi.org/10.1038/s41558-019-0412-1" TargetMode="External" /><Relationship Type="http://schemas.openxmlformats.org/officeDocument/2006/relationships/hyperlink" Id="rId181"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90" Target="https://doi.org/10.1111/gcb.14282" TargetMode="External" /><Relationship Type="http://schemas.openxmlformats.org/officeDocument/2006/relationships/hyperlink" Id="rId217"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3"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7" Target="https://doi.org/10.3389/fmars.2019.00734" TargetMode="External" /><Relationship Type="http://schemas.openxmlformats.org/officeDocument/2006/relationships/hyperlink" Id="rId185"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8" Target="https://services.data.shom.fr/geonetwork/srv/fre/catalog.search#/metadata/BATHYMETRIE_LITTO3D_BZH_2018_2021.xml" TargetMode="External" /><Relationship Type="http://schemas.openxmlformats.org/officeDocument/2006/relationships/hyperlink" Id="rId194" Target="https://www.R-project.org/" TargetMode="External" /><Relationship Type="http://schemas.openxmlformats.org/officeDocument/2006/relationships/hyperlink" Id="rId166" Target="https://www.ioc-sealevelmonitoring.org/station.php?code=lecy" TargetMode="External" /><Relationship Type="http://schemas.openxmlformats.org/officeDocument/2006/relationships/hyperlink" Id="rId176"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2025-01-22T13:30:17Z</dcterms:created>
  <dcterms:modified xsi:type="dcterms:W3CDTF">2025-01-22T13:30:17Z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2025-01-22</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