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2024-07-03</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w:t>
      </w:r>
      <w:r>
        <w:t xml:space="preserve"> </w:t>
      </w:r>
      <w:r>
        <w:t xml:space="preserve">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w:t>
      </w:r>
      <w:r>
        <w:t xml:space="preserve"> </w:t>
      </w:r>
      <w:r>
        <w:t xml:space="preserve">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represent a significant and growing threat to seagrasses. The therms heatwave can refer to both marine and atmospheric heatwave.</w:t>
      </w:r>
      <w:r>
        <w:t xml:space="preserve"> </w:t>
      </w:r>
      <w:r>
        <w:t xml:space="preserve">Hobday et al. (2016)</w:t>
      </w:r>
      <w:r>
        <w:t xml:space="preserve"> </w:t>
      </w:r>
      <w:r>
        <w:t xml:space="preserve">defines Marine Heatwaves (MHW) as a a prolonged discrete anomalously warm water event that can be described by its duration, intensity, rate of evolution, and spatial extent. Specifically, an anomalously warm event is considered a MHW if it lasts for five or more days, with temperatures warmer than the 90th percentile based on a 30-year historical baseline period. on the other hand, Atmospheric Heatwaves (AHW) has been defined by</w:t>
      </w:r>
      <w:r>
        <w:t xml:space="preserve"> </w:t>
      </w:r>
      <w:r>
        <w:t xml:space="preserve">Perkins and Alexander (2013)</w:t>
      </w:r>
      <w:r>
        <w:t xml:space="preserve"> </w:t>
      </w:r>
      <w:r>
        <w:t xml:space="preserve">as a period of at least three consecutive days with temperatures exceeding the 90th percentile for that time of year. These extreme temperature events can cause severe physiological stress, affecting growth, reproduction, and survival. Heatwaves can intensify the cumulative effects of other stressors such as overgrazing and seed burial, leading to compromised sexual recruitment</w:t>
      </w:r>
      <w:r>
        <w:t xml:space="preserve"> </w:t>
      </w:r>
      <w:r>
        <w:t xml:space="preserve">(Guerrero-Meseguer et al., 2020)</w:t>
      </w:r>
      <w:r>
        <w:t xml:space="preserve">.</w:t>
      </w:r>
    </w:p>
    <w:bookmarkEnd w:id="20"/>
    <w:bookmarkStart w:id="37" w:name="bibliography"/>
    <w:p>
      <w:pPr>
        <w:pStyle w:val="Heading1"/>
      </w:pPr>
      <w:r>
        <w:t xml:space="preserve">2. Bibliography</w:t>
      </w:r>
    </w:p>
    <w:bookmarkStart w:id="36" w:name="refs"/>
    <w:bookmarkStart w:id="21" w:name="ref-gardner2018global"/>
    <w:p>
      <w:pPr>
        <w:pStyle w:val="Bibliography"/>
      </w:pPr>
      <w:r>
        <w:t xml:space="preserve">Gardner, R.C., Finlayson, C., 2018. Global wetland outlook: State of the world’s wetlands and their services to people, in: Ramsar Convention Secretariat. pp. 2020–5.</w:t>
      </w:r>
    </w:p>
    <w:bookmarkEnd w:id="21"/>
    <w:bookmarkStart w:id="22"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2"/>
    <w:bookmarkStart w:id="23"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23"/>
    <w:bookmarkStart w:id="24"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4"/>
    <w:bookmarkStart w:id="25" w:name="ref-perkins2013measurement"/>
    <w:p>
      <w:pPr>
        <w:pStyle w:val="Bibliography"/>
      </w:pPr>
      <w:r>
        <w:t xml:space="preserve">Perkins, S.E., Alexander, L.V., 2013. On the measurement of heat waves. Journal of climate 26, 4500–4517.</w:t>
      </w:r>
    </w:p>
    <w:bookmarkEnd w:id="25"/>
    <w:bookmarkStart w:id="26" w:name="ref-ramesh2020seagrass"/>
    <w:p>
      <w:pPr>
        <w:pStyle w:val="Bibliography"/>
      </w:pPr>
      <w:r>
        <w:t xml:space="preserve">Ramesh, C., Mohanraju, R., 2020. Seagrass ecosystems of andaman and nicobar islands: Status and future perspective. Environmental &amp; Earth Sciences Research Journal 7.</w:t>
      </w:r>
    </w:p>
    <w:bookmarkEnd w:id="26"/>
    <w:bookmarkStart w:id="27"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27"/>
    <w:bookmarkStart w:id="28"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28"/>
    <w:bookmarkStart w:id="29"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29"/>
    <w:bookmarkStart w:id="30"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30"/>
    <w:bookmarkStart w:id="31"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31"/>
    <w:bookmarkStart w:id="32" w:name="ref-unsworth2022planetary"/>
    <w:p>
      <w:pPr>
        <w:pStyle w:val="Bibliography"/>
      </w:pPr>
      <w:r>
        <w:t xml:space="preserve">Unsworth, R.K., Cullen-Unsworth, L.C., Jones, B.L., Lilley, R.J., 2022. The planetary role of seagrass conservation. Science 377, 609–613.</w:t>
      </w:r>
    </w:p>
    <w:bookmarkEnd w:id="32"/>
    <w:bookmarkStart w:id="33"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33"/>
    <w:bookmarkStart w:id="34"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34"/>
    <w:bookmarkStart w:id="35"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Pierre Gernez; Laurent Barillé</dc:creator>
  <cp:keywords>Remote Sensing, Pigment Composition, Seagrass, Coastal Ecosystems, Heatwaves</cp:keywords>
  <dcterms:created xsi:type="dcterms:W3CDTF">2024-07-03T16:51:49Z</dcterms:created>
  <dcterms:modified xsi:type="dcterms:W3CDTF">2024-07-03T16:51:49Z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2024-07-03</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