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2024-07-26</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39" w:name="material-methods"/>
    <w:p>
      <w:pPr>
        <w:pStyle w:val="Heading1"/>
      </w:pPr>
      <w:r>
        <w:t xml:space="preserve">2. Material &amp; Methods</w:t>
      </w:r>
    </w:p>
    <w:bookmarkStart w:id="24"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freely and openly accessible. Hourly air temperature data (°C)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at the date of this study. Weather stations located within 10 kilometers of the coastline were considered, but only those with a minimum of 30 years of data were included to ensure accurate climatology reconstruction. Among the 156 weather stations comprised within the 10km of coastline, only 36 had enough data to reconstruct the climatology. Hourly data has been aggregated to daily mean temperatures at each station.</w:t>
      </w:r>
    </w:p>
    <w:p>
      <w:pPr>
        <w:pStyle w:val="BodyText"/>
      </w:pPr>
      <w:r>
        <w:t xml:space="preserve">Heatwave detection was performed using the HeatwaveR package in R</w:t>
      </w:r>
      <w:r>
        <w:t xml:space="preserve"> </w:t>
      </w:r>
      <w:r>
        <w:t xml:space="preserve">(Schlegel and Smit, 2018)</w:t>
      </w:r>
      <w:r>
        <w:t xml:space="preserve">. This package utilizes the methodology proposed by</w:t>
      </w:r>
      <w:r>
        <w:t xml:space="preserve"> </w:t>
      </w:r>
      <w:r>
        <w:t xml:space="preserve">Hobday et al. (2016)</w:t>
      </w:r>
      <w:r>
        <w:t xml:space="preserve"> </w:t>
      </w:r>
      <w:r>
        <w:t xml:space="preserve">to detect heatwave events. The climatology for the year was computed using the temperature time series. An event was considered a heatwave each time the temperature exceeded the 90th percentile of the climatology for five consecutive days. The severity of each event has been assessed using the methodology proposed by</w:t>
      </w:r>
      <w:r>
        <w:t xml:space="preserve"> </w:t>
      </w:r>
      <w:r>
        <w:t xml:space="preserve">Hobday et al. (2018)</w:t>
      </w:r>
      <w:r>
        <w:t xml:space="preserve">.</w:t>
      </w:r>
    </w:p>
    <w:bookmarkEnd w:id="22"/>
    <w:bookmarkStart w:id="23" w:name="water-temperature"/>
    <w:p>
      <w:pPr>
        <w:pStyle w:val="Heading3"/>
      </w:pPr>
      <w:r>
        <w:t xml:space="preserve">2.1.2 Water temperature</w:t>
      </w:r>
    </w:p>
    <w:p>
      <w:pPr>
        <w:pStyle w:val="FirstParagraph"/>
      </w:pPr>
      <w:r>
        <w:t xml:space="preserve">not done yet !</w:t>
      </w:r>
    </w:p>
    <w:bookmarkEnd w:id="23"/>
    <w:bookmarkEnd w:id="24"/>
    <w:bookmarkStart w:id="38" w:name="experiment"/>
    <w:p>
      <w:pPr>
        <w:pStyle w:val="Heading2"/>
      </w:pPr>
      <w:r>
        <w:t xml:space="preserve">2.2 Experiment</w:t>
      </w:r>
    </w:p>
    <w:bookmarkStart w:id="25"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5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seawater was used in the acclimation tank and the intertidal chambers. The seagrasses were acclimated at high tide for one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5"/>
    <w:bookmarkStart w:id="32" w:name="experimental-design"/>
    <w:p>
      <w:pPr>
        <w:pStyle w:val="Heading3"/>
      </w:pPr>
      <w:r>
        <w:t xml:space="preserve">2.2.2 Experimental design</w:t>
      </w:r>
    </w:p>
    <w:p>
      <w:pPr>
        <w:pStyle w:val="FirstParagraph"/>
      </w:pPr>
      <w:r>
        <w:t xml:space="preserve">Two intertidal chambers from</w:t>
      </w:r>
      <w:r>
        <w:t xml:space="preserve"> </w:t>
      </w:r>
      <w:hyperlink r:id="rId26">
        <w:r>
          <w:rPr>
            <w:rStyle w:val="Hyperlink"/>
          </w:rPr>
          <w:t xml:space="preserve">ElectricBlue</w:t>
        </w:r>
      </w:hyperlink>
      <w:r>
        <w:t xml:space="preserve"> </w:t>
      </w:r>
      <w:r>
        <w:t xml:space="preserve">were used to simulate tidal cycles and control water temperature during high tide and air temperature during low tide. One chamber served as the control, while the other was used for the experimental treatment. The control chamber was maintained at temperatures representative of the typical seasonal conditions: water temperatures between 18°C and 19°C and air temperatures between 18°C and 23°C, following circadian temperature variability (</w:t>
      </w:r>
      <w:hyperlink w:anchor="fig-Profile">
        <w:r>
          <w:rPr>
            <w:rStyle w:val="Hyperlink"/>
          </w:rPr>
          <w:t xml:space="preserve">Figure 1</w:t>
        </w:r>
      </w:hyperlink>
      <w:r>
        <w:t xml:space="preserve">). For the experimental treatment, the air temperature was set to mimic an atmospheric heatwave that occurred over the seagrass meadow of Porh Saint-Guénël, Plouharnel, France (47°35’40.0”N, 3°07’30.0”W) from August 26, 2021, to September 6, 2021. On the first day of the experiment, air temperatures in the experimental chamber were set to range from 23°C at night to 35°C during the day, with a daily increase of 1°C. The water temperature in the experimental chamber was similarly adjusted to reflect the heatwave conditions, starting from the normal seasonal range (18°C) and gradually increasing to simulate the rising temperatures experienced during the heatwave (+0.5°C daily). This setup aimed to replicate the thermal stress experienced by the seagrass meadow during the actual heatwave event (</w:t>
      </w:r>
      <w:hyperlink w:anchor="fig-Profile">
        <w:r>
          <w:rPr>
            <w:rStyle w:val="Hyperlink"/>
          </w:rPr>
          <w:t xml:space="preserve">Figure 1</w:t>
        </w:r>
      </w:hyperlink>
      <w:r>
        <w:t xml:space="preserve">).</w:t>
      </w:r>
    </w:p>
    <w:bookmarkStart w:id="31" w:name="cell-fig-Profile"/>
    <w:tbl>
      <w:tblPr>
        <w:tblStyle w:val="Table"/>
        <w:tblW w:type="pct" w:w="5000"/>
        <w:tblLayout w:type="fixed"/>
        <w:tblLook w:firstRow="0" w:lastRow="0" w:firstColumn="0" w:lastColumn="0" w:noHBand="0" w:noVBand="0" w:val="0000"/>
      </w:tblPr>
      <w:tblGrid>
        <w:gridCol w:w="7920"/>
      </w:tblGrid>
      <w:tr>
        <w:tc>
          <w:tcPr/>
          <w:bookmarkStart w:id="30" w:name="fig-Profile"/>
          <w:p>
            <w:pPr>
              <w:pStyle w:val="Compact"/>
              <w:jc w:val="center"/>
            </w:pPr>
            <w:r>
              <w:drawing>
                <wp:inline>
                  <wp:extent cx="5334000" cy="2439516"/>
                  <wp:effectExtent b="0" l="0" r="0" t="0"/>
                  <wp:docPr descr="" title="" id="28" name="Picture"/>
                  <a:graphic>
                    <a:graphicData uri="http://schemas.openxmlformats.org/drawingml/2006/picture">
                      <pic:pic>
                        <pic:nvPicPr>
                          <pic:cNvPr descr="Figs/Chamber_Profils.png" id="29" name="Picture"/>
                          <pic:cNvPicPr>
                            <a:picLocks noChangeArrowheads="1" noChangeAspect="1"/>
                          </pic:cNvPicPr>
                        </pic:nvPicPr>
                        <pic:blipFill>
                          <a:blip r:embed="rId27"/>
                          <a:stretch>
                            <a:fillRect/>
                          </a:stretch>
                        </pic:blipFill>
                        <pic:spPr bwMode="auto">
                          <a:xfrm>
                            <a:off x="0" y="0"/>
                            <a:ext cx="5334000" cy="24395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profiles of both the control (left) and the treatment (right) followed during the heatwave experiment. The red line indicates air temperature, whereas the blue line indicates water temperature. Due to the tidal cycle followed during the experiment, the seagrasses only experience temperatures representade by solid lines.</w:t>
            </w:r>
          </w:p>
          <w:bookmarkEnd w:id="30"/>
        </w:tc>
      </w:tr>
    </w:tbl>
    <w:bookmarkEnd w:id="31"/>
    <w:bookmarkEnd w:id="32"/>
    <w:bookmarkStart w:id="37" w:name="measurement-and-sampling"/>
    <w:p>
      <w:pPr>
        <w:pStyle w:val="Heading3"/>
      </w:pPr>
      <w:r>
        <w:t xml:space="preserve">2.2.3 Measurement and Sampling</w:t>
      </w:r>
    </w:p>
    <w:bookmarkStart w:id="36" w:name="radiometric-measurement"/>
    <w:p>
      <w:pPr>
        <w:pStyle w:val="Heading4"/>
      </w:pPr>
      <w:r>
        <w:t xml:space="preserve">2.2.3.1 Radiometric measurement</w:t>
      </w:r>
    </w:p>
    <w:p>
      <w:pPr>
        <w:pStyle w:val="FirstParagraph"/>
      </w:pPr>
      <w:r>
        <w:t xml:space="preserve">Throughout the experiment, hyperspectral signatures of both the control and treatment seagrasses were taken using an ASD HandHeld 2 equipped with a fiber optic, allowing measurements to be taken directly inside the chamber without opening it. An average of five reflectance spectrum (</w:t>
      </w:r>
      <m:oMath>
        <m:r>
          <m:t>R</m:t>
        </m:r>
        <m:d>
          <m:dPr>
            <m:begChr m:val="("/>
            <m:endChr m:val=")"/>
            <m:sepChr m:val=""/>
            <m:grow/>
          </m:dPr>
          <m:e>
            <m:r>
              <m:t>λ</m:t>
            </m:r>
          </m:e>
        </m:d>
      </m:oMath>
      <w:r>
        <w:t xml:space="preserve">), each with an integration time of 544 ms, was taken every minute. Every 10 minutes, the fiber optic was switched from one benthic chamber to the other, in order to measure reflectance in both treatment and control. Because light conditions were controlled inside of the chambers, reflectance calibration of the instrument was performed only each morning at the very first moment of low tide using a Spectralon white reference with 99% Lambertian reflectivity.</w:t>
      </w:r>
    </w:p>
    <w:p>
      <w:pPr>
        <w:pStyle w:val="BodyText"/>
      </w:pPr>
      <w:r>
        <w:t xml:space="preserve">The second derivative of</w:t>
      </w:r>
      <w:r>
        <w:t xml:space="preserve"> </w:t>
      </w:r>
      <m:oMath>
        <m:r>
          <m:t>R</m:t>
        </m:r>
      </m:oMath>
      <w:r>
        <w:t xml:space="preserve"> </w:t>
      </w:r>
      <w:r>
        <w:t xml:space="preserve">was calculated to retrieve absorption features and compare their variability over time. Two radiometric indices were also monitored throughout the experiment :</w:t>
      </w:r>
    </w:p>
    <w:p>
      <w:pPr>
        <w:pStyle w:val="Compact"/>
        <w:numPr>
          <w:ilvl w:val="0"/>
          <w:numId w:val="1001"/>
        </w:numPr>
      </w:pPr>
      <w:r>
        <w:t xml:space="preserve">The Normalized Difference Vegetation Index (NDVI,</w:t>
      </w:r>
      <w:r>
        <w:t xml:space="preserve"> </w:t>
      </w:r>
      <w:r>
        <w:t xml:space="preserve">Rouse et al. (1974)</w:t>
      </w:r>
      <w:r>
        <w:t xml:space="preserve">), as a proxy of the concentration of chlorophyll-a (</w:t>
      </w:r>
      <w:hyperlink w:anchor="eq-ndvi">
        <w:r>
          <w:rPr>
            <w:rStyle w:val="Hyperlink"/>
          </w:rPr>
          <w:t xml:space="preserve">Equation 1</w:t>
        </w:r>
      </w:hyperlink>
      <w:r>
        <w:t xml:space="preserve">)</w:t>
      </w:r>
    </w:p>
    <w:p>
      <w:pPr>
        <w:pStyle w:val="FirstParagraph"/>
      </w:pPr>
      <w:bookmarkStart w:id="33" w:name="eq-ndvi"/>
      <m:oMathPara>
        <m:oMathParaPr>
          <m:jc m:val="center"/>
        </m:oMathParaPr>
        <m:oMath>
          <m:r>
            <m:t>N</m:t>
          </m:r>
          <m:r>
            <m:t>D</m:t>
          </m:r>
          <m:r>
            <m:t>V</m:t>
          </m:r>
          <m:r>
            <m:t>I</m:t>
          </m:r>
          <m:r>
            <m:rPr>
              <m:sty m:val="p"/>
            </m:rPr>
            <m:t>=</m:t>
          </m:r>
          <m:f>
            <m:fPr>
              <m:type m:val="bar"/>
            </m:fPr>
            <m:num>
              <m:r>
                <m:t>R</m:t>
              </m:r>
              <m:d>
                <m:dPr>
                  <m:begChr m:val="("/>
                  <m:endChr m:val=")"/>
                  <m:sepChr m:val=""/>
                  <m:grow/>
                </m:dPr>
                <m:e>
                  <m:r>
                    <m:t>840</m:t>
                  </m:r>
                </m:e>
              </m:d>
              <m:r>
                <m:rPr>
                  <m:sty m:val="p"/>
                </m:rPr>
                <m:t>−</m:t>
              </m:r>
              <m:r>
                <m:t>R</m:t>
              </m:r>
              <m:d>
                <m:dPr>
                  <m:begChr m:val="("/>
                  <m:endChr m:val=")"/>
                  <m:sepChr m:val=""/>
                  <m:grow/>
                </m:dPr>
                <m:e>
                  <m:r>
                    <m:t>668</m:t>
                  </m:r>
                </m:e>
              </m:d>
            </m:num>
            <m:den>
              <m:r>
                <m:t>R</m:t>
              </m:r>
              <m:d>
                <m:dPr>
                  <m:begChr m:val="("/>
                  <m:endChr m:val=")"/>
                  <m:sepChr m:val=""/>
                  <m:grow/>
                </m:dPr>
                <m:e>
                  <m:r>
                    <m:t>840</m:t>
                  </m:r>
                </m:e>
              </m:d>
              <m:r>
                <m:rPr>
                  <m:sty m:val="p"/>
                </m:rPr>
                <m:t>+</m:t>
              </m:r>
              <m:r>
                <m:t>R</m:t>
              </m:r>
              <m:d>
                <m:dPr>
                  <m:begChr m:val="("/>
                  <m:endChr m:val=")"/>
                  <m:sepChr m:val=""/>
                  <m:grow/>
                </m:dPr>
                <m:e>
                  <m:r>
                    <m:t>668</m:t>
                  </m:r>
                </m:e>
              </m:d>
            </m:den>
          </m:f>
          <m:r>
            <m:t>  </m:t>
          </m:r>
          <m:d>
            <m:dPr>
              <m:begChr m:val="("/>
              <m:endChr m:val=")"/>
              <m:sepChr m:val=""/>
              <m:grow/>
            </m:dPr>
            <m:e>
              <m:r>
                <m:t>1</m:t>
              </m:r>
            </m:e>
          </m:d>
        </m:oMath>
      </m:oMathPara>
      <w:bookmarkEnd w:id="33"/>
    </w:p>
    <w:p>
      <w:pPr>
        <w:pStyle w:val="FirstParagraph"/>
      </w:pPr>
      <w:r>
        <w:t xml:space="preserve">where</w:t>
      </w:r>
      <w:r>
        <w:t xml:space="preserve"> </w:t>
      </w:r>
      <m:oMath>
        <m:r>
          <m:t>R</m:t>
        </m:r>
        <m:d>
          <m:dPr>
            <m:begChr m:val="("/>
            <m:endChr m:val=")"/>
            <m:sepChr m:val=""/>
            <m:grow/>
          </m:dPr>
          <m:e>
            <m:r>
              <m:t>840</m:t>
            </m:r>
          </m:e>
        </m:d>
      </m:oMath>
      <w:r>
        <w:t xml:space="preserve"> </w:t>
      </w:r>
      <w:r>
        <w:t xml:space="preserve">and</w:t>
      </w:r>
      <w:r>
        <w:t xml:space="preserve"> </w:t>
      </w:r>
      <m:oMath>
        <m:r>
          <m:t>R</m:t>
        </m:r>
        <m:d>
          <m:dPr>
            <m:begChr m:val="("/>
            <m:endChr m:val=")"/>
            <m:sepChr m:val=""/>
            <m:grow/>
          </m:dPr>
          <m:e>
            <m:r>
              <m:t>668</m:t>
            </m:r>
          </m:e>
        </m:d>
      </m:oMath>
      <w:r>
        <w:t xml:space="preserve"> </w:t>
      </w:r>
      <w:r>
        <w:t xml:space="preserve">are the reflectance at 840 nm and 668 nm respectively.</w:t>
      </w:r>
    </w:p>
    <w:p>
      <w:pPr>
        <w:pStyle w:val="Compact"/>
        <w:numPr>
          <w:ilvl w:val="0"/>
          <w:numId w:val="1002"/>
        </w:numPr>
      </w:pPr>
      <w:r>
        <w:t xml:space="preserve">The Green Leaf Index (GLI,</w:t>
      </w:r>
      <w:r>
        <w:t xml:space="preserve"> </w:t>
      </w:r>
      <w:r>
        <w:t xml:space="preserve">Louhaichi et al. (2001)</w:t>
      </w:r>
      <w:r>
        <w:t xml:space="preserve">), as a measurement of the greenness of seagrass leafs (</w:t>
      </w:r>
      <w:hyperlink w:anchor="eq-gli">
        <w:r>
          <w:rPr>
            <w:rStyle w:val="Hyperlink"/>
          </w:rPr>
          <w:t xml:space="preserve">Equation 2</w:t>
        </w:r>
      </w:hyperlink>
      <w:r>
        <w:t xml:space="preserve">)</w:t>
      </w:r>
    </w:p>
    <w:p>
      <w:pPr>
        <w:pStyle w:val="FirstParagraph"/>
      </w:pPr>
      <w:bookmarkStart w:id="34" w:name="eq-gli"/>
      <m:oMathPara>
        <m:oMathParaPr>
          <m:jc m:val="center"/>
        </m:oMathParaPr>
        <m:oMath>
          <m:r>
            <m:t>G</m:t>
          </m:r>
          <m:r>
            <m:t>L</m:t>
          </m:r>
          <m:r>
            <m:t>I</m:t>
          </m:r>
          <m:r>
            <m:rPr>
              <m:sty m:val="p"/>
            </m:rPr>
            <m:t>=</m:t>
          </m:r>
          <m:f>
            <m:fPr>
              <m:type m:val="bar"/>
            </m:fPr>
            <m:num>
              <m:d>
                <m:dPr>
                  <m:begChr m:val="["/>
                  <m:endChr m:val="]"/>
                  <m:sepChr m:val=""/>
                  <m:grow/>
                </m:dPr>
                <m:e>
                  <m:r>
                    <m:t>R</m:t>
                  </m:r>
                  <m:d>
                    <m:dPr>
                      <m:begChr m:val="("/>
                      <m:endChr m:val=")"/>
                      <m:sepChr m:val=""/>
                      <m:grow/>
                    </m:dPr>
                    <m:e>
                      <m:r>
                        <m:t>550</m:t>
                      </m:r>
                    </m:e>
                  </m:d>
                  <m:r>
                    <m:rPr>
                      <m:sty m:val="p"/>
                    </m:rPr>
                    <m:t>−</m:t>
                  </m:r>
                  <m:r>
                    <m:t>R</m:t>
                  </m:r>
                  <m:d>
                    <m:dPr>
                      <m:begChr m:val="("/>
                      <m:endChr m:val=")"/>
                      <m:sepChr m:val=""/>
                      <m:grow/>
                    </m:dPr>
                    <m:e>
                      <m:r>
                        <m:t>668</m:t>
                      </m:r>
                    </m:e>
                  </m:d>
                </m:e>
              </m:d>
              <m:r>
                <m:rPr>
                  <m:sty m:val="p"/>
                </m:rPr>
                <m:t>+</m:t>
              </m:r>
              <m:d>
                <m:dPr>
                  <m:begChr m:val="["/>
                  <m:endChr m:val="]"/>
                  <m:sepChr m:val=""/>
                  <m:grow/>
                </m:dPr>
                <m:e>
                  <m:r>
                    <m:t>R</m:t>
                  </m:r>
                  <m:d>
                    <m:dPr>
                      <m:begChr m:val="("/>
                      <m:endChr m:val=")"/>
                      <m:sepChr m:val=""/>
                      <m:grow/>
                    </m:dPr>
                    <m:e>
                      <m:r>
                        <m:t>550</m:t>
                      </m:r>
                    </m:e>
                  </m:d>
                  <m:r>
                    <m:rPr>
                      <m:sty m:val="p"/>
                    </m:rPr>
                    <m:t>−</m:t>
                  </m:r>
                  <m:r>
                    <m:t>R</m:t>
                  </m:r>
                  <m:d>
                    <m:dPr>
                      <m:begChr m:val="("/>
                      <m:endChr m:val=")"/>
                      <m:sepChr m:val=""/>
                      <m:grow/>
                    </m:dPr>
                    <m:e>
                      <m:r>
                        <m:t>450</m:t>
                      </m:r>
                    </m:e>
                  </m:d>
                </m:e>
              </m:d>
            </m:num>
            <m:den>
              <m:d>
                <m:dPr>
                  <m:begChr m:val="("/>
                  <m:endChr m:val=")"/>
                  <m:sepChr m:val=""/>
                  <m:grow/>
                </m:dPr>
                <m:e>
                  <m:r>
                    <m:t>2</m:t>
                  </m:r>
                  <m:r>
                    <m:rPr>
                      <m:sty m:val="p"/>
                    </m:rPr>
                    <m:t>×</m:t>
                  </m:r>
                  <m:r>
                    <m:t>R</m:t>
                  </m:r>
                  <m:d>
                    <m:dPr>
                      <m:begChr m:val="("/>
                      <m:endChr m:val=")"/>
                      <m:sepChr m:val=""/>
                      <m:grow/>
                    </m:dPr>
                    <m:e>
                      <m:r>
                        <m:t>550</m:t>
                      </m:r>
                    </m:e>
                  </m:d>
                </m:e>
              </m:d>
              <m:r>
                <m:rPr>
                  <m:sty m:val="p"/>
                </m:rPr>
                <m:t>+</m:t>
              </m:r>
              <m:r>
                <m:t>R</m:t>
              </m:r>
              <m:d>
                <m:dPr>
                  <m:begChr m:val="("/>
                  <m:endChr m:val=")"/>
                  <m:sepChr m:val=""/>
                  <m:grow/>
                </m:dPr>
                <m:e>
                  <m:r>
                    <m:t>668</m:t>
                  </m:r>
                </m:e>
              </m:d>
              <m:r>
                <m:rPr>
                  <m:sty m:val="p"/>
                </m:rPr>
                <m:t>+</m:t>
              </m:r>
              <m:r>
                <m:t>R</m:t>
              </m:r>
              <m:d>
                <m:dPr>
                  <m:begChr m:val="("/>
                  <m:endChr m:val=")"/>
                  <m:sepChr m:val=""/>
                  <m:grow/>
                </m:dPr>
                <m:e>
                  <m:r>
                    <m:t>450</m:t>
                  </m:r>
                </m:e>
              </m:d>
            </m:den>
          </m:f>
          <m:r>
            <m:t>  </m:t>
          </m:r>
          <m:d>
            <m:dPr>
              <m:begChr m:val="("/>
              <m:endChr m:val=")"/>
              <m:sepChr m:val=""/>
              <m:grow/>
            </m:dPr>
            <m:e>
              <m:r>
                <m:t>2</m:t>
              </m:r>
            </m:e>
          </m:d>
        </m:oMath>
      </m:oMathPara>
      <w:bookmarkEnd w:id="34"/>
    </w:p>
    <w:p>
      <w:pPr>
        <w:pStyle w:val="FirstParagraph"/>
      </w:pPr>
      <w:r>
        <w:t xml:space="preserve">where</w:t>
      </w:r>
      <w:r>
        <w:t xml:space="preserve"> </w:t>
      </w:r>
      <m:oMath>
        <m:r>
          <m:t>R</m:t>
        </m:r>
        <m:d>
          <m:dPr>
            <m:begChr m:val="("/>
            <m:endChr m:val=")"/>
            <m:sepChr m:val=""/>
            <m:grow/>
          </m:dPr>
          <m:e>
            <m:r>
              <m:t>550</m:t>
            </m:r>
          </m:e>
        </m:d>
      </m:oMath>
      <w:r>
        <w:t xml:space="preserve"> </w:t>
      </w:r>
      <w:r>
        <w:t xml:space="preserve">and</w:t>
      </w:r>
      <w:r>
        <w:t xml:space="preserve"> </w:t>
      </w:r>
      <m:oMath>
        <m:r>
          <m:t>R</m:t>
        </m:r>
        <m:d>
          <m:dPr>
            <m:begChr m:val="("/>
            <m:endChr m:val=")"/>
            <m:sepChr m:val=""/>
            <m:grow/>
          </m:dPr>
          <m:e>
            <m:r>
              <m:t>450</m:t>
            </m:r>
          </m:e>
        </m:d>
      </m:oMath>
      <w:r>
        <w:t xml:space="preserve"> </w:t>
      </w:r>
      <w:r>
        <w:t xml:space="preserve">are the reflectance in green at 550 nm and in the blue at 450 nm, respectively.</w:t>
      </w:r>
    </w:p>
    <w:p>
      <w:pPr>
        <w:pStyle w:val="Compact"/>
        <w:numPr>
          <w:ilvl w:val="0"/>
          <w:numId w:val="1003"/>
        </w:numPr>
      </w:pPr>
      <w:r>
        <w:t xml:space="preserve">The Mid-Infrared Water Absorption Index (MIWAI, pers. com.) that is design to measure the absorption of the water around 970 nm. The index make the difference between a linear interpolation between 950 and 990 nm and compare that value to the reflectance at 970 nm :</w:t>
      </w:r>
    </w:p>
    <w:p>
      <w:pPr>
        <w:pStyle w:val="FirstParagraph"/>
      </w:pPr>
      <w:bookmarkStart w:id="35" w:name="eq-MIWAI"/>
      <m:oMathPara>
        <m:oMathParaPr>
          <m:jc m:val="center"/>
        </m:oMathParaPr>
        <m:oMath>
          <m:r>
            <m:t>M</m:t>
          </m:r>
          <m:r>
            <m:t>I</m:t>
          </m:r>
          <m:r>
            <m:t>W</m:t>
          </m:r>
          <m:r>
            <m:t>A</m:t>
          </m:r>
          <m:r>
            <m:t>I</m:t>
          </m:r>
          <m:r>
            <m:rPr>
              <m:sty m:val="p"/>
            </m:rPr>
            <m:t>=</m:t>
          </m:r>
          <m:r>
            <m:t>0.5</m:t>
          </m:r>
          <m:r>
            <m:rPr>
              <m:sty m:val="p"/>
            </m:rPr>
            <m:t>×</m:t>
          </m:r>
          <m:d>
            <m:dPr>
              <m:begChr m:val="["/>
              <m:endChr m:val="]"/>
              <m:sepChr m:val=""/>
              <m:grow/>
            </m:dPr>
            <m:e>
              <m:r>
                <m:t>R</m:t>
              </m:r>
              <m:d>
                <m:dPr>
                  <m:begChr m:val="("/>
                  <m:endChr m:val=")"/>
                  <m:sepChr m:val=""/>
                  <m:grow/>
                </m:dPr>
                <m:e>
                  <m:r>
                    <m:t>990</m:t>
                  </m:r>
                </m:e>
              </m:d>
              <m:r>
                <m:rPr>
                  <m:sty m:val="p"/>
                </m:rPr>
                <m:t>+</m:t>
              </m:r>
              <m:r>
                <m:t>R</m:t>
              </m:r>
              <m:d>
                <m:dPr>
                  <m:begChr m:val="("/>
                  <m:endChr m:val=")"/>
                  <m:sepChr m:val=""/>
                  <m:grow/>
                </m:dPr>
                <m:e>
                  <m:r>
                    <m:t>950</m:t>
                  </m:r>
                </m:e>
              </m:d>
            </m:e>
          </m:d>
          <m:r>
            <m:rPr>
              <m:sty m:val="p"/>
            </m:rPr>
            <m:t>−</m:t>
          </m:r>
          <m:r>
            <m:t>R</m:t>
          </m:r>
          <m:d>
            <m:dPr>
              <m:begChr m:val="("/>
              <m:endChr m:val=")"/>
              <m:sepChr m:val=""/>
              <m:grow/>
            </m:dPr>
            <m:e>
              <m:r>
                <m:t>970</m:t>
              </m:r>
            </m:e>
          </m:d>
          <m:r>
            <m:t>  </m:t>
          </m:r>
          <m:d>
            <m:dPr>
              <m:begChr m:val="("/>
              <m:endChr m:val=")"/>
              <m:sepChr m:val=""/>
              <m:grow/>
            </m:dPr>
            <m:e>
              <m:r>
                <m:t>3</m:t>
              </m:r>
            </m:e>
          </m:d>
        </m:oMath>
      </m:oMathPara>
      <w:bookmarkEnd w:id="35"/>
    </w:p>
    <w:p>
      <w:pPr>
        <w:pStyle w:val="FirstParagraph"/>
      </w:pPr>
      <w:r>
        <w:t xml:space="preserve">where</w:t>
      </w:r>
      <w:r>
        <w:t xml:space="preserve"> </w:t>
      </w:r>
      <m:oMath>
        <m:r>
          <m:t>R</m:t>
        </m:r>
        <m:d>
          <m:dPr>
            <m:begChr m:val="("/>
            <m:endChr m:val=")"/>
            <m:sepChr m:val=""/>
            <m:grow/>
          </m:dPr>
          <m:e>
            <m:r>
              <m:t>990</m:t>
            </m:r>
          </m:e>
        </m:d>
      </m:oMath>
      <w:r>
        <w:t xml:space="preserve">,</w:t>
      </w:r>
      <w:r>
        <w:t xml:space="preserve"> </w:t>
      </w:r>
      <m:oMath>
        <m:r>
          <m:t>R</m:t>
        </m:r>
        <m:d>
          <m:dPr>
            <m:begChr m:val="("/>
            <m:endChr m:val=")"/>
            <m:sepChr m:val=""/>
            <m:grow/>
          </m:dPr>
          <m:e>
            <m:r>
              <m:t>970</m:t>
            </m:r>
          </m:e>
        </m:d>
      </m:oMath>
      <w:r>
        <w:t xml:space="preserve"> </w:t>
      </w:r>
      <w:r>
        <w:t xml:space="preserve">and</w:t>
      </w:r>
      <w:r>
        <w:t xml:space="preserve"> </w:t>
      </w:r>
      <m:oMath>
        <m:r>
          <m:t>R</m:t>
        </m:r>
        <m:d>
          <m:dPr>
            <m:begChr m:val="("/>
            <m:endChr m:val=")"/>
            <m:sepChr m:val=""/>
            <m:grow/>
          </m:dPr>
          <m:e>
            <m:r>
              <m:t>950</m:t>
            </m:r>
          </m:e>
        </m:d>
      </m:oMath>
      <w:r>
        <w:t xml:space="preserve"> </w:t>
      </w:r>
      <w:r>
        <w:t xml:space="preserve">are the reflectance in the infrared at 990, 970 and 950 nm, respectively.</w:t>
      </w:r>
    </w:p>
    <w:p>
      <w:pPr>
        <w:pStyle w:val="BodyText"/>
      </w:pPr>
      <w:r>
        <w:rPr>
          <w:b/>
          <w:bCs/>
        </w:rPr>
        <w:t xml:space="preserve">ADD MICASENSE PICTURES</w:t>
      </w:r>
    </w:p>
    <w:p>
      <w:pPr>
        <w:pStyle w:val="BodyText"/>
      </w:pPr>
      <w:r>
        <w:rPr>
          <w:b/>
          <w:bCs/>
        </w:rPr>
        <w:t xml:space="preserve">ADD HPLC SAMPLING</w:t>
      </w:r>
    </w:p>
    <w:bookmarkEnd w:id="36"/>
    <w:bookmarkEnd w:id="37"/>
    <w:bookmarkEnd w:id="38"/>
    <w:bookmarkEnd w:id="39"/>
    <w:bookmarkStart w:id="69" w:name="bibliography"/>
    <w:p>
      <w:pPr>
        <w:pStyle w:val="Heading1"/>
      </w:pPr>
      <w:r>
        <w:t xml:space="preserve">3. Bibliography</w:t>
      </w:r>
    </w:p>
    <w:bookmarkStart w:id="68" w:name="refs"/>
    <w:bookmarkStart w:id="40"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40"/>
    <w:bookmarkStart w:id="41"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41"/>
    <w:bookmarkStart w:id="42" w:name="ref-deguette2022physiological"/>
    <w:p>
      <w:pPr>
        <w:pStyle w:val="Bibliography"/>
      </w:pPr>
      <w:r>
        <w:t xml:space="preserve">Deguette, A., Barrote, I., Silva, J., 2022. Physiological and morphological effects of a marine heatwave on the seagrass cymodocea nodosa. Scientific Reports 12, 7950.</w:t>
      </w:r>
    </w:p>
    <w:bookmarkEnd w:id="42"/>
    <w:bookmarkStart w:id="43" w:name="ref-gardner2018global"/>
    <w:p>
      <w:pPr>
        <w:pStyle w:val="Bibliography"/>
      </w:pPr>
      <w:r>
        <w:t xml:space="preserve">Gardner, R.C., Finlayson, C., 2018. Global wetland outlook: State of the world’s wetlands and their services to people, in: Ramsar Convention Secretariat. pp. 2020–5.</w:t>
      </w:r>
    </w:p>
    <w:bookmarkEnd w:id="43"/>
    <w:bookmarkStart w:id="44"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44"/>
    <w:bookmarkStart w:id="45"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45"/>
    <w:bookmarkStart w:id="46" w:name="ref-hobday2018categorizing"/>
    <w:p>
      <w:pPr>
        <w:pStyle w:val="Bibliography"/>
      </w:pPr>
      <w:r>
        <w:t xml:space="preserve">Hobday, A.J., Oliver, E.C., Gupta, A.S., Benthuysen, J.A., Burrows, M.T., Donat, M.G., Holbrook, N.J., Moore, P.J., Thomsen, M.S., Wernberg, T., others, 2018. Categorizing and naming marine heatwaves. Oceanography 31, 162–173.</w:t>
      </w:r>
    </w:p>
    <w:bookmarkEnd w:id="46"/>
    <w:bookmarkStart w:id="47" w:name="ref-huete2012vegetation"/>
    <w:p>
      <w:pPr>
        <w:pStyle w:val="Bibliography"/>
      </w:pPr>
      <w:r>
        <w:t xml:space="preserve">Huete, A.R., 2012. Vegetation indices, remote sensing and forest monitoring. Geography Compass 6, 513–532.</w:t>
      </w:r>
    </w:p>
    <w:bookmarkEnd w:id="47"/>
    <w:bookmarkStart w:id="48"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48"/>
    <w:bookmarkStart w:id="49" w:name="ref-kloos2021agricultural"/>
    <w:p>
      <w:pPr>
        <w:pStyle w:val="Bibliography"/>
      </w:pPr>
      <w:r>
        <w:t xml:space="preserve">Kloos, S., Yuan, Y., Castelli, M., Menzel, A., 2021. Agricultural drought detection with MODIS based vegetation health indices in southeast germany. Remote Sensing 13, 3907.</w:t>
      </w:r>
    </w:p>
    <w:bookmarkEnd w:id="49"/>
    <w:bookmarkStart w:id="50" w:name="ref-louhaichi2001spatially"/>
    <w:p>
      <w:pPr>
        <w:pStyle w:val="Bibliography"/>
      </w:pPr>
      <w:r>
        <w:t xml:space="preserve">Louhaichi, M., Borman, M.M., Johnson, D.E., 2001. Spatially located platform and aerial photography for documentation of grazing impacts on wheat. Geocarto International 16, 65–70.</w:t>
      </w:r>
    </w:p>
    <w:bookmarkEnd w:id="50"/>
    <w:bookmarkStart w:id="51"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51"/>
    <w:bookmarkStart w:id="52" w:name="ref-perkins2013measurement"/>
    <w:p>
      <w:pPr>
        <w:pStyle w:val="Bibliography"/>
      </w:pPr>
      <w:r>
        <w:t xml:space="preserve">Perkins, S.E., Alexander, L.V., 2013. On the measurement of heat waves. Journal of climate 26, 4500–4517.</w:t>
      </w:r>
    </w:p>
    <w:bookmarkEnd w:id="52"/>
    <w:bookmarkStart w:id="53" w:name="ref-ramesh2020seagrass"/>
    <w:p>
      <w:pPr>
        <w:pStyle w:val="Bibliography"/>
      </w:pPr>
      <w:r>
        <w:t xml:space="preserve">Ramesh, C., Mohanraju, R., 2020. Seagrass ecosystems of andaman and nicobar islands: Status and future perspective. Environmental &amp; Earth Sciences Research Journal 7.</w:t>
      </w:r>
    </w:p>
    <w:bookmarkEnd w:id="53"/>
    <w:bookmarkStart w:id="54" w:name="ref-rouse1974monitoring"/>
    <w:p>
      <w:pPr>
        <w:pStyle w:val="Bibliography"/>
      </w:pPr>
      <w:r>
        <w:t xml:space="preserve">Rouse, J.W., Haas, R.H., Schell, J.A., Deering, D.W., others, 1974. Monitoring vegetation systems in the great plains with ERTS. NASA Spec. Publ 351, 309.</w:t>
      </w:r>
    </w:p>
    <w:bookmarkEnd w:id="54"/>
    <w:bookmarkStart w:id="55"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55"/>
    <w:bookmarkStart w:id="57" w:name="ref-heatwaveR"/>
    <w:p>
      <w:pPr>
        <w:pStyle w:val="Bibliography"/>
      </w:pPr>
      <w:r>
        <w:t xml:space="preserve">Schlegel, R.W., Smit, A.J., 2018.</w:t>
      </w:r>
      <w:r>
        <w:t xml:space="preserve"> </w:t>
      </w:r>
      <w:r>
        <w:t xml:space="preserve">heatwaveR</w:t>
      </w:r>
      <w:r>
        <w:t xml:space="preserve">: A central algorithm for the detection of heatwaves and cold-spells. Journal of Open Source Software 3, 821.</w:t>
      </w:r>
      <w:r>
        <w:t xml:space="preserve"> </w:t>
      </w:r>
      <w:hyperlink r:id="rId56">
        <w:r>
          <w:rPr>
            <w:rStyle w:val="Hyperlink"/>
          </w:rPr>
          <w:t xml:space="preserve">https://doi.org/10.21105/joss.00821</w:t>
        </w:r>
      </w:hyperlink>
    </w:p>
    <w:bookmarkEnd w:id="57"/>
    <w:bookmarkStart w:id="58"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58"/>
    <w:bookmarkStart w:id="59"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59"/>
    <w:bookmarkStart w:id="60"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60"/>
    <w:bookmarkStart w:id="61"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61"/>
    <w:bookmarkStart w:id="62"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62"/>
    <w:bookmarkStart w:id="63" w:name="ref-unsworth2022planetary"/>
    <w:p>
      <w:pPr>
        <w:pStyle w:val="Bibliography"/>
      </w:pPr>
      <w:r>
        <w:t xml:space="preserve">Unsworth, R.K., Cullen-Unsworth, L.C., Jones, B.L., Lilley, R.J., 2022. The planetary role of seagrass conservation. Science 377, 609–613.</w:t>
      </w:r>
    </w:p>
    <w:bookmarkEnd w:id="63"/>
    <w:bookmarkStart w:id="64"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64"/>
    <w:bookmarkStart w:id="65"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65"/>
    <w:bookmarkStart w:id="66"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66"/>
    <w:bookmarkStart w:id="67"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56" Target="https://doi.org/10.21105/joss.00821" TargetMode="External"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21105/joss.00821" TargetMode="External"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2024-07-26T07:35:13Z</dcterms:created>
  <dcterms:modified xsi:type="dcterms:W3CDTF">2024-07-26T07:35:13Z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2024-07-26</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