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work-in-progress"/>
    <w:p>
      <w:pPr>
        <w:pStyle w:val="Heading1"/>
      </w:pPr>
      <w:r>
        <w:t xml:space="preserve">4. Discussion -</w:t>
      </w:r>
      <w:r>
        <w:t xml:space="preserve"> </w:t>
      </w:r>
      <w:r>
        <w:rPr>
          <w:b/>
          <w:bCs/>
        </w:rPr>
        <w:t xml:space="preserve">WORK IN PROGRESS</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decrease in visible reflectance can be multifactorial and has been documented in plants under various stress conditions, including thermal stress. Leaf blackening in plants,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In the absence of photosynthesis, membrane integrity is compromised, allowing PPO to interact with phenolic compounds, thereby accelerating darkening. Low-oxygen environments and antioxidant treatments, like diphenylamine (DPA), have been effective in reducing these oxidative reactions.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Furethemore, has the chlorophyll-a is degraded, other pigments like carotenoids become more visible, renforcing the dark color of leaves.</w:t>
      </w:r>
      <w:r>
        <w:t xml:space="preserve"> </w:t>
      </w:r>
      <w:r>
        <w:t xml:space="preserve">The destruction of membranes (Chloroplasts, thylakoids, cell walls) due to oxidative stress also contributes to the drop in reflectance in the Red Edge and near-infrared regions of the spectrum (&gt; 700 nm). Infrared reflectance in plant leaves is high primarily due to the internal cellular structure that scatters light within the leaf. When sunlight enters the leaf, it is diffused and scattered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structure of these walls is compromised, the infrared plateau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rPr>
          <w:b/>
          <w:bCs/>
        </w:rPr>
        <w:t xml:space="preserve">The unique reflectance properties of seagrasses under heat stress facilitate the detection of this stress through remote sensing techniques (</w:t>
      </w:r>
      <w:hyperlink w:anchor="eq-SDI">
        <w:r>
          <w:rPr>
            <w:rStyle w:val="Hyperlink"/>
            <w:b/>
            <w:bCs/>
          </w:rPr>
          <w:t xml:space="preserve">Equation 4</w:t>
        </w:r>
      </w:hyperlink>
      <w:r>
        <w:rPr>
          <w:b/>
          <w:bCs/>
        </w:rPr>
        <w:t xml:space="preserve">). The SDI index developed in this study allows for remote sensing assessment of the extent and severity of darkening events across intertidal seagrass meadows. Requiring only three spectral bands (560, 740, and 840 nm), this index can be applied to data from various current satellite missions, including Sentinel-2, Pleiades-Neo, WorldView-3, SkySat, and GeoSat-2 and will also be compatible with upcoming missions such as Sentinel-2 Next Generation and Landsat Next. As climate change progresses, the frequency and intensity of heatwave events are projected to increase, positioning remote sensing as an essential tool for monitoring cumulative ecological impacts on seagrass meadows. While satellite platforms provide extensive spatial coverage, limitations such as cloud interference may restrict the continuity of observations, particularly during peak heatwave periods. Integrating satellite-derived data with drone-based observations, which offer enhanced spatial resolution and flexible deployment, could address these limitations by filling temporal gaps in satellite revisit cycles. This combined approach enables precise, localized monitoring of seagrass meadows immediately following extreme events, thus capturing rapid physiological and structural changes that might otherwise remain undetected. Such datasets are critical for the early detection of ecosystem degradation, facilitating timely conservation interventions and enabling targeted management strategies. Moreover, continuous, multi-year data acquisition would bolster the development of predictive models to forecast future heatwave impacts, enhancing the capacity for adaptive management and long-term resilience planning for seagrass ecosystems.</w:t>
      </w:r>
    </w:p>
    <w:p>
      <w:pPr>
        <w:pStyle w:val="Compact"/>
        <w:numPr>
          <w:ilvl w:val="0"/>
          <w:numId w:val="1004"/>
        </w:numPr>
      </w:pPr>
      <w:r>
        <w:t xml:space="preserve">make a link with the batymetry and modelisation of futur impact regarding heatwaves and sealevel rise</w:t>
      </w:r>
    </w:p>
    <w:bookmarkStart w:id="123" w:name="X327e5cb9f509cc61fbc30aa2dc25bd1f67a7b7c"/>
    <w:p>
      <w:pPr>
        <w:pStyle w:val="Heading2"/>
      </w:pPr>
      <w:r>
        <w:t xml:space="preserve">4.1 Frequency and Intensity of Heatwaves: Implications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rPr>
          <w:b/>
          <w:bCs/>
        </w:rPr>
        <w:t xml:space="preserve">Seagrass meadows function as foundational components of coastal ecosystems, sustaining diverse marine communities by providing essential habitats, nursery grounds, and trophic resources for fish, invertebrates, and other organisms. Recurrent heatwave events that damage these meadows trigger cascading ecological effects that extend beyond the direct impacts on seagrasses. Specifically, leaf darkening and subsequent declines in seagrass density compromise the meadow’s role in sediment stabilization and wave attenuation, which may heighten risks of coastal erosion.</w:t>
      </w:r>
    </w:p>
    <w:p>
      <w:pPr>
        <w:pStyle w:val="BodyText"/>
      </w:pPr>
      <w:r>
        <w:rPr>
          <w:b/>
          <w:bCs/>
        </w:rPr>
        <w:t xml:space="preserve">From a biodiversity perspective, the degradation of healthy seagrass beds disrupts coastal food webs. Species reliant on seagrass habitats, including commercially valuable fish and shellfish, experience reduced access to food and shelter, potentially leading to declines in their populations. This effect has direct repercussions on local fisheries, impacting coastal communities whose livelihoods depend on these resources. Furthermore, as seagrass meadows decline, their capacity for carbon sequestration diminishes, indirectly contributing to elevated atmospheric carbon levels and exacerbating climate change impacts.</w:t>
      </w:r>
      <w:r>
        <w:rPr>
          <w:b/>
          <w:bCs/>
        </w:rPr>
        <w:t xml:space="preserve"> </w:t>
      </w:r>
    </w:p>
    <w:bookmarkEnd w:id="123"/>
    <w:bookmarkEnd w:id="124"/>
    <w:bookmarkStart w:id="205" w:name="bibliography"/>
    <w:p>
      <w:pPr>
        <w:pStyle w:val="Heading1"/>
      </w:pPr>
      <w:r>
        <w:t xml:space="preserve">5. Bibliography</w:t>
      </w:r>
    </w:p>
    <w:bookmarkStart w:id="204"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2">
        <w:r>
          <w:rPr>
            <w:rStyle w:val="Hyperlink"/>
          </w:rPr>
          <w:t xml:space="preserve">https://doi.org/10.1007/s11099-007-0084-3</w:t>
        </w:r>
      </w:hyperlink>
    </w:p>
    <w:bookmarkEnd w:id="133"/>
    <w:bookmarkStart w:id="135"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4">
        <w:r>
          <w:rPr>
            <w:rStyle w:val="Hyperlink"/>
          </w:rPr>
          <w:t xml:space="preserve">https://doi.org/10.1038/s43247-024-01543-z</w:t>
        </w:r>
      </w:hyperlink>
    </w:p>
    <w:bookmarkEnd w:id="135"/>
    <w:bookmarkStart w:id="137"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6">
        <w:r>
          <w:rPr>
            <w:rStyle w:val="Hyperlink"/>
          </w:rPr>
          <w:t xml:space="preserve">https://doi.org/10.1016/j.rse.2024.114340</w:t>
        </w:r>
      </w:hyperlink>
    </w:p>
    <w:bookmarkEnd w:id="137"/>
    <w:bookmarkStart w:id="138"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8"/>
    <w:bookmarkStart w:id="139" w:name="ref-deguette2022physiological"/>
    <w:p>
      <w:pPr>
        <w:pStyle w:val="Bibliography"/>
      </w:pPr>
      <w:r>
        <w:t xml:space="preserve">Deguette, A., Barrote, I., Silva, J., 2022. Physiological and morphological effects of a marine heatwave on the seagrass cymodocea nodosa. Scientific Reports 12, 7950.</w:t>
      </w:r>
    </w:p>
    <w:bookmarkEnd w:id="139"/>
    <w:bookmarkStart w:id="140" w:name="ref-devi2024intensity"/>
    <w:p>
      <w:pPr>
        <w:pStyle w:val="Bibliography"/>
      </w:pPr>
      <w:r>
        <w:t xml:space="preserve">Devi, R., Gouda, K., Lenka, S., 2024. Intensity duration and frequency of heat wave in different phases of MJO over india. Atmospheric Research 300, 107250.</w:t>
      </w:r>
    </w:p>
    <w:bookmarkEnd w:id="140"/>
    <w:bookmarkStart w:id="141" w:name="ref-sen2cor"/>
    <w:p>
      <w:pPr>
        <w:pStyle w:val="Bibliography"/>
      </w:pPr>
      <w:r>
        <w:t xml:space="preserve">European Space Agency, 2024b. Sen2Cor: Sentinel-2 atmospheric correction processor.</w:t>
      </w:r>
    </w:p>
    <w:bookmarkEnd w:id="141"/>
    <w:bookmarkStart w:id="142" w:name="ref-copernicus_sentinel2"/>
    <w:p>
      <w:pPr>
        <w:pStyle w:val="Bibliography"/>
      </w:pPr>
      <w:r>
        <w:t xml:space="preserve">European Space Agency, 2024a. Copernicus open access hub.</w:t>
      </w:r>
    </w:p>
    <w:bookmarkEnd w:id="142"/>
    <w:bookmarkStart w:id="14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3"/>
    <w:bookmarkStart w:id="144" w:name="ref-gardner2018global"/>
    <w:p>
      <w:pPr>
        <w:pStyle w:val="Bibliography"/>
      </w:pPr>
      <w:r>
        <w:t xml:space="preserve">Gardner, R.C., Finlayson, C., 2018. Global wetland outlook: State of the world’s wetlands and their services to people, in: Ramsar Convention Secretariat. pp. 2020–5.</w:t>
      </w:r>
    </w:p>
    <w:bookmarkEnd w:id="144"/>
    <w:bookmarkStart w:id="14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5"/>
    <w:bookmarkStart w:id="14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6">
        <w:r>
          <w:rPr>
            <w:rStyle w:val="Hyperlink"/>
          </w:rPr>
          <w:t xml:space="preserve">https://doi.org/10.1002/aqc.4210</w:t>
        </w:r>
      </w:hyperlink>
    </w:p>
    <w:bookmarkEnd w:id="147"/>
    <w:bookmarkStart w:id="14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8"/>
    <w:bookmarkStart w:id="14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9"/>
    <w:bookmarkStart w:id="150" w:name="ref-huete2012vegetation"/>
    <w:p>
      <w:pPr>
        <w:pStyle w:val="Bibliography"/>
      </w:pPr>
      <w:r>
        <w:t xml:space="preserve">Huete, A.R., 2012. Vegetation indices, remote sensing and forest monitoring. Geography Compass 6, 513–532.</w:t>
      </w:r>
    </w:p>
    <w:bookmarkEnd w:id="150"/>
    <w:bookmarkStart w:id="152"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1">
        <w:r>
          <w:rPr>
            <w:rStyle w:val="Hyperlink"/>
          </w:rPr>
          <w:t xml:space="preserve">https://doi.org/10.1073/pnas.0402642101</w:t>
        </w:r>
      </w:hyperlink>
    </w:p>
    <w:bookmarkEnd w:id="152"/>
    <w:bookmarkStart w:id="154" w:name="ref-ioc_sea_level_lecy"/>
    <w:p>
      <w:pPr>
        <w:pStyle w:val="Bibliography"/>
      </w:pPr>
      <w:r>
        <w:t xml:space="preserve">IOC, 2024.</w:t>
      </w:r>
      <w:r>
        <w:t xml:space="preserve"> </w:t>
      </w:r>
      <w:hyperlink r:id="rId153">
        <w:r>
          <w:rPr>
            <w:rStyle w:val="Hyperlink"/>
          </w:rPr>
          <w:t xml:space="preserve">Intergovernmental oceanographic commission ; sea level monitoring station - le conquet, france (LECY)</w:t>
        </w:r>
      </w:hyperlink>
      <w:r>
        <w:t xml:space="preserve">.</w:t>
      </w:r>
    </w:p>
    <w:bookmarkEnd w:id="154"/>
    <w:bookmarkStart w:id="155"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5"/>
    <w:bookmarkStart w:id="157"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6">
        <w:r>
          <w:rPr>
            <w:rStyle w:val="Hyperlink"/>
          </w:rPr>
          <w:t xml:space="preserve">https://doi.org/10.1016/S0304-4238(05)80016-0</w:t>
        </w:r>
      </w:hyperlink>
    </w:p>
    <w:bookmarkEnd w:id="157"/>
    <w:bookmarkStart w:id="158" w:name="ref-kloos2021agricultural"/>
    <w:p>
      <w:pPr>
        <w:pStyle w:val="Bibliography"/>
      </w:pPr>
      <w:r>
        <w:t xml:space="preserve">Kloos, S., Yuan, Y., Castelli, M., Menzel, A., 2021. Agricultural drought detection with MODIS based vegetation health indices in southeast germany. Remote Sensing 13, 3907.</w:t>
      </w:r>
    </w:p>
    <w:bookmarkEnd w:id="158"/>
    <w:bookmarkStart w:id="16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59">
        <w:r>
          <w:rPr>
            <w:rStyle w:val="Hyperlink"/>
          </w:rPr>
          <w:t xml:space="preserve">https://doi.org/10.1016/S0034-4257(70)80021-9</w:t>
        </w:r>
      </w:hyperlink>
    </w:p>
    <w:bookmarkEnd w:id="160"/>
    <w:bookmarkStart w:id="161" w:name="ref-loarie2009velocity"/>
    <w:p>
      <w:pPr>
        <w:pStyle w:val="Bibliography"/>
      </w:pPr>
      <w:r>
        <w:t xml:space="preserve">Loarie, S.R., Duffy, P.B., Hamilton, H., Asner, G.P., Field, C.B., Ackerly, D.D., 2009. The velocity of climate change. Nature 462, 1052–1055.</w:t>
      </w:r>
    </w:p>
    <w:bookmarkEnd w:id="161"/>
    <w:bookmarkStart w:id="16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2"/>
    <w:bookmarkStart w:id="16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3"/>
    <w:bookmarkStart w:id="165"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4">
        <w:r>
          <w:rPr>
            <w:rStyle w:val="Hyperlink"/>
          </w:rPr>
          <w:t xml:space="preserve">https://doi.org/10.1038/s41598-019-50643-w</w:t>
        </w:r>
      </w:hyperlink>
    </w:p>
    <w:bookmarkEnd w:id="165"/>
    <w:bookmarkStart w:id="166"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6"/>
    <w:bookmarkStart w:id="168"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7">
        <w:r>
          <w:rPr>
            <w:rStyle w:val="Hyperlink"/>
          </w:rPr>
          <w:t xml:space="preserve">https://doi.org/10.3389/fmars.2019.00734</w:t>
        </w:r>
      </w:hyperlink>
    </w:p>
    <w:bookmarkEnd w:id="168"/>
    <w:bookmarkStart w:id="170"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9">
        <w:r>
          <w:rPr>
            <w:rStyle w:val="Hyperlink"/>
          </w:rPr>
          <w:t xml:space="preserve">https://doi.org/10.1111/gcb.14282</w:t>
        </w:r>
      </w:hyperlink>
    </w:p>
    <w:bookmarkEnd w:id="170"/>
    <w:bookmarkStart w:id="171"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1"/>
    <w:bookmarkStart w:id="172" w:name="ref-perkins2013measurement"/>
    <w:p>
      <w:pPr>
        <w:pStyle w:val="Bibliography"/>
      </w:pPr>
      <w:r>
        <w:t xml:space="preserve">Perkins, S.E., Alexander, L.V., 2013. On the measurement of heat waves. Journal of climate 26, 4500–4517.</w:t>
      </w:r>
    </w:p>
    <w:bookmarkEnd w:id="172"/>
    <w:bookmarkStart w:id="173" w:name="ref-ramesh2020seagrass"/>
    <w:p>
      <w:pPr>
        <w:pStyle w:val="Bibliography"/>
      </w:pPr>
      <w:r>
        <w:t xml:space="preserve">Ramesh, C., Mohanraju, R., 2020. Seagrass ecosystems of andaman and nicobar islands: Status and future perspective. Environmental &amp; Earth Sciences Research Journal 7.</w:t>
      </w:r>
    </w:p>
    <w:bookmarkEnd w:id="173"/>
    <w:bookmarkStart w:id="17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4">
        <w:r>
          <w:rPr>
            <w:rStyle w:val="Hyperlink"/>
          </w:rPr>
          <w:t xml:space="preserve">https://doi.org/10.1073/pnas.0500008102</w:t>
        </w:r>
      </w:hyperlink>
    </w:p>
    <w:bookmarkEnd w:id="175"/>
    <w:bookmarkStart w:id="176" w:name="ref-rouse1974monitoring"/>
    <w:p>
      <w:pPr>
        <w:pStyle w:val="Bibliography"/>
      </w:pPr>
      <w:r>
        <w:t xml:space="preserve">Rouse, J.W., Haas, R.H., Schell, J.A., Deering, D.W., others, 1974. Monitoring vegetation systems in the great plains with ERTS. NASA Spec. Publ 351, 309.</w:t>
      </w:r>
    </w:p>
    <w:bookmarkEnd w:id="176"/>
    <w:bookmarkStart w:id="17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7">
        <w:r>
          <w:rPr>
            <w:rStyle w:val="Hyperlink"/>
          </w:rPr>
          <w:t xml:space="preserve">https://doi.org/10.1029/2023GL103540</w:t>
        </w:r>
      </w:hyperlink>
    </w:p>
    <w:bookmarkEnd w:id="178"/>
    <w:bookmarkStart w:id="179"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9"/>
    <w:bookmarkStart w:id="180" w:name="ref-schlegel2017nearshore"/>
    <w:p>
      <w:pPr>
        <w:pStyle w:val="Bibliography"/>
      </w:pPr>
      <w:r>
        <w:t xml:space="preserve">Schlegel, R.W., Oliver, E.C., Wernberg, T., Smit, A.J., 2017. Nearshore and offshore co-occurrence of marine heatwaves and cold-spells. Progress in Oceanography 151, 189–205.</w:t>
      </w:r>
    </w:p>
    <w:bookmarkEnd w:id="180"/>
    <w:bookmarkStart w:id="182"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1">
        <w:r>
          <w:rPr>
            <w:rStyle w:val="Hyperlink"/>
          </w:rPr>
          <w:t xml:space="preserve">https://doi.org/10.21105/joss.00821</w:t>
        </w:r>
      </w:hyperlink>
    </w:p>
    <w:bookmarkEnd w:id="182"/>
    <w:bookmarkStart w:id="183"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3"/>
    <w:bookmarkStart w:id="184"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4"/>
    <w:bookmarkStart w:id="186" w:name="ref-shom_ram_2022"/>
    <w:p>
      <w:pPr>
        <w:pStyle w:val="Bibliography"/>
      </w:pPr>
      <w:r>
        <w:t xml:space="preserve">Shom, 2022.</w:t>
      </w:r>
      <w:r>
        <w:t xml:space="preserve"> </w:t>
      </w:r>
      <w:hyperlink r:id="rId18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6"/>
    <w:bookmarkStart w:id="188" w:name="Xbef41143b4d4042e58f11cfc27e216202646012"/>
    <w:p>
      <w:pPr>
        <w:pStyle w:val="Bibliography"/>
      </w:pPr>
      <w:r>
        <w:t xml:space="preserve">SHOM, 2021.</w:t>
      </w:r>
      <w:r>
        <w:t xml:space="preserve"> </w:t>
      </w:r>
      <w:hyperlink r:id="rId187">
        <w:r>
          <w:rPr>
            <w:rStyle w:val="Hyperlink"/>
          </w:rPr>
          <w:t xml:space="preserve">Service hydrographique et océanographique de la marine ; bathymétrie Litto3D® bretagne 2018-2021</w:t>
        </w:r>
      </w:hyperlink>
      <w:r>
        <w:t xml:space="preserve">.</w:t>
      </w:r>
    </w:p>
    <w:bookmarkEnd w:id="188"/>
    <w:bookmarkStart w:id="190" w:name="ref-simolo2022quantifying"/>
    <w:p>
      <w:pPr>
        <w:pStyle w:val="Bibliography"/>
      </w:pPr>
      <w:r>
        <w:t xml:space="preserve">Simolo, C., Corti, S., 2022. Quantifying the role of variability in future intensification of heat extremes. Nature Communications 13.</w:t>
      </w:r>
      <w:r>
        <w:t xml:space="preserve"> </w:t>
      </w:r>
      <w:hyperlink r:id="rId189">
        <w:r>
          <w:rPr>
            <w:rStyle w:val="Hyperlink"/>
          </w:rPr>
          <w:t xml:space="preserve">https://doi.org/10.1038/s41467-022-35571-0</w:t>
        </w:r>
      </w:hyperlink>
    </w:p>
    <w:bookmarkEnd w:id="190"/>
    <w:bookmarkStart w:id="191"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1"/>
    <w:bookmarkStart w:id="19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2">
        <w:r>
          <w:rPr>
            <w:rStyle w:val="Hyperlink"/>
          </w:rPr>
          <w:t xml:space="preserve">https://doi.org/10.1038/s41558-019-0412-1</w:t>
        </w:r>
      </w:hyperlink>
    </w:p>
    <w:bookmarkEnd w:id="193"/>
    <w:bookmarkStart w:id="19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4"/>
    <w:bookmarkStart w:id="196"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5">
        <w:r>
          <w:rPr>
            <w:rStyle w:val="Hyperlink"/>
          </w:rPr>
          <w:t xml:space="preserve">https://doi.org/10.1152/physiol.00040.2018</w:t>
        </w:r>
      </w:hyperlink>
    </w:p>
    <w:bookmarkEnd w:id="196"/>
    <w:bookmarkStart w:id="19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7"/>
    <w:bookmarkStart w:id="198" w:name="ref-unsworth2022planetary"/>
    <w:p>
      <w:pPr>
        <w:pStyle w:val="Bibliography"/>
      </w:pPr>
      <w:r>
        <w:t xml:space="preserve">Unsworth, R.K., Cullen-Unsworth, L.C., Jones, B.L., Lilley, R.J., 2022. The planetary role of seagrass conservation. Science 377, 609–613.</w:t>
      </w:r>
    </w:p>
    <w:bookmarkEnd w:id="198"/>
    <w:bookmarkStart w:id="19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9"/>
    <w:bookmarkStart w:id="20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0"/>
    <w:bookmarkStart w:id="20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1"/>
    <w:bookmarkStart w:id="20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202"/>
    <w:bookmarkStart w:id="20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3"/>
    <w:bookmarkEnd w:id="204"/>
    <w:sectPr>
      <w:lnNumType w:countBy="1" w:restart="continuous"/>
    </w:sectPr>
    <w:bookmarkEnd w:id="20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85" Target="https://diffusion.shom.fr/references-altimetriques-maritimes-ram.html" TargetMode="External" /><Relationship Type="http://schemas.openxmlformats.org/officeDocument/2006/relationships/hyperlink" Id="rId146" Target="https://doi.org/10.1002/aqc.4210" TargetMode="External" /><Relationship Type="http://schemas.openxmlformats.org/officeDocument/2006/relationships/hyperlink" Id="rId132" Target="https://doi.org/10.1007/s11099-007-0084-3" TargetMode="External" /><Relationship Type="http://schemas.openxmlformats.org/officeDocument/2006/relationships/hyperlink" Id="rId159" Target="https://doi.org/10.1016/S0034-4257(70)80021-9" TargetMode="External" /><Relationship Type="http://schemas.openxmlformats.org/officeDocument/2006/relationships/hyperlink" Id="rId156"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77" Target="https://doi.org/10.1029/2023GL103540" TargetMode="External" /><Relationship Type="http://schemas.openxmlformats.org/officeDocument/2006/relationships/hyperlink" Id="rId189"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4"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1" Target="https://doi.org/10.1073/pnas.0402642101" TargetMode="External" /><Relationship Type="http://schemas.openxmlformats.org/officeDocument/2006/relationships/hyperlink" Id="rId174" Target="https://doi.org/10.1073/pnas.0500008102" TargetMode="External" /><Relationship Type="http://schemas.openxmlformats.org/officeDocument/2006/relationships/hyperlink" Id="rId169"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1"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7"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7"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3"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5" Target="https://diffusion.shom.fr/references-altimetriques-maritimes-ram.html" TargetMode="External" /><Relationship Type="http://schemas.openxmlformats.org/officeDocument/2006/relationships/hyperlink" Id="rId146" Target="https://doi.org/10.1002/aqc.4210" TargetMode="External" /><Relationship Type="http://schemas.openxmlformats.org/officeDocument/2006/relationships/hyperlink" Id="rId132" Target="https://doi.org/10.1007/s11099-007-0084-3" TargetMode="External" /><Relationship Type="http://schemas.openxmlformats.org/officeDocument/2006/relationships/hyperlink" Id="rId159" Target="https://doi.org/10.1016/S0034-4257(70)80021-9" TargetMode="External" /><Relationship Type="http://schemas.openxmlformats.org/officeDocument/2006/relationships/hyperlink" Id="rId156"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77" Target="https://doi.org/10.1029/2023GL103540" TargetMode="External" /><Relationship Type="http://schemas.openxmlformats.org/officeDocument/2006/relationships/hyperlink" Id="rId189"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4"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1" Target="https://doi.org/10.1073/pnas.0402642101" TargetMode="External" /><Relationship Type="http://schemas.openxmlformats.org/officeDocument/2006/relationships/hyperlink" Id="rId174" Target="https://doi.org/10.1073/pnas.0500008102" TargetMode="External" /><Relationship Type="http://schemas.openxmlformats.org/officeDocument/2006/relationships/hyperlink" Id="rId169"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1"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7"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7"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3"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2024-11-04T17:19:39Z</dcterms:created>
  <dcterms:modified xsi:type="dcterms:W3CDTF">2024-11-04T17:19:39Z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