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74003F" w14:textId="77777777" w:rsidR="00E24035" w:rsidRDefault="00000000">
      <w:pPr>
        <w:pStyle w:val="Title"/>
      </w:pPr>
      <w:r>
        <w:t>Impact of Marine and Atmospheric Heatwaves on Intertidal Seagrass: Experimental Spectroradiometry and Satellite-Based Insights</w:t>
      </w:r>
    </w:p>
    <w:p w14:paraId="4E3A1992" w14:textId="77777777" w:rsidR="00E24035" w:rsidRDefault="00000000">
      <w:pPr>
        <w:pStyle w:val="Author"/>
      </w:pPr>
      <w:r>
        <w:t>Simon Oiry</w:t>
      </w:r>
      <w:r>
        <w:rPr>
          <w:rStyle w:val="FootnoteReference"/>
        </w:rPr>
        <w:footnoteReference w:id="1"/>
      </w:r>
    </w:p>
    <w:p w14:paraId="25F3E815" w14:textId="77777777" w:rsidR="00E24035" w:rsidRDefault="00000000">
      <w:pPr>
        <w:pStyle w:val="Author"/>
      </w:pPr>
      <w:r>
        <w:t>Bede Ffinian Rowe Davies¹</w:t>
      </w:r>
    </w:p>
    <w:p w14:paraId="191B32A4" w14:textId="77777777" w:rsidR="00E24035" w:rsidRDefault="00000000">
      <w:pPr>
        <w:pStyle w:val="Author"/>
      </w:pPr>
      <w:r>
        <w:t>Philippe Rosa¹</w:t>
      </w:r>
    </w:p>
    <w:p w14:paraId="43727C38" w14:textId="77777777" w:rsidR="00E24035" w:rsidRDefault="00000000">
      <w:pPr>
        <w:pStyle w:val="Author"/>
      </w:pPr>
      <w:r>
        <w:t>Augustin Debly¹</w:t>
      </w:r>
    </w:p>
    <w:p w14:paraId="1A14447E" w14:textId="77777777" w:rsidR="00E24035" w:rsidRDefault="00000000">
      <w:pPr>
        <w:pStyle w:val="Author"/>
      </w:pPr>
      <w:r>
        <w:t>Maria Laura Zoffoli</w:t>
      </w:r>
      <w:r>
        <w:rPr>
          <w:rStyle w:val="FootnoteReference"/>
        </w:rPr>
        <w:footnoteReference w:id="2"/>
      </w:r>
    </w:p>
    <w:p w14:paraId="16944894" w14:textId="77777777" w:rsidR="00E24035" w:rsidRDefault="00000000">
      <w:pPr>
        <w:pStyle w:val="Author"/>
      </w:pPr>
      <w:r>
        <w:t>Anne-Laure Barillé</w:t>
      </w:r>
      <w:r>
        <w:rPr>
          <w:rStyle w:val="FootnoteReference"/>
        </w:rPr>
        <w:footnoteReference w:id="3"/>
      </w:r>
    </w:p>
    <w:p w14:paraId="51B10F16" w14:textId="77777777" w:rsidR="00E24035" w:rsidRDefault="00000000">
      <w:pPr>
        <w:pStyle w:val="Author"/>
      </w:pPr>
      <w:r>
        <w:t>Nicolas Harin³</w:t>
      </w:r>
    </w:p>
    <w:p w14:paraId="109C971C" w14:textId="77777777" w:rsidR="00E24035" w:rsidRDefault="00000000">
      <w:pPr>
        <w:pStyle w:val="Author"/>
      </w:pPr>
      <w:r>
        <w:t>Pierre Gernez¹</w:t>
      </w:r>
    </w:p>
    <w:p w14:paraId="625DD806" w14:textId="77777777" w:rsidR="00E24035" w:rsidRDefault="00000000">
      <w:pPr>
        <w:pStyle w:val="Author"/>
      </w:pPr>
      <w:r>
        <w:t>Laurent Barillé¹</w:t>
      </w:r>
    </w:p>
    <w:p w14:paraId="453549A0" w14:textId="77777777" w:rsidR="00E24035" w:rsidRDefault="00000000">
      <w:pPr>
        <w:pStyle w:val="Date"/>
      </w:pPr>
      <w:r>
        <w:t>2024-12-19</w:t>
      </w:r>
    </w:p>
    <w:p w14:paraId="28566B19" w14:textId="77777777" w:rsidR="00E24035" w:rsidRDefault="00000000">
      <w:r>
        <w:t>Abstract</w:t>
      </w:r>
    </w:p>
    <w:p w14:paraId="16576E1C" w14:textId="77777777" w:rsidR="00E24035" w:rsidRDefault="00000000">
      <w:pPr>
        <w:pStyle w:val="Abstract"/>
      </w:pPr>
      <w:r>
        <w:lastRenderedPageBreak/>
        <w:t>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p w14:paraId="3327DB59" w14:textId="77777777" w:rsidR="00E24035" w:rsidRDefault="00000000">
      <w:pPr>
        <w:pStyle w:val="Heading1"/>
      </w:pPr>
      <w:bookmarkStart w:id="0" w:name="abstract-long-version-for-lps-submission"/>
      <w:r>
        <w:t>1. Abstract Long version (For LPS Submission)</w:t>
      </w:r>
    </w:p>
    <w:p w14:paraId="1B16C17F" w14:textId="77777777" w:rsidR="00E24035" w:rsidRDefault="00000000">
      <w:pPr>
        <w:pStyle w:val="FirstParagraph"/>
      </w:pPr>
      <w:r>
        <w:t>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14:paraId="5309E8A5" w14:textId="77777777" w:rsidR="00E24035" w:rsidRDefault="00000000">
      <w:pPr>
        <w:pStyle w:val="BodyText"/>
      </w:pPr>
      <w:r>
        <w:t xml:space="preserve">During laboratory experiments, seagrass of the species </w:t>
      </w:r>
      <w:r>
        <w:rPr>
          <w:i/>
          <w:iCs/>
        </w:rPr>
        <w:t>Zostera noltei</w:t>
      </w:r>
      <w:r>
        <w:t xml:space="preserve"> were exposed to controlled simulated heatwave conditions to assess the physiological and structural impacts of extreme thermal stress. The experimental design involved placing seagrass samples in intertidal chambers that simulated natural tidal cycles, allowing to </w:t>
      </w:r>
      <w:r>
        <w:lastRenderedPageBreak/>
        <w:t>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14:paraId="3E2EF508" w14:textId="77777777" w:rsidR="00E24035" w:rsidRDefault="00000000">
      <w:pPr>
        <w:pStyle w:val="BodyText"/>
      </w:pPr>
      <w:r>
        <w:lastRenderedPageBreak/>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 </w:t>
      </w:r>
      <w:r>
        <w:rPr>
          <w:i/>
          <w:iCs/>
        </w:rPr>
        <w:t>Zostera noltei</w:t>
      </w:r>
      <w:r>
        <w:t>.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14:paraId="2A7B0DBF" w14:textId="77777777" w:rsidR="00E24035" w:rsidRDefault="00000000">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w:t>
      </w:r>
      <w:r>
        <w:lastRenderedPageBreak/>
        <w:t>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p w14:paraId="4DCB2A0F" w14:textId="77777777" w:rsidR="00E24035" w:rsidRDefault="00000000">
      <w:pPr>
        <w:pStyle w:val="Heading1"/>
      </w:pPr>
      <w:bookmarkStart w:id="1" w:name="introduction"/>
      <w:bookmarkEnd w:id="0"/>
      <w:r>
        <w:t>2. Introduction</w:t>
      </w:r>
    </w:p>
    <w:p w14:paraId="06195AD8" w14:textId="77777777" w:rsidR="00E24035" w:rsidRDefault="00000000">
      <w:pPr>
        <w:pStyle w:val="FirstParagraph"/>
      </w:pPr>
      <w:r>
        <w:t>Seagrasses play a crucial role in coastal ecosystems by providing habitats and feeding grounds for various marine species, supporting marine biodiversity, and contributing to primary production and carbon sequestration (Sousa et al., 2019; Unsworth et al., 2022). Seagrasses are essential for several ecological functions, such as sediment stabilization (Infantes et al., 2022) or eutrophication mitigation by consuming nutrients (Gladstone-Gallagher et al., 2018). This justifies their use as indicators of environmental changes due to their sensitivity to water quality variations (Zoffoli et al., 2021). The interactions between seagrass meadows and their associated herbivores further enhance the delivery of ecosystem services, including coastal protection, fisheries support and provision of habitat and resources for birds (Gardner and Finlayson, 2018; Jankowska et al., 2019; Unsworth and Butterworth, 2021; Zoffoli et al., 2023). Understanding and preserving seagrass is vital for maintaining the biodiversity and productivity of coastal regions (Ramesh and Mohanraju, 2020; Scott et al., 2018).</w:t>
      </w:r>
    </w:p>
    <w:p w14:paraId="15BEB855" w14:textId="77777777" w:rsidR="00E24035" w:rsidRDefault="00000000">
      <w:pPr>
        <w:pStyle w:val="BodyText"/>
      </w:pPr>
      <w:r>
        <w:lastRenderedPageBreak/>
        <w:t>Despite their crucial role in marine ecosystems, seagrasses face numerous threats that compromise their health and functionality. These habitats are subjected to a combination of aquatic and aerial conditions, facing impact from terrestrial and aquatic stressors. Coastal development and human activities are primary threats, reducing the available habitat for seagrasses and increasing water turbidity, limiting light penetration and photosynthesis (Waycott et al., 2009). Seagrasses are also threatened by runoff from agricultural fields and urban areas leading to nutrient enrichment. Eutrophication promotes the growth of seaweed in coastal waters, causing macroalgal blooms that compete with seagrasses for light and nutrients (Oiry et al., 2024; Thomsen et al., 2023). Pollution from industrial and agricultural sources introduces harmful chemicals and heavy metals into coastal waters, posing toxic risks to seagrass health (Bastos et al., 2023; Green et al., 2021; Zahoor and Mushtaq, 2023). Among manifold anthropogenic stressors, heatwaves (HWs), exacerbated by climate change, pose a severe threat to seagrasses, with catastrophic dieback events observed woldwide (Carlson et al., 2018; Marbà and Duarte, 2010; Moore and Jarvis, 2008; Strydom et al., 2020; Thomson et al., 2015).</w:t>
      </w:r>
    </w:p>
    <w:p w14:paraId="50B260A1" w14:textId="77777777" w:rsidR="00E24035" w:rsidRDefault="00000000">
      <w:pPr>
        <w:pStyle w:val="BodyText"/>
      </w:pPr>
      <w:r>
        <w:t xml:space="preserve">Marine Heatwaves (MHWs) are defined by Hobday et al. (2016) as prolonged discrete anomalously warm water events while Atmospheric Heatwaves (AHW) are defined by Perkins and Alexander (2013) as periods of at least three consecutive days with temperatures exceeding the 90th percentile of a time series covering at least 30 years. In shallow waters,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 </w:t>
      </w:r>
      <w:r>
        <w:rPr>
          <w:i/>
          <w:iCs/>
        </w:rPr>
        <w:t>Zostera marina</w:t>
      </w:r>
      <w:r>
        <w:t xml:space="preserve"> exhibits high susceptibility to elevated sea surface temperatures during winter and spring, leading to advanced flowering, high mortality rates, and reduced biomass (Sawall et al., 2021). Similarly, </w:t>
      </w:r>
      <w:r>
        <w:rPr>
          <w:i/>
          <w:iCs/>
        </w:rPr>
        <w:t>Cymodocea nodosa</w:t>
      </w:r>
      <w:r>
        <w:t xml:space="preserve"> shows increased photosynthetic activity </w:t>
      </w:r>
      <w:r>
        <w:lastRenderedPageBreak/>
        <w:t xml:space="preserve">during HWs but suffers negative effects on photosynthetic performance and leaf biomass during recovery (Deguette et al., 2022). Additionally, different populations of </w:t>
      </w:r>
      <w:r>
        <w:rPr>
          <w:i/>
          <w:iCs/>
        </w:rPr>
        <w:t>Zostera marina</w:t>
      </w:r>
      <w:r>
        <w:t xml:space="preserve"> along the European thermal gradient exhibit varied photophysiological responses during the recovery phase of HWs, indicating differential adaptation capabilities among populations (Winters et al., 2011). These events intensify other stressors, such as overgrazing and seed burial, compromising recruitment (Guerrero-Meseguer et al., 2020).</w:t>
      </w:r>
    </w:p>
    <w:p w14:paraId="6631F2D4" w14:textId="77777777" w:rsidR="00E24035" w:rsidRDefault="00000000">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 (Davies et al., 2024a, 2024b; Oiry et al., 2024; Román et al., 2021), proved useful to study the changes in seagrass coverage caused by extreme HW event (Strydom et al., 2020). In complement to its ability to measure the spatial distribution of post-heatwave seagrass loss, we hypothesize that remote sensing has the potential to detect more subtle changes, such as the browning of seagrass leaves. The pigment composition of plants, such as chlorophylls, carotenoids, and anthocyanins, significantly influences their spectral signature in the visible range due to their specific light absorption properties (Davies et al., 2023; Douay et al., 2022; Olmedo-Masat et al., 2020; Ustin and Jacquemoud, 2020). During senescence phase, the degradation of chlorophyll and the unmasking of accessory pigments result in noticeable changes in leaf coloration and reflectance, including increased reflectance in the red and green wavelengths and shifts in the red-edge position (Boyer et al., 1988; Mariën et al., 2019; Peñuelas et al., 2004). Leaf browning, often observed after stress events, produces reflectance changes similar to those caused by senescence, enabling the detection of vegetation stress through remote sensing (Boyer et al., 1988; Peñuelas et al., 2004). Spectral indices such as the Brown Pigment Index (BPI) and the Photochemical </w:t>
      </w:r>
      <w:r>
        <w:lastRenderedPageBreak/>
        <w:t>Reflectance Index (PRI) have been developed to assess changes in terrestrial plant physiological status, including oxidative and drought stress (Garbulsky et al., 2011; Skendzic, 2023). While these effects are well-documented in terrestrial plants, the spectral reflectance changes associated with senescence and stress events such as MHWs or AHWs remain poorly studied on intertidal seagrasses.</w:t>
      </w:r>
    </w:p>
    <w:p w14:paraId="253D8FE6" w14:textId="77777777" w:rsidR="00E24035" w:rsidRDefault="00000000">
      <w:pPr>
        <w:pStyle w:val="BodyText"/>
      </w:pPr>
      <w:r>
        <w:t xml:space="preserve">This study aims to experimentally test the hypothesis that HWs alter the reflectance of the intertidal seagrass </w:t>
      </w:r>
      <w:r>
        <w:rPr>
          <w:i/>
          <w:iCs/>
        </w:rPr>
        <w:t>Zostera noltei</w:t>
      </w:r>
      <w:r>
        <w:t>. Controlled experiments in intertidal chambers were conducted to evaluate the direct impact of heat stress on seagrass reflectance. Th findings were then applied to satellite remote sensing images, providing critical insights into the spatial extent and temporal dynamics of HW effects on seagrass meadows. By linking experimental results with large-scale observations of seagrass leaves’ browning, the study underscores the potential of remote sensing to enhance our understanding of seagrass responses to extreme thermal events across diverse settings and timescales.</w:t>
      </w:r>
    </w:p>
    <w:p w14:paraId="45C63F13" w14:textId="77777777" w:rsidR="00E24035" w:rsidRDefault="00000000">
      <w:pPr>
        <w:pStyle w:val="Heading1"/>
      </w:pPr>
      <w:bookmarkStart w:id="2" w:name="material-methods"/>
      <w:bookmarkEnd w:id="1"/>
      <w:r>
        <w:t>3. Material &amp; Methods</w:t>
      </w:r>
    </w:p>
    <w:p w14:paraId="616E918B" w14:textId="77777777" w:rsidR="00E24035" w:rsidRDefault="00000000">
      <w:pPr>
        <w:pStyle w:val="Heading2"/>
      </w:pPr>
      <w:bookmarkStart w:id="3" w:name="laboratory-experiment"/>
      <w:r>
        <w:t>3.1 Laboratory Experiment</w:t>
      </w:r>
    </w:p>
    <w:p w14:paraId="69D272EF" w14:textId="77777777" w:rsidR="00E24035" w:rsidRDefault="00000000">
      <w:pPr>
        <w:pStyle w:val="Heading3"/>
      </w:pPr>
      <w:bookmarkStart w:id="4" w:name="sampling-and-acclimation-of-seagrasses"/>
      <w:r>
        <w:t>3.1.1 Sampling and acclimation of seagrasses</w:t>
      </w:r>
    </w:p>
    <w:p w14:paraId="49903B2D" w14:textId="77777777" w:rsidR="00E24035" w:rsidRDefault="00000000">
      <w:pPr>
        <w:pStyle w:val="FirstParagraph"/>
      </w:pPr>
      <w:r>
        <w:t xml:space="preserve">Seagrass samples were taken in summer 2024, at low tide, from a </w:t>
      </w:r>
      <w:r>
        <w:rPr>
          <w:i/>
          <w:iCs/>
        </w:rPr>
        <w:t>Zostera noltei</w:t>
      </w:r>
      <w:r>
        <w:t xml:space="preserve"> (dwarf eelgrass) meadow located in Bourgneuf Bay, France (46°57’32.0”N, 2°10’37.0”W). A metal sampling box was used to sample seagrass from an area of 30x15 cm and 5 cm deep, maintaining the sediment structure and avoiding damage to seagrass rhizomes and leaves (</w:t>
      </w:r>
      <w:hyperlink w:anchor="fig-design">
        <w:r>
          <w:rPr>
            <w:rStyle w:val="Hyperlink"/>
          </w:rPr>
          <w:t>Figure 1</w:t>
        </w:r>
      </w:hyperlink>
      <w:r>
        <w:t xml:space="preserve"> A). This sampling box reduced the variability between each sample replicates. Samples including seagrass, sediment, meiofauna, and macrofauna, were placed in plastic trays. Keeping the entire biota allowed for natural interactions between components and reduced stress on the seagrass. Seawater was added to each tray to </w:t>
      </w:r>
      <w:r>
        <w:lastRenderedPageBreak/>
        <w:t xml:space="preserve">avoid hydric stress caused by insufficient moisture during transportation (1h drive from the laboratory). Simultaneously, seawater was sampled from a nearby site and transported to the lab, where it was filtered using a 0.22 µm nitrocellulose filter to remove suspended particulate matter. The filtered seawater was used in the acclimation tank and the intertidal chambers. The seagrasses were acclimated during one week with a water temperature of 17°C, matching the </w:t>
      </w:r>
      <w:r>
        <w:rPr>
          <w:i/>
          <w:iCs/>
        </w:rPr>
        <w:t>in situ</w:t>
      </w:r>
      <w:r>
        <w:t xml:space="preserve"> temperature during sampling, and a photosynthetically active radiation (PAR) of 150 µmol.s</w:t>
      </w:r>
      <w:r>
        <w:rPr>
          <w:vertAlign w:val="superscript"/>
        </w:rPr>
        <w:t>-1</w:t>
      </w:r>
      <w:r>
        <w:t>.m</w:t>
      </w:r>
      <w:r>
        <w:rPr>
          <w:vertAlign w:val="superscript"/>
        </w:rPr>
        <w:t>-2</w:t>
      </w:r>
      <w:r>
        <w:t>. (Akbar et al., 2020).</w:t>
      </w:r>
    </w:p>
    <w:tbl>
      <w:tblPr>
        <w:tblStyle w:val="Table"/>
        <w:tblW w:w="5000" w:type="pct"/>
        <w:tblLayout w:type="fixed"/>
        <w:tblLook w:val="0000" w:firstRow="0" w:lastRow="0" w:firstColumn="0" w:lastColumn="0" w:noHBand="0" w:noVBand="0"/>
      </w:tblPr>
      <w:tblGrid>
        <w:gridCol w:w="9360"/>
      </w:tblGrid>
      <w:tr w:rsidR="00E24035" w14:paraId="75797B24" w14:textId="77777777">
        <w:tc>
          <w:tcPr>
            <w:tcW w:w="7920" w:type="dxa"/>
          </w:tcPr>
          <w:p w14:paraId="3D3B0CF5" w14:textId="77777777" w:rsidR="00E24035" w:rsidRDefault="00000000">
            <w:pPr>
              <w:pStyle w:val="Compact"/>
              <w:jc w:val="center"/>
            </w:pPr>
            <w:bookmarkStart w:id="5" w:name="fig-design"/>
            <w:bookmarkStart w:id="6" w:name="cell-fig-design"/>
            <w:r>
              <w:rPr>
                <w:noProof/>
              </w:rPr>
              <w:drawing>
                <wp:inline distT="0" distB="0" distL="0" distR="0" wp14:anchorId="170D5842" wp14:editId="75FF88DB">
                  <wp:extent cx="5646420" cy="5554024"/>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Figs/Low_res/Experimental_design.png"/>
                          <pic:cNvPicPr>
                            <a:picLocks noChangeAspect="1" noChangeArrowheads="1"/>
                          </pic:cNvPicPr>
                        </pic:nvPicPr>
                        <pic:blipFill>
                          <a:blip r:embed="rId7"/>
                          <a:stretch>
                            <a:fillRect/>
                          </a:stretch>
                        </pic:blipFill>
                        <pic:spPr bwMode="auto">
                          <a:xfrm>
                            <a:off x="0" y="0"/>
                            <a:ext cx="5646420" cy="5554024"/>
                          </a:xfrm>
                          <a:prstGeom prst="rect">
                            <a:avLst/>
                          </a:prstGeom>
                          <a:noFill/>
                          <a:ln w="9525">
                            <a:noFill/>
                            <a:headEnd/>
                            <a:tailEnd/>
                          </a:ln>
                        </pic:spPr>
                      </pic:pic>
                    </a:graphicData>
                  </a:graphic>
                </wp:inline>
              </w:drawing>
            </w:r>
          </w:p>
          <w:p w14:paraId="1D6CE427" w14:textId="77777777" w:rsidR="00E24035" w:rsidRDefault="00000000">
            <w:pPr>
              <w:pStyle w:val="ImageCaption"/>
              <w:spacing w:before="200"/>
            </w:pPr>
            <w:r>
              <w:lastRenderedPageBreak/>
              <w:t>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2 days after the start of the HW event.</w:t>
            </w:r>
          </w:p>
        </w:tc>
        <w:bookmarkEnd w:id="5"/>
      </w:tr>
    </w:tbl>
    <w:p w14:paraId="5075FF26" w14:textId="77777777" w:rsidR="00E24035" w:rsidRDefault="00000000">
      <w:pPr>
        <w:pStyle w:val="Heading3"/>
      </w:pPr>
      <w:bookmarkStart w:id="7" w:name="experimental-design"/>
      <w:bookmarkEnd w:id="4"/>
      <w:bookmarkEnd w:id="6"/>
      <w:r>
        <w:lastRenderedPageBreak/>
        <w:t>3.1.2 Experimental design</w:t>
      </w:r>
    </w:p>
    <w:p w14:paraId="59CA445F" w14:textId="77777777" w:rsidR="00E24035" w:rsidRDefault="00000000">
      <w:pPr>
        <w:pStyle w:val="FirstParagraph"/>
      </w:pPr>
      <w:r>
        <w:t>A tidal cycle (i.e. regularly alternating 6h of low tide and 6h of high-tide) was simulated in the laboratory using an intertidal chamber system from ElectricBlue® (Electric Blue, 2023). The transition between low tide and high tide is binary and took about 15 minutes to be completed when initiated. During the phase of high tide, a volume of 30 L of filtered seawater was pumped and circulated through the chamber (</w:t>
      </w:r>
      <w:hyperlink w:anchor="fig-design">
        <w:r>
          <w:rPr>
            <w:rStyle w:val="Hyperlink"/>
          </w:rPr>
          <w:t>Figure 1</w:t>
        </w:r>
      </w:hyperlink>
      <w:r>
        <w:t xml:space="preserve"> 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low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light was turn on and off each day, at the time of sunrise and sunset, respectively.</w:t>
      </w:r>
    </w:p>
    <w:p w14:paraId="3FADDC1C" w14:textId="77777777" w:rsidR="00E24035" w:rsidRDefault="00000000">
      <w:pPr>
        <w:pStyle w:val="BodyText"/>
      </w:pPr>
      <w:r>
        <w:t xml:space="preserve">Air temperature and water temperature were controlled inside the experiment chambers, in order to reproduce the range of variability observed in the field. Field temperature was measured using </w:t>
      </w:r>
      <w:r>
        <w:rPr>
          <w:i/>
          <w:iCs/>
        </w:rPr>
        <w:t>in situ sensors</w:t>
      </w:r>
      <w:r>
        <w:t xml:space="preserve"> (T7.3 EnvLoggers from ElectricBlue®) deployed at the sampling site in August 2024. In complement, the temperature daily maxima recorded </w:t>
      </w:r>
      <w:r>
        <w:rPr>
          <w:i/>
          <w:iCs/>
        </w:rPr>
        <w:t>in situ</w:t>
      </w:r>
      <w:r>
        <w:t xml:space="preserve"> were compared with measurements from the nearest Météo France weather station (Annexe A1, </w:t>
      </w:r>
      <w:hyperlink w:anchor="sec-AnnexeA">
        <w:r>
          <w:rPr>
            <w:rStyle w:val="Hyperlink"/>
          </w:rPr>
          <w:t>Section 7.1</w:t>
        </w:r>
      </w:hyperlink>
      <w:r>
        <w:t xml:space="preserve">). The control chamber was kept at temperatures representing typical seasonal conditions, with water temperatures at 18°C and air temperatures from 19°C to 23°C, following natural daily temperature </w:t>
      </w:r>
      <w:r>
        <w:lastRenderedPageBreak/>
        <w:t>fluctuations (</w:t>
      </w:r>
      <w:hyperlink w:anchor="fig-Profile">
        <w:r>
          <w:rPr>
            <w:rStyle w:val="Hyperlink"/>
          </w:rPr>
          <w:t>Figure 2</w:t>
        </w:r>
      </w:hyperlink>
      <w:r>
        <w:t>). For the experimental treatment,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Figure 2</w:t>
        </w:r>
      </w:hyperlink>
      <w:r>
        <w:t>). The experiment was repeated three times to obtain replicates (hereafter referred to as “Run”).</w:t>
      </w:r>
    </w:p>
    <w:tbl>
      <w:tblPr>
        <w:tblStyle w:val="Table"/>
        <w:tblW w:w="5000" w:type="pct"/>
        <w:tblLayout w:type="fixed"/>
        <w:tblLook w:val="0000" w:firstRow="0" w:lastRow="0" w:firstColumn="0" w:lastColumn="0" w:noHBand="0" w:noVBand="0"/>
      </w:tblPr>
      <w:tblGrid>
        <w:gridCol w:w="9360"/>
      </w:tblGrid>
      <w:tr w:rsidR="00E24035" w14:paraId="687CBF69" w14:textId="77777777">
        <w:tc>
          <w:tcPr>
            <w:tcW w:w="7920" w:type="dxa"/>
          </w:tcPr>
          <w:p w14:paraId="0BE1F1B8" w14:textId="77777777" w:rsidR="00E24035" w:rsidRDefault="00000000">
            <w:pPr>
              <w:pStyle w:val="Compact"/>
              <w:jc w:val="center"/>
            </w:pPr>
            <w:bookmarkStart w:id="8" w:name="fig-Profile"/>
            <w:bookmarkStart w:id="9" w:name="cell-fig-Profile"/>
            <w:r>
              <w:rPr>
                <w:noProof/>
              </w:rPr>
              <w:drawing>
                <wp:inline distT="0" distB="0" distL="0" distR="0" wp14:anchorId="67323231" wp14:editId="0BBC6CBA">
                  <wp:extent cx="5646420" cy="2582627"/>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Figs/Low_res/Chamber_Profils.png"/>
                          <pic:cNvPicPr>
                            <a:picLocks noChangeAspect="1" noChangeArrowheads="1"/>
                          </pic:cNvPicPr>
                        </pic:nvPicPr>
                        <pic:blipFill>
                          <a:blip r:embed="rId8"/>
                          <a:stretch>
                            <a:fillRect/>
                          </a:stretch>
                        </pic:blipFill>
                        <pic:spPr bwMode="auto">
                          <a:xfrm>
                            <a:off x="0" y="0"/>
                            <a:ext cx="5646420" cy="2582627"/>
                          </a:xfrm>
                          <a:prstGeom prst="rect">
                            <a:avLst/>
                          </a:prstGeom>
                          <a:noFill/>
                          <a:ln w="9525">
                            <a:noFill/>
                            <a:headEnd/>
                            <a:tailEnd/>
                          </a:ln>
                        </pic:spPr>
                      </pic:pic>
                    </a:graphicData>
                  </a:graphic>
                </wp:inline>
              </w:drawing>
            </w:r>
          </w:p>
          <w:p w14:paraId="7602E79F" w14:textId="77777777" w:rsidR="00E24035" w:rsidRDefault="00000000">
            <w:pPr>
              <w:pStyle w:val="ImageCaption"/>
              <w:spacing w:before="200"/>
            </w:pPr>
            <w:r>
              <w:t>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tc>
        <w:bookmarkEnd w:id="8"/>
      </w:tr>
    </w:tbl>
    <w:p w14:paraId="14C81AB4" w14:textId="77777777" w:rsidR="00E24035" w:rsidRDefault="00000000">
      <w:pPr>
        <w:pStyle w:val="Heading3"/>
      </w:pPr>
      <w:bookmarkStart w:id="10" w:name="optical-measurements"/>
      <w:bookmarkEnd w:id="7"/>
      <w:bookmarkEnd w:id="9"/>
      <w:r>
        <w:lastRenderedPageBreak/>
        <w:t>3.1.3 Optical measurements</w:t>
      </w:r>
    </w:p>
    <w:p w14:paraId="5BB53305" w14:textId="77777777" w:rsidR="00E24035" w:rsidRDefault="00000000">
      <w:pPr>
        <w:pStyle w:val="Heading4"/>
      </w:pPr>
      <w:bookmarkStart w:id="11" w:name="hyperspectral-reflectance-measurements"/>
      <w:r>
        <w:t>3.1.3.1 Hyperspectral reflectance measurements</w:t>
      </w:r>
    </w:p>
    <w:p w14:paraId="51733988" w14:textId="77777777" w:rsidR="00E24035" w:rsidRDefault="00000000">
      <w:pPr>
        <w:pStyle w:val="FirstParagraph"/>
      </w:pPr>
      <w:r>
        <w:t xml:space="preserve">Throughout the experiment, the hyperspectral reflectance, </w:t>
      </w:r>
      <m:oMath>
        <m:r>
          <w:rPr>
            <w:rFonts w:ascii="Cambria Math" w:hAnsi="Cambria Math"/>
          </w:rPr>
          <m:t>R</m:t>
        </m:r>
        <m:d>
          <m:dPr>
            <m:ctrlPr>
              <w:rPr>
                <w:rFonts w:ascii="Cambria Math" w:hAnsi="Cambria Math"/>
              </w:rPr>
            </m:ctrlPr>
          </m:dPr>
          <m:e>
            <m:r>
              <w:rPr>
                <w:rFonts w:ascii="Cambria Math" w:hAnsi="Cambria Math"/>
              </w:rPr>
              <m:t>λ</m:t>
            </m:r>
          </m:e>
        </m:d>
      </m:oMath>
      <w:r>
        <w:t xml:space="preserve">, of both the control and treatment seagrasses was measured using an ASD HandHeld 2 equipped with a fiber optic extension placed inside the chamber. The measurement set up made it possible to automatically acquire </w:t>
      </w:r>
      <m:oMath>
        <m:r>
          <w:rPr>
            <w:rFonts w:ascii="Cambria Math" w:hAnsi="Cambria Math"/>
          </w:rPr>
          <m:t>R</m:t>
        </m:r>
        <m:d>
          <m:dPr>
            <m:ctrlPr>
              <w:rPr>
                <w:rFonts w:ascii="Cambria Math" w:hAnsi="Cambria Math"/>
              </w:rPr>
            </m:ctrlPr>
          </m:dPr>
          <m:e>
            <m:r>
              <w:rPr>
                <w:rFonts w:ascii="Cambria Math" w:hAnsi="Cambria Math"/>
              </w:rPr>
              <m:t>λ</m:t>
            </m:r>
          </m:e>
        </m:d>
      </m:oMath>
      <w:r>
        <w:t xml:space="preserve"> without opening the chamber. An average of five </w:t>
      </w:r>
      <m:oMath>
        <m:r>
          <w:rPr>
            <w:rFonts w:ascii="Cambria Math" w:hAnsi="Cambria Math"/>
          </w:rPr>
          <m:t>R</m:t>
        </m:r>
        <m:d>
          <m:dPr>
            <m:ctrlPr>
              <w:rPr>
                <w:rFonts w:ascii="Cambria Math" w:hAnsi="Cambria Math"/>
              </w:rPr>
            </m:ctrlPr>
          </m:dPr>
          <m:e>
            <m:r>
              <w:rPr>
                <w:rFonts w:ascii="Cambria Math" w:hAnsi="Cambria Math"/>
              </w:rPr>
              <m:t>λ</m:t>
            </m:r>
          </m:e>
        </m:d>
      </m:oMath>
      <w:r>
        <w:t xml:space="preserve"> spectra, each with an integration time of 544 ms, was taken every minute during daytime (Malvern Panalytical, 2023). Every 10 minutes, the fiber optic was switched from one intertidal chamber to the other, in order to measure </w:t>
      </w:r>
      <m:oMath>
        <m:r>
          <w:rPr>
            <w:rFonts w:ascii="Cambria Math" w:hAnsi="Cambria Math"/>
          </w:rPr>
          <m:t>R</m:t>
        </m:r>
        <m:d>
          <m:dPr>
            <m:ctrlPr>
              <w:rPr>
                <w:rFonts w:ascii="Cambria Math" w:hAnsi="Cambria Math"/>
              </w:rPr>
            </m:ctrlPr>
          </m:dPr>
          <m:e>
            <m:r>
              <w:rPr>
                <w:rFonts w:ascii="Cambria Math" w:hAnsi="Cambria Math"/>
              </w:rPr>
              <m:t>λ</m:t>
            </m:r>
          </m:e>
        </m:d>
      </m:oMath>
      <w:r>
        <w:t xml:space="preserve"> in both the treatment and control. Light conditions were controlled inside of the chambers and the reflectance calibration was performed each morning at the very first moment of low tide using a Spectralon white reference with 99% Lambertian reflectivity.</w:t>
      </w:r>
    </w:p>
    <w:p w14:paraId="4C72F3C4" w14:textId="77777777" w:rsidR="00E24035" w:rsidRDefault="00000000">
      <w:pPr>
        <w:pStyle w:val="Heading4"/>
      </w:pPr>
      <w:bookmarkStart w:id="12" w:name="spectrum-post-processing"/>
      <w:bookmarkEnd w:id="11"/>
      <w:r>
        <w:t>3.1.3.2 Spectrum post-processing</w:t>
      </w:r>
    </w:p>
    <w:p w14:paraId="70FE8C7A" w14:textId="77777777" w:rsidR="00E24035" w:rsidRDefault="00000000">
      <w:pPr>
        <w:pStyle w:val="FirstParagraph"/>
      </w:pPr>
      <w:r>
        <w:t>A Savitzky-Golay smoothing function with a 5 nm moving window was applied to each spectrum using the “hsdar” package in R (Lehnert et al., 2017). The second derivative at 665 nm (δδ665), showing the highest variability between the control and the treatment, was tested as an indicator of the spectral changes following HWs</w:t>
      </w:r>
    </w:p>
    <w:p w14:paraId="70602232" w14:textId="77777777" w:rsidR="00E24035" w:rsidRDefault="00000000">
      <w:pPr>
        <w:pStyle w:val="BodyText"/>
      </w:pPr>
      <w:r>
        <w:t xml:space="preserve">The effect the HW on </w:t>
      </w:r>
      <m:oMath>
        <m:r>
          <w:rPr>
            <w:rFonts w:ascii="Cambria Math" w:hAnsi="Cambria Math"/>
          </w:rPr>
          <m:t>R</m:t>
        </m:r>
        <m:d>
          <m:dPr>
            <m:ctrlPr>
              <w:rPr>
                <w:rFonts w:ascii="Cambria Math" w:hAnsi="Cambria Math"/>
              </w:rPr>
            </m:ctrlPr>
          </m:dPr>
          <m:e>
            <m:r>
              <w:rPr>
                <w:rFonts w:ascii="Cambria Math" w:hAnsi="Cambria Math"/>
              </w:rPr>
              <m:t>λ</m:t>
            </m:r>
          </m:e>
        </m:d>
      </m:oMath>
      <w:r>
        <w:t xml:space="preserve"> was also quantified using two radiometric indices:</w:t>
      </w:r>
    </w:p>
    <w:p w14:paraId="330CDE5D" w14:textId="77777777" w:rsidR="00E24035" w:rsidRDefault="00000000">
      <w:pPr>
        <w:pStyle w:val="Compact"/>
        <w:numPr>
          <w:ilvl w:val="0"/>
          <w:numId w:val="3"/>
        </w:numPr>
      </w:pPr>
      <w:r>
        <w:t>The Normalized Difference Vegetation Index (NDVI, Rouse et al. (1974)), a proxy of chlorophyll-a concentration (</w:t>
      </w:r>
      <w:hyperlink w:anchor="eq-ndvi">
        <w:r>
          <w:rPr>
            <w:rStyle w:val="Hyperlink"/>
          </w:rPr>
          <w:t>Equation 1</w:t>
        </w:r>
      </w:hyperlink>
      <w:r>
        <w:t>)</w:t>
      </w:r>
    </w:p>
    <w:p w14:paraId="0FBB558D" w14:textId="77777777" w:rsidR="00E24035" w:rsidRDefault="00000000">
      <w:pPr>
        <w:pStyle w:val="FirstParagraph"/>
      </w:pPr>
      <w:bookmarkStart w:id="13" w:name="eq-ndvi"/>
      <m:oMathPara>
        <m:oMathParaPr>
          <m:jc m:val="center"/>
        </m:oMathParaPr>
        <m:oMath>
          <m:r>
            <w:rPr>
              <w:rFonts w:ascii="Cambria Math" w:hAnsi="Cambria Math"/>
            </w:rPr>
            <m:t>NDVI</m:t>
          </m:r>
          <m:r>
            <m:rPr>
              <m:sty m:val="p"/>
            </m:rPr>
            <w:rPr>
              <w:rFonts w:ascii="Cambria Math" w:hAnsi="Cambria Math"/>
            </w:rPr>
            <m:t>=</m:t>
          </m:r>
          <m:f>
            <m:fPr>
              <m:ctrlPr>
                <w:rPr>
                  <w:rFonts w:ascii="Cambria Math" w:hAnsi="Cambria Math"/>
                </w:rPr>
              </m:ctrlPr>
            </m:fPr>
            <m:num>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num>
            <m:den>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den>
          </m:f>
          <m:r>
            <w:rPr>
              <w:rFonts w:ascii="Cambria Math" w:hAnsi="Cambria Math"/>
            </w:rPr>
            <m:t>  </m:t>
          </m:r>
          <m:d>
            <m:dPr>
              <m:ctrlPr>
                <w:rPr>
                  <w:rFonts w:ascii="Cambria Math" w:hAnsi="Cambria Math"/>
                </w:rPr>
              </m:ctrlPr>
            </m:dPr>
            <m:e>
              <m:r>
                <w:rPr>
                  <w:rFonts w:ascii="Cambria Math" w:hAnsi="Cambria Math"/>
                </w:rPr>
                <m:t>1</m:t>
              </m:r>
            </m:e>
          </m:d>
        </m:oMath>
      </m:oMathPara>
      <w:bookmarkEnd w:id="13"/>
    </w:p>
    <w:p w14:paraId="20CDCBCE" w14:textId="77777777" w:rsidR="00E24035"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840</m:t>
            </m:r>
          </m:e>
        </m:d>
      </m:oMath>
      <w:r>
        <w:t xml:space="preserve"> and </w:t>
      </w:r>
      <m:oMath>
        <m:r>
          <w:rPr>
            <w:rFonts w:ascii="Cambria Math" w:hAnsi="Cambria Math"/>
          </w:rPr>
          <m:t>R</m:t>
        </m:r>
        <m:d>
          <m:dPr>
            <m:ctrlPr>
              <w:rPr>
                <w:rFonts w:ascii="Cambria Math" w:hAnsi="Cambria Math"/>
              </w:rPr>
            </m:ctrlPr>
          </m:dPr>
          <m:e>
            <m:r>
              <w:rPr>
                <w:rFonts w:ascii="Cambria Math" w:hAnsi="Cambria Math"/>
              </w:rPr>
              <m:t>668</m:t>
            </m:r>
          </m:e>
        </m:d>
      </m:oMath>
      <w:r>
        <w:t xml:space="preserve"> are the reflectance at 840 and 668 nm respectively.</w:t>
      </w:r>
    </w:p>
    <w:p w14:paraId="12105F8D" w14:textId="77777777" w:rsidR="00E24035" w:rsidRDefault="00000000">
      <w:pPr>
        <w:pStyle w:val="Compact"/>
        <w:numPr>
          <w:ilvl w:val="0"/>
          <w:numId w:val="4"/>
        </w:numPr>
      </w:pPr>
      <w:r>
        <w:t>The Green Leaf Index (GLI, Louhaichi et al. (2001)), a quantification of the seagrass leaves greenness (</w:t>
      </w:r>
      <w:hyperlink w:anchor="eq-gli">
        <w:r>
          <w:rPr>
            <w:rStyle w:val="Hyperlink"/>
          </w:rPr>
          <w:t>Equation 2</w:t>
        </w:r>
      </w:hyperlink>
      <w:r>
        <w:t>)</w:t>
      </w:r>
    </w:p>
    <w:p w14:paraId="192E632A" w14:textId="77777777" w:rsidR="00E24035" w:rsidRDefault="00000000">
      <w:pPr>
        <w:pStyle w:val="FirstParagraph"/>
      </w:pPr>
      <w:bookmarkStart w:id="14" w:name="eq-gli"/>
      <m:oMathPara>
        <m:oMathParaPr>
          <m:jc m:val="center"/>
        </m:oMathParaPr>
        <m:oMath>
          <m:r>
            <w:rPr>
              <w:rFonts w:ascii="Cambria Math" w:hAnsi="Cambria Math"/>
            </w:rPr>
            <m:t>GLI</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e>
              </m:d>
              <m:r>
                <m:rPr>
                  <m:sty m:val="p"/>
                </m:rPr>
                <w:rPr>
                  <w:rFonts w:ascii="Cambria Math" w:hAnsi="Cambria Math"/>
                </w:rPr>
                <m:t>+</m:t>
              </m:r>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e>
              </m:d>
            </m:num>
            <m:den>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550</m:t>
                      </m:r>
                    </m:e>
                  </m:d>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den>
          </m:f>
          <m:r>
            <w:rPr>
              <w:rFonts w:ascii="Cambria Math" w:hAnsi="Cambria Math"/>
            </w:rPr>
            <m:t>  </m:t>
          </m:r>
          <m:d>
            <m:dPr>
              <m:ctrlPr>
                <w:rPr>
                  <w:rFonts w:ascii="Cambria Math" w:hAnsi="Cambria Math"/>
                </w:rPr>
              </m:ctrlPr>
            </m:dPr>
            <m:e>
              <m:r>
                <w:rPr>
                  <w:rFonts w:ascii="Cambria Math" w:hAnsi="Cambria Math"/>
                </w:rPr>
                <m:t>2</m:t>
              </m:r>
            </m:e>
          </m:d>
        </m:oMath>
      </m:oMathPara>
      <w:bookmarkEnd w:id="14"/>
    </w:p>
    <w:p w14:paraId="239F0BEA" w14:textId="77777777" w:rsidR="00E24035"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550</m:t>
            </m:r>
          </m:e>
        </m:d>
      </m:oMath>
      <w:r>
        <w:t xml:space="preserve"> and </w:t>
      </w:r>
      <m:oMath>
        <m:r>
          <w:rPr>
            <w:rFonts w:ascii="Cambria Math" w:hAnsi="Cambria Math"/>
          </w:rPr>
          <m:t>R</m:t>
        </m:r>
        <m:d>
          <m:dPr>
            <m:ctrlPr>
              <w:rPr>
                <w:rFonts w:ascii="Cambria Math" w:hAnsi="Cambria Math"/>
              </w:rPr>
            </m:ctrlPr>
          </m:dPr>
          <m:e>
            <m:r>
              <w:rPr>
                <w:rFonts w:ascii="Cambria Math" w:hAnsi="Cambria Math"/>
              </w:rPr>
              <m:t>450</m:t>
            </m:r>
          </m:e>
        </m:d>
      </m:oMath>
      <w:r>
        <w:t xml:space="preserve"> are the reflectance in the green (at 550 nm) and in the blue (at 450 nm) spectral bands, respectively. (Davies et al., 2023) Based on the observed spectral </w:t>
      </w:r>
      <w:r>
        <w:lastRenderedPageBreak/>
        <w:t>changes in seagrasses exposed to HWs, we developed a new radiometric index to better detect the radiometric caused by the HW. The browning of the leaves was characterized by substantial radiometric changes in both the green and red-edge spectral regions. The seagrass Heat Shock Index (SHSI) was introduced as the reflectance line height at 740 nm, compared to the 560 - 842 nm baseline (</w:t>
      </w:r>
      <w:hyperlink w:anchor="fig-SHSI">
        <w:r>
          <w:rPr>
            <w:rStyle w:val="Hyperlink"/>
          </w:rPr>
          <w:t>Figure 3</w:t>
        </w:r>
      </w:hyperlink>
      <w:r>
        <w:t>). Namely the SHSI subtract the reflectance observed at 740 nm to the interpolated reflectance between 560 and 842 nm, so that the index is positive in the case of brown, HW-impacted seagrass leaves, and negative in the case of green, non-impacted leaves:</w:t>
      </w:r>
    </w:p>
    <w:p w14:paraId="2798D8B1" w14:textId="77777777" w:rsidR="00E24035" w:rsidRDefault="00000000">
      <w:pPr>
        <w:pStyle w:val="BodyText"/>
      </w:pPr>
      <w:bookmarkStart w:id="15" w:name="eq-SDI"/>
      <m:oMathPara>
        <m:oMathParaPr>
          <m:jc m:val="center"/>
        </m:oMathParaPr>
        <m:oMath>
          <m:r>
            <m:rPr>
              <m:nor/>
            </m:rPr>
            <m:t>SHSI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SHSI</m:t>
              </m:r>
            </m:sub>
          </m:sSub>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740</m:t>
              </m:r>
            </m:e>
          </m:d>
          <m:r>
            <w:rPr>
              <w:rFonts w:ascii="Cambria Math" w:hAnsi="Cambria Math"/>
            </w:rPr>
            <m:t>  </m:t>
          </m:r>
          <m:d>
            <m:dPr>
              <m:ctrlPr>
                <w:rPr>
                  <w:rFonts w:ascii="Cambria Math" w:hAnsi="Cambria Math"/>
                </w:rPr>
              </m:ctrlPr>
            </m:dPr>
            <m:e>
              <m:r>
                <w:rPr>
                  <w:rFonts w:ascii="Cambria Math" w:hAnsi="Cambria Math"/>
                </w:rPr>
                <m:t>3</m:t>
              </m:r>
            </m:e>
          </m:d>
        </m:oMath>
      </m:oMathPara>
      <w:bookmarkEnd w:id="15"/>
    </w:p>
    <w:p w14:paraId="2DBDB91F" w14:textId="77777777" w:rsidR="00E24035" w:rsidRDefault="00000000">
      <w:pPr>
        <w:pStyle w:val="FirstParagraph"/>
      </w:pPr>
      <w:r>
        <w:t>where :</w:t>
      </w:r>
    </w:p>
    <w:p w14:paraId="6273A44A" w14:textId="77777777" w:rsidR="00E24035"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SHSI</m:t>
              </m:r>
            </m:sub>
          </m:sSub>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r>
            <m:rPr>
              <m:sty m:val="p"/>
            </m:rPr>
            <w:rPr>
              <w:rFonts w:ascii="Cambria Math" w:hAnsi="Cambria Math"/>
            </w:rPr>
            <m:t>+</m:t>
          </m:r>
          <m:r>
            <w:rPr>
              <w:rFonts w:ascii="Cambria Math" w:hAnsi="Cambria Math"/>
            </w:rPr>
            <m:t>τ</m:t>
          </m:r>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842</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e>
          </m:d>
        </m:oMath>
      </m:oMathPara>
    </w:p>
    <w:p w14:paraId="09729669" w14:textId="77777777" w:rsidR="00E24035" w:rsidRDefault="00000000">
      <w:pPr>
        <w:pStyle w:val="FirstParagraph"/>
      </w:pPr>
      <w:r>
        <w:t>and :</w:t>
      </w:r>
    </w:p>
    <w:p w14:paraId="0C00E05D" w14:textId="77777777" w:rsidR="00E24035" w:rsidRDefault="00000000">
      <w:pPr>
        <w:pStyle w:val="BodyText"/>
      </w:pPr>
      <m:oMathPara>
        <m:oMathParaPr>
          <m:jc m:val="center"/>
        </m:oMathParaPr>
        <m:oMath>
          <m:r>
            <w:rPr>
              <w:rFonts w:ascii="Cambria Math" w:hAnsi="Cambria Math"/>
            </w:rPr>
            <m:t>τ</m:t>
          </m:r>
          <m:r>
            <m:rPr>
              <m:sty m:val="p"/>
            </m:rPr>
            <w:rPr>
              <w:rFonts w:ascii="Cambria Math" w:hAnsi="Cambria Math"/>
            </w:rPr>
            <m:t>=</m:t>
          </m:r>
          <m:f>
            <m:fPr>
              <m:ctrlPr>
                <w:rPr>
                  <w:rFonts w:ascii="Cambria Math" w:hAnsi="Cambria Math"/>
                </w:rPr>
              </m:ctrlPr>
            </m:fPr>
            <m:num>
              <m:r>
                <w:rPr>
                  <w:rFonts w:ascii="Cambria Math" w:hAnsi="Cambria Math"/>
                </w:rPr>
                <m:t>740</m:t>
              </m:r>
              <m:r>
                <m:rPr>
                  <m:sty m:val="p"/>
                </m:rPr>
                <w:rPr>
                  <w:rFonts w:ascii="Cambria Math" w:hAnsi="Cambria Math"/>
                </w:rPr>
                <m:t>-</m:t>
              </m:r>
              <m:r>
                <w:rPr>
                  <w:rFonts w:ascii="Cambria Math" w:hAnsi="Cambria Math"/>
                </w:rPr>
                <m:t>560</m:t>
              </m:r>
            </m:num>
            <m:den>
              <m:r>
                <w:rPr>
                  <w:rFonts w:ascii="Cambria Math" w:hAnsi="Cambria Math"/>
                </w:rPr>
                <m:t>842</m:t>
              </m:r>
              <m:r>
                <m:rPr>
                  <m:sty m:val="p"/>
                </m:rPr>
                <w:rPr>
                  <w:rFonts w:ascii="Cambria Math" w:hAnsi="Cambria Math"/>
                </w:rPr>
                <m:t>-</m:t>
              </m:r>
              <m:r>
                <w:rPr>
                  <w:rFonts w:ascii="Cambria Math" w:hAnsi="Cambria Math"/>
                </w:rPr>
                <m:t>560</m:t>
              </m:r>
            </m:den>
          </m:f>
        </m:oMath>
      </m:oMathPara>
    </w:p>
    <w:p w14:paraId="18ABF554" w14:textId="77777777" w:rsidR="00E24035"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560</m:t>
            </m:r>
          </m:e>
        </m:d>
      </m:oMath>
      <w:r>
        <w:t xml:space="preserve">, </w:t>
      </w:r>
      <m:oMath>
        <m:r>
          <w:rPr>
            <w:rFonts w:ascii="Cambria Math" w:hAnsi="Cambria Math"/>
          </w:rPr>
          <m:t>R</m:t>
        </m:r>
        <m:d>
          <m:dPr>
            <m:ctrlPr>
              <w:rPr>
                <w:rFonts w:ascii="Cambria Math" w:hAnsi="Cambria Math"/>
              </w:rPr>
            </m:ctrlPr>
          </m:dPr>
          <m:e>
            <m:r>
              <w:rPr>
                <w:rFonts w:ascii="Cambria Math" w:hAnsi="Cambria Math"/>
              </w:rPr>
              <m:t>740</m:t>
            </m:r>
          </m:e>
        </m:d>
      </m:oMath>
      <w:r>
        <w:t xml:space="preserve">, and </w:t>
      </w:r>
      <m:oMath>
        <m:r>
          <w:rPr>
            <w:rFonts w:ascii="Cambria Math" w:hAnsi="Cambria Math"/>
          </w:rPr>
          <m:t>R</m:t>
        </m:r>
        <m:d>
          <m:dPr>
            <m:ctrlPr>
              <w:rPr>
                <w:rFonts w:ascii="Cambria Math" w:hAnsi="Cambria Math"/>
              </w:rPr>
            </m:ctrlPr>
          </m:dPr>
          <m:e>
            <m:r>
              <w:rPr>
                <w:rFonts w:ascii="Cambria Math" w:hAnsi="Cambria Math"/>
              </w:rPr>
              <m:t>842</m:t>
            </m:r>
          </m:e>
        </m:d>
      </m:oMath>
      <w:r>
        <w:t xml:space="preserve"> represent the reflectance at 560, 740, and 842 nm, respectively. These wavelengths were selected to align with the spectral resolution of satellites missions such as Sentinel-2, for broader remote sensing application.</w:t>
      </w:r>
    </w:p>
    <w:tbl>
      <w:tblPr>
        <w:tblStyle w:val="Table"/>
        <w:tblW w:w="5000" w:type="pct"/>
        <w:tblLayout w:type="fixed"/>
        <w:tblLook w:val="0000" w:firstRow="0" w:lastRow="0" w:firstColumn="0" w:lastColumn="0" w:noHBand="0" w:noVBand="0"/>
      </w:tblPr>
      <w:tblGrid>
        <w:gridCol w:w="9360"/>
      </w:tblGrid>
      <w:tr w:rsidR="00E24035" w14:paraId="22DC5E32" w14:textId="77777777">
        <w:tc>
          <w:tcPr>
            <w:tcW w:w="7920" w:type="dxa"/>
          </w:tcPr>
          <w:p w14:paraId="17EF4B12" w14:textId="77777777" w:rsidR="00E24035" w:rsidRDefault="00000000">
            <w:pPr>
              <w:pStyle w:val="Compact"/>
              <w:jc w:val="center"/>
            </w:pPr>
            <w:bookmarkStart w:id="16" w:name="fig-SHSI"/>
            <w:bookmarkStart w:id="17" w:name="cell-fig-SHSI"/>
            <w:r>
              <w:rPr>
                <w:noProof/>
              </w:rPr>
              <w:lastRenderedPageBreak/>
              <w:drawing>
                <wp:inline distT="0" distB="0" distL="0" distR="0" wp14:anchorId="56A3D6C3" wp14:editId="6672E3B5">
                  <wp:extent cx="5646420" cy="564642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s/High_res/Plot_explain_SHSI.png"/>
                          <pic:cNvPicPr>
                            <a:picLocks noChangeAspect="1" noChangeArrowheads="1"/>
                          </pic:cNvPicPr>
                        </pic:nvPicPr>
                        <pic:blipFill>
                          <a:blip r:embed="rId9"/>
                          <a:stretch>
                            <a:fillRect/>
                          </a:stretch>
                        </pic:blipFill>
                        <pic:spPr bwMode="auto">
                          <a:xfrm>
                            <a:off x="0" y="0"/>
                            <a:ext cx="5646420" cy="5646420"/>
                          </a:xfrm>
                          <a:prstGeom prst="rect">
                            <a:avLst/>
                          </a:prstGeom>
                          <a:noFill/>
                          <a:ln w="9525">
                            <a:noFill/>
                            <a:headEnd/>
                            <a:tailEnd/>
                          </a:ln>
                        </pic:spPr>
                      </pic:pic>
                    </a:graphicData>
                  </a:graphic>
                </wp:inline>
              </w:drawing>
            </w:r>
          </w:p>
          <w:p w14:paraId="521FA3D1" w14:textId="77777777" w:rsidR="00E24035" w:rsidRDefault="00000000">
            <w:pPr>
              <w:pStyle w:val="ImageCaption"/>
              <w:spacing w:before="200"/>
            </w:pPr>
            <w:r>
              <w:t>Figure 3: Computation of the reflectance Seagrass Heat Shock Index (SHSI) for Impacted (A) and Unimpacted (B) seagrass leaves. The dashed line represents the reflectance interpolation between 560 and 842 nm. The red vertical at 740 nm represents the SHSI line height.</w:t>
            </w:r>
          </w:p>
        </w:tc>
        <w:bookmarkEnd w:id="16"/>
      </w:tr>
    </w:tbl>
    <w:p w14:paraId="7B1672C3" w14:textId="77777777" w:rsidR="00E24035" w:rsidRDefault="00000000">
      <w:pPr>
        <w:pStyle w:val="Heading2"/>
      </w:pPr>
      <w:bookmarkStart w:id="18" w:name="X53c8231f04157ff9451ec0257d89262a154cfec"/>
      <w:bookmarkEnd w:id="3"/>
      <w:bookmarkEnd w:id="10"/>
      <w:bookmarkEnd w:id="12"/>
      <w:bookmarkEnd w:id="17"/>
      <w:r>
        <w:t>3.2 Observation of a seagrass bed impacted by a HWs</w:t>
      </w:r>
    </w:p>
    <w:p w14:paraId="273D9170" w14:textId="77777777" w:rsidR="00E24035" w:rsidRDefault="00000000">
      <w:pPr>
        <w:pStyle w:val="FirstParagraph"/>
      </w:pPr>
      <w:r>
        <w:t xml:space="preserve">Field measurements were taken the 10th of September 2021 after an atmospheric and marine heatwave in order to assess the impact of heat stress on seagrass. The study site was a seagrass meadow near Quiberon (France : 46°57’32.0”N, 2°10’37.0”W, </w:t>
      </w:r>
      <w:hyperlink w:anchor="fig-quiberonMap">
        <w:r>
          <w:rPr>
            <w:rStyle w:val="Hyperlink"/>
          </w:rPr>
          <w:t>Figure 4</w:t>
        </w:r>
      </w:hyperlink>
      <w:r>
        <w:t xml:space="preserve">). Brown seagrass leaves were observed over large patches of the meadow alongside areas </w:t>
      </w:r>
      <w:r>
        <w:lastRenderedPageBreak/>
        <w:t>covered by green seagrass (</w:t>
      </w:r>
      <w:hyperlink w:anchor="fig-QuiberonImg">
        <w:r>
          <w:rPr>
            <w:rStyle w:val="Hyperlink"/>
          </w:rPr>
          <w:t>Figure 5</w:t>
        </w:r>
      </w:hyperlink>
      <w:r>
        <w:t>). A total of 96 Quadrat Points (QPs) were collected as georeferenced quadrat images across the meadow. These images allowed for visual assessment of vegetation type, density, and coloration. The quadrats were then divided into two categories: green seagrasses (henceforth: QPs unimpacted) and brown seagrasses (henceforth: QPs impacted), based on a visual estimation of the leaf coloration (</w:t>
      </w:r>
      <w:hyperlink w:anchor="fig-quiberonMap">
        <w:r>
          <w:rPr>
            <w:rStyle w:val="Hyperlink"/>
          </w:rPr>
          <w:t>Figure 4</w:t>
        </w:r>
      </w:hyperlink>
      <w:r>
        <w:t>).</w:t>
      </w:r>
    </w:p>
    <w:tbl>
      <w:tblPr>
        <w:tblStyle w:val="Table"/>
        <w:tblW w:w="5000" w:type="pct"/>
        <w:tblLayout w:type="fixed"/>
        <w:tblLook w:val="0000" w:firstRow="0" w:lastRow="0" w:firstColumn="0" w:lastColumn="0" w:noHBand="0" w:noVBand="0"/>
      </w:tblPr>
      <w:tblGrid>
        <w:gridCol w:w="9360"/>
      </w:tblGrid>
      <w:tr w:rsidR="00E24035" w14:paraId="20C5632B" w14:textId="77777777">
        <w:tc>
          <w:tcPr>
            <w:tcW w:w="7920" w:type="dxa"/>
          </w:tcPr>
          <w:p w14:paraId="00012D10" w14:textId="77777777" w:rsidR="00E24035" w:rsidRDefault="00000000">
            <w:pPr>
              <w:pStyle w:val="Compact"/>
              <w:jc w:val="center"/>
            </w:pPr>
            <w:bookmarkStart w:id="19" w:name="fig-quiberonMap"/>
            <w:bookmarkStart w:id="20" w:name="cell-fig-quiberonMap"/>
            <w:r>
              <w:rPr>
                <w:noProof/>
              </w:rPr>
              <w:drawing>
                <wp:inline distT="0" distB="0" distL="0" distR="0" wp14:anchorId="60969408" wp14:editId="0BB9EBB9">
                  <wp:extent cx="5646420" cy="564642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s/Low_res/Quiberon_map.png"/>
                          <pic:cNvPicPr>
                            <a:picLocks noChangeAspect="1" noChangeArrowheads="1"/>
                          </pic:cNvPicPr>
                        </pic:nvPicPr>
                        <pic:blipFill>
                          <a:blip r:embed="rId10"/>
                          <a:stretch>
                            <a:fillRect/>
                          </a:stretch>
                        </pic:blipFill>
                        <pic:spPr bwMode="auto">
                          <a:xfrm>
                            <a:off x="0" y="0"/>
                            <a:ext cx="5646420" cy="5646420"/>
                          </a:xfrm>
                          <a:prstGeom prst="rect">
                            <a:avLst/>
                          </a:prstGeom>
                          <a:noFill/>
                          <a:ln w="9525">
                            <a:noFill/>
                            <a:headEnd/>
                            <a:tailEnd/>
                          </a:ln>
                        </pic:spPr>
                      </pic:pic>
                    </a:graphicData>
                  </a:graphic>
                </wp:inline>
              </w:drawing>
            </w:r>
          </w:p>
          <w:p w14:paraId="482A7B34" w14:textId="77777777" w:rsidR="00E24035" w:rsidRDefault="00000000">
            <w:pPr>
              <w:pStyle w:val="ImageCaption"/>
              <w:spacing w:before="200"/>
            </w:pPr>
            <w:r>
              <w:t xml:space="preserve">Figure 4: Location of field observation in a seagrass meadow impacted by a HW that occurred on the 10th of September 2021 in Quiberon, South Brittany, France. The red line indicates the </w:t>
            </w:r>
            <w:r>
              <w:lastRenderedPageBreak/>
              <w:t xml:space="preserve">intertidal zone (Zone between high tide and low tide, exposed during low tide), the dark green area indicates the extent of the seagrass meadow and the olive polygons indicate saltmarshes. Green points indicate the location of quadrat pictures over unimpacted seagrasses (i.e. showing a green colour on the field), and orange points indicate the location of quadrats taken over impacted seagrasses (i.e. showing a brown color on the field, </w:t>
            </w:r>
            <w:hyperlink w:anchor="fig-QuiberonImg">
              <w:r>
                <w:rPr>
                  <w:rStyle w:val="Hyperlink"/>
                </w:rPr>
                <w:t>Figure 5</w:t>
              </w:r>
            </w:hyperlink>
            <w:r>
              <w:t>).</w:t>
            </w:r>
          </w:p>
        </w:tc>
        <w:bookmarkEnd w:id="19"/>
      </w:tr>
      <w:tr w:rsidR="00E24035" w14:paraId="42DE05CC" w14:textId="77777777">
        <w:tc>
          <w:tcPr>
            <w:tcW w:w="7920" w:type="dxa"/>
          </w:tcPr>
          <w:p w14:paraId="4F7A31D3" w14:textId="77777777" w:rsidR="00E24035" w:rsidRDefault="00000000">
            <w:pPr>
              <w:pStyle w:val="Compact"/>
              <w:jc w:val="center"/>
            </w:pPr>
            <w:bookmarkStart w:id="21" w:name="fig-QuiberonImg"/>
            <w:bookmarkStart w:id="22" w:name="cell-fig-QuiberonImg"/>
            <w:bookmarkEnd w:id="20"/>
            <w:r>
              <w:rPr>
                <w:noProof/>
              </w:rPr>
              <w:lastRenderedPageBreak/>
              <w:drawing>
                <wp:inline distT="0" distB="0" distL="0" distR="0" wp14:anchorId="7694D280" wp14:editId="6ABE4D79">
                  <wp:extent cx="5623145" cy="3728026"/>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Figs/Low_res/img_Quiberon.png"/>
                          <pic:cNvPicPr>
                            <a:picLocks noChangeAspect="1" noChangeArrowheads="1"/>
                          </pic:cNvPicPr>
                        </pic:nvPicPr>
                        <pic:blipFill>
                          <a:blip r:embed="rId11"/>
                          <a:stretch>
                            <a:fillRect/>
                          </a:stretch>
                        </pic:blipFill>
                        <pic:spPr bwMode="auto">
                          <a:xfrm>
                            <a:off x="0" y="0"/>
                            <a:ext cx="5626192" cy="3730046"/>
                          </a:xfrm>
                          <a:prstGeom prst="rect">
                            <a:avLst/>
                          </a:prstGeom>
                          <a:noFill/>
                          <a:ln w="9525">
                            <a:noFill/>
                            <a:headEnd/>
                            <a:tailEnd/>
                          </a:ln>
                        </pic:spPr>
                      </pic:pic>
                    </a:graphicData>
                  </a:graphic>
                </wp:inline>
              </w:drawing>
            </w:r>
          </w:p>
          <w:p w14:paraId="1DD65740" w14:textId="77777777" w:rsidR="00E24035" w:rsidRDefault="00000000">
            <w:pPr>
              <w:pStyle w:val="ImageCaption"/>
              <w:spacing w:before="200"/>
            </w:pPr>
            <w:r>
              <w:t xml:space="preserve">Figure 5: Illustration of the two colorations of seagrass leaves observed </w:t>
            </w:r>
            <w:r>
              <w:rPr>
                <w:iCs/>
              </w:rPr>
              <w:t>in situ</w:t>
            </w:r>
            <w:r>
              <w:t xml:space="preserve"> the 10th of September 2021 after a heatwave in Quiberon, South Brittany (France). A: Picture of a zone with both green and brown seagrass; B: Seagrass quadrat with green leaves; C: Seagrass quadrat with brown leaves; D: Picture of a zone where all leaves turned brown.</w:t>
            </w:r>
          </w:p>
        </w:tc>
        <w:bookmarkEnd w:id="21"/>
      </w:tr>
    </w:tbl>
    <w:p w14:paraId="5A912AE4" w14:textId="77777777" w:rsidR="00E24035" w:rsidRDefault="00000000">
      <w:pPr>
        <w:pStyle w:val="Heading3"/>
      </w:pPr>
      <w:bookmarkStart w:id="23" w:name="temperature-data-and-hw-detection"/>
      <w:bookmarkEnd w:id="22"/>
      <w:r>
        <w:t>3.2.1 Temperature data and HW detection</w:t>
      </w:r>
    </w:p>
    <w:p w14:paraId="0E27471F" w14:textId="77777777" w:rsidR="00E24035" w:rsidRDefault="00000000">
      <w:pPr>
        <w:pStyle w:val="Heading4"/>
      </w:pPr>
      <w:bookmarkStart w:id="24" w:name="air-temperature"/>
      <w:r>
        <w:t>3.2.1.1 Air temperature</w:t>
      </w:r>
    </w:p>
    <w:p w14:paraId="13E01F05" w14:textId="77777777" w:rsidR="00E24035" w:rsidRDefault="00000000">
      <w:pPr>
        <w:pStyle w:val="FirstParagraph"/>
      </w:pPr>
      <w:r>
        <w:t xml:space="preserve">Since 2024, Meteo France weather data has been freely and openly accessible. Hourly air temperature data from a nearby weather station (Lorient-Lann Bihoue, 47°45’46”N 3°26’11”W) was retrieved using a </w:t>
      </w:r>
      <w:hyperlink r:id="rId12">
        <w:r>
          <w:rPr>
            <w:rStyle w:val="Hyperlink"/>
          </w:rPr>
          <w:t>custom script</w:t>
        </w:r>
      </w:hyperlink>
      <w:r>
        <w:t xml:space="preserve"> as no API was available at the time of this study. For this station more than 395,000 hourly observations were available since 1952.</w:t>
      </w:r>
    </w:p>
    <w:p w14:paraId="1812C37B" w14:textId="77777777" w:rsidR="00E24035" w:rsidRDefault="00000000">
      <w:pPr>
        <w:pStyle w:val="Heading4"/>
      </w:pPr>
      <w:bookmarkStart w:id="25" w:name="water-temperature"/>
      <w:bookmarkEnd w:id="24"/>
      <w:r>
        <w:lastRenderedPageBreak/>
        <w:t>3.2.1.2 Water temperature</w:t>
      </w:r>
    </w:p>
    <w:p w14:paraId="22E21629" w14:textId="77777777" w:rsidR="00E24035" w:rsidRDefault="00000000">
      <w:pPr>
        <w:pStyle w:val="FirstParagraph"/>
      </w:pPr>
      <w:r>
        <w:t>Sea Surface Temperature (SST) data from 1982 -2022 was downloaded from the Copernicus Marine Data Store (Copernicus Marine Environment Monitoring Service, CMEMS (2024)) over the Quiberon coastal area. An area of 2700 km² was extracted and analyzed. This area was large enough to minimize missing values caused by cloud cover and small enough to limit the influence of offshore SST stability.</w:t>
      </w:r>
    </w:p>
    <w:p w14:paraId="5678D984" w14:textId="77777777" w:rsidR="00E24035" w:rsidRDefault="00000000">
      <w:pPr>
        <w:pStyle w:val="Heading4"/>
      </w:pPr>
      <w:bookmarkStart w:id="26" w:name="heatwave-detection-and-characterization"/>
      <w:bookmarkEnd w:id="25"/>
      <w:r>
        <w:t>3.2.1.3 Heatwave detection and characterization</w:t>
      </w:r>
    </w:p>
    <w:p w14:paraId="753D86C0" w14:textId="77777777" w:rsidR="00E24035" w:rsidRDefault="00000000">
      <w:pPr>
        <w:pStyle w:val="FirstParagraph"/>
      </w:pPr>
      <w:r>
        <w:t>Marine and Atmospheric Heatwave detection was performed using the HeatwaveR package in R (Schlegel and Smit, 2018). This package utilizes the methodology proposed by Hobday et al. (2016) to detect HW events. The annual climatology of both air and water temperature was computed. Heatwaves were defined as events when the temperature exceeded the 90th percentile of the climatology during three consecutive days. The severity of each event has been assessed using the methodology proposed by Hobday et al. (2018).</w:t>
      </w:r>
    </w:p>
    <w:p w14:paraId="54675FDF" w14:textId="77777777" w:rsidR="00E24035" w:rsidRDefault="00000000">
      <w:pPr>
        <w:pStyle w:val="Heading3"/>
      </w:pPr>
      <w:bookmarkStart w:id="27" w:name="satellite-observations"/>
      <w:bookmarkEnd w:id="23"/>
      <w:bookmarkEnd w:id="26"/>
      <w:r>
        <w:t>3.2.2 Satellite observations</w:t>
      </w:r>
    </w:p>
    <w:p w14:paraId="1CD5CC0D" w14:textId="77777777" w:rsidR="00E24035" w:rsidRDefault="00000000">
      <w:pPr>
        <w:pStyle w:val="FirstParagraph"/>
      </w:pPr>
      <w:r>
        <w:t>Three Sentinel-2 images of the study site were selected in 2021 to assess the effect of the HW on the seagrass meadow: the first image was taken 5 days before the HW (1st of September 2021), the second image during the HW (6th of September 2021) and the third image one month later (8th of October 2021). Level-2 data was downloaded from the Copernicus open access hub (European Space Agency, 2024a) provided by the European Space Agency (ESA). Level-2 images consist of orthorectified surface reflectance corrected from the effect of the atmosphere using ESA standard correction (i.e., Sen2cor, European Space Agency (2024b)).</w:t>
      </w:r>
    </w:p>
    <w:p w14:paraId="5101C0A0" w14:textId="77777777" w:rsidR="00E24035" w:rsidRDefault="00000000">
      <w:pPr>
        <w:pStyle w:val="BodyText"/>
      </w:pPr>
      <w:r>
        <w:t xml:space="preserve">The seagrass heat shock index (SHSI, </w:t>
      </w:r>
      <w:hyperlink w:anchor="eq-SDI">
        <w:r>
          <w:rPr>
            <w:rStyle w:val="Hyperlink"/>
          </w:rPr>
          <w:t>Equation 3</w:t>
        </w:r>
      </w:hyperlink>
      <w:r>
        <w:t>) was computed and mapped for each image. For the pixel containing a field QP (</w:t>
      </w:r>
      <w:hyperlink w:anchor="fig-quiberonMap">
        <w:r>
          <w:rPr>
            <w:rStyle w:val="Hyperlink"/>
          </w:rPr>
          <w:t>Figure 4</w:t>
        </w:r>
      </w:hyperlink>
      <w:r>
        <w:t>), the satellite-derived reflectance was extracted, and compared before and after the HW event.</w:t>
      </w:r>
    </w:p>
    <w:p w14:paraId="4B4792EA" w14:textId="77777777" w:rsidR="00E24035" w:rsidRDefault="00000000">
      <w:pPr>
        <w:pStyle w:val="Heading3"/>
      </w:pPr>
      <w:bookmarkStart w:id="28" w:name="emersion-time-of-the-seagrass-meadow"/>
      <w:bookmarkEnd w:id="27"/>
      <w:r>
        <w:lastRenderedPageBreak/>
        <w:t>3.2.3 Emersion time of the seagrass meadow</w:t>
      </w:r>
    </w:p>
    <w:p w14:paraId="13DBFE37" w14:textId="77777777" w:rsidR="00E24035" w:rsidRDefault="00000000">
      <w:pPr>
        <w:pStyle w:val="FirstParagraph"/>
      </w:pPr>
      <w:r>
        <w:t>The post-HW seagrass discoloration is likely related to the emersion time and intertidal topography. The spatial distribution of seagrass emersion time during low tide was estimated using bathymetric and water level data. High resolution bathymetry data (Litto3D® product) for the Quiberon intertidal meadow was sourced from the “Service Hydrographique et Océanographique de la Marine” (@ SHOM, 2021). This product is a three-dimensional land-sea elevation database with 1m of spatial resolution, accurately depicting the coastal terrain of the French shores. It uses the NGF/IGN69 reference “zero”, which corresponds to the mean sea level recorded at the Marseille tide gauge between 1885 and 1897, commonly known as the “Terrestrial Altimetric Zero”.</w:t>
      </w:r>
    </w:p>
    <w:p w14:paraId="79B44A56" w14:textId="77777777" w:rsidR="00E24035" w:rsidRDefault="00000000">
      <w:pPr>
        <w:pStyle w:val="BodyText"/>
      </w:pPr>
      <w:r>
        <w:t>Water level at one-minute intervals data during the HW event were downloaded from the Intergovernmental Oceanographic Commission data portal (IOC, 2024), using measurements from the nearest tide gauge at Le Crouesty. In this dataset, the reference “zero” corresponds to the lowest astronomical tide, also known as the Hydrographic Zero.</w:t>
      </w:r>
    </w:p>
    <w:p w14:paraId="1494B497" w14:textId="77777777" w:rsidR="00E24035" w:rsidRDefault="00000000">
      <w:pPr>
        <w:pStyle w:val="BodyText"/>
      </w:pPr>
      <w:r>
        <w:t>Before calculating the emersion time, both datasets were inter-calibrated to a common altitude reference. This involved applying a correction factor to the Litto3D data to align it with the Hydrographic zero. SHOM annually publishes a document called “Références Altimétriques Marines” (RAM, SHOM, 2022), which provides the correction factors for each station of reference along the French coastline. The correction factor for Le Crouesty port data for 2022 was 2.85 m.</w:t>
      </w:r>
    </w:p>
    <w:p w14:paraId="27E0B556" w14:textId="77777777" w:rsidR="00E24035" w:rsidRDefault="00000000">
      <w:pPr>
        <w:pStyle w:val="BodyText"/>
      </w:pPr>
      <w:r>
        <w:t>Once aligned, the corrected elevation was compared to water height for each pixel and each time step during the HW event. The emersion time was then calculated as the daily total time each pixel remained exposed along the duration of the AHW.</w:t>
      </w:r>
    </w:p>
    <w:p w14:paraId="72996BB9" w14:textId="77777777" w:rsidR="00E24035" w:rsidRDefault="00000000">
      <w:pPr>
        <w:pStyle w:val="Heading2"/>
      </w:pPr>
      <w:bookmarkStart w:id="29" w:name="statistics"/>
      <w:bookmarkEnd w:id="18"/>
      <w:bookmarkEnd w:id="28"/>
      <w:r>
        <w:lastRenderedPageBreak/>
        <w:t>3.3 Statistics</w:t>
      </w:r>
    </w:p>
    <w:p w14:paraId="02C67CFD" w14:textId="77777777" w:rsidR="00E24035" w:rsidRDefault="00000000">
      <w:pPr>
        <w:pStyle w:val="FirstParagraph"/>
      </w:pPr>
      <w:r>
        <w:t>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function of Days (1-3: Discrete) with Replicate (henceforth Runs; 1-3: Factor) and Timestep within Run (1-6: Factor) as cross random factors. Satellite-derived indices were modeled as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 a Bayesian framework using the “brms” and “RStan” packages in R to leverage the stan language (Bürkner, 2021; Carpenter et al., 2017; R Core Team, 2023; Stan Development Team et al., 2020). The response variables were modeled assuming a Gaussian distribution, with weakly informative priors (Student-T(3,0,2.5)). Model parameters were estimated using Markov Chain Monte Carlo (MCMC) sampling, with 4 chains of 5000 iterations and a warm-up of 500.</w:t>
      </w:r>
    </w:p>
    <w:p w14:paraId="13B5B53A" w14:textId="77777777" w:rsidR="00E24035" w:rsidRDefault="00000000">
      <w:pPr>
        <w:pStyle w:val="Heading1"/>
      </w:pPr>
      <w:bookmarkStart w:id="30" w:name="results"/>
      <w:bookmarkEnd w:id="2"/>
      <w:bookmarkEnd w:id="29"/>
      <w:r>
        <w:t>4. Results</w:t>
      </w:r>
    </w:p>
    <w:p w14:paraId="3CF63835" w14:textId="77777777" w:rsidR="00E24035" w:rsidRDefault="00000000">
      <w:pPr>
        <w:pStyle w:val="Heading2"/>
      </w:pPr>
      <w:bookmarkStart w:id="31" w:name="laboratory-experiment-1"/>
      <w:r>
        <w:t>4.1 Laboratory Experiment</w:t>
      </w:r>
    </w:p>
    <w:p w14:paraId="4CD71455" w14:textId="77777777" w:rsidR="00E24035" w:rsidRDefault="00000000">
      <w:pPr>
        <w:pStyle w:val="Heading3"/>
      </w:pPr>
      <w:bookmarkStart w:id="32" w:name="Xe1a7b7b5932d13b2037503f99cd25d770f111ea"/>
      <w:r>
        <w:t>4.1.1 Seagrass spectra variations related to a heatwave</w:t>
      </w:r>
    </w:p>
    <w:p w14:paraId="7233DADD" w14:textId="77777777" w:rsidR="00E24035" w:rsidRDefault="00000000">
      <w:pPr>
        <w:pStyle w:val="FirstParagraph"/>
      </w:pPr>
      <w:r>
        <w:t>In the Control group, reflectance remained relatively stable over time, with only minimal changes in magnitude and spectral features (</w:t>
      </w:r>
      <w:hyperlink w:anchor="fig-Exp_Spectra">
        <w:r>
          <w:rPr>
            <w:rStyle w:val="Hyperlink"/>
          </w:rPr>
          <w:t>Figure 6</w:t>
        </w:r>
      </w:hyperlink>
      <w:r>
        <w:t>).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Figure 6</w:t>
        </w:r>
      </w:hyperlink>
      <w:r>
        <w:t>, left).</w:t>
      </w:r>
    </w:p>
    <w:p w14:paraId="4A605642" w14:textId="77777777" w:rsidR="00E24035" w:rsidRDefault="00000000">
      <w:pPr>
        <w:pStyle w:val="BodyText"/>
      </w:pPr>
      <w:r>
        <w:lastRenderedPageBreak/>
        <w:t>In contrast, the Treatment group simulated HW showed more pronounced changes in reflectance throughout the experiment (</w:t>
      </w:r>
      <w:hyperlink w:anchor="fig-Exp_Spectra">
        <w:r>
          <w:rPr>
            <w:rStyle w:val="Hyperlink"/>
          </w:rPr>
          <w:t>Figure 6</w:t>
        </w:r>
      </w:hyperlink>
      <w:r>
        <w:t>,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tbl>
      <w:tblPr>
        <w:tblStyle w:val="Table"/>
        <w:tblW w:w="5000" w:type="pct"/>
        <w:tblLayout w:type="fixed"/>
        <w:tblLook w:val="0000" w:firstRow="0" w:lastRow="0" w:firstColumn="0" w:lastColumn="0" w:noHBand="0" w:noVBand="0"/>
      </w:tblPr>
      <w:tblGrid>
        <w:gridCol w:w="9360"/>
      </w:tblGrid>
      <w:tr w:rsidR="00E24035" w14:paraId="39EB95CE" w14:textId="77777777">
        <w:tc>
          <w:tcPr>
            <w:tcW w:w="7920" w:type="dxa"/>
          </w:tcPr>
          <w:p w14:paraId="6CD9F31F" w14:textId="77777777" w:rsidR="00E24035" w:rsidRDefault="00000000">
            <w:pPr>
              <w:pStyle w:val="Compact"/>
              <w:jc w:val="center"/>
            </w:pPr>
            <w:bookmarkStart w:id="33" w:name="fig-Exp_Spectra"/>
            <w:bookmarkStart w:id="34" w:name="cell-fig-Exp_Spectra"/>
            <w:r>
              <w:rPr>
                <w:noProof/>
              </w:rPr>
              <w:drawing>
                <wp:inline distT="0" distB="0" distL="0" distR="0" wp14:anchorId="60A15066" wp14:editId="27965058">
                  <wp:extent cx="5646420" cy="2823210"/>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s/Low_res/plot_Spectra_exp.png"/>
                          <pic:cNvPicPr>
                            <a:picLocks noChangeAspect="1" noChangeArrowheads="1"/>
                          </pic:cNvPicPr>
                        </pic:nvPicPr>
                        <pic:blipFill>
                          <a:blip r:embed="rId13"/>
                          <a:stretch>
                            <a:fillRect/>
                          </a:stretch>
                        </pic:blipFill>
                        <pic:spPr bwMode="auto">
                          <a:xfrm>
                            <a:off x="0" y="0"/>
                            <a:ext cx="5646420" cy="2823210"/>
                          </a:xfrm>
                          <a:prstGeom prst="rect">
                            <a:avLst/>
                          </a:prstGeom>
                          <a:noFill/>
                          <a:ln w="9525">
                            <a:noFill/>
                            <a:headEnd/>
                            <a:tailEnd/>
                          </a:ln>
                        </pic:spPr>
                      </pic:pic>
                    </a:graphicData>
                  </a:graphic>
                </wp:inline>
              </w:drawing>
            </w:r>
          </w:p>
          <w:p w14:paraId="0050E19B" w14:textId="77777777" w:rsidR="00E24035" w:rsidRDefault="00000000">
            <w:pPr>
              <w:pStyle w:val="ImageCaption"/>
              <w:spacing w:before="200"/>
            </w:pPr>
            <w:r>
              <w:t xml:space="preserve">Figure 6: Standardized hyperspectral reflectance signature of </w:t>
            </w:r>
            <w:r>
              <w:rPr>
                <w:iCs/>
              </w:rPr>
              <w:t>Z. noltei</w:t>
            </w:r>
            <w:r>
              <w:t xml:space="preserve"> leaves measured during the HW experiment for both the Control (Left) and the Treatment (Right). Color denotes the progression along the experiment from the beginning (Day 1: green), middle (Day 2: Yellow) and end (Day 3: Brown). A min-max standardization has been applied to each individual spectrum.</w:t>
            </w:r>
          </w:p>
        </w:tc>
        <w:bookmarkEnd w:id="33"/>
      </w:tr>
    </w:tbl>
    <w:p w14:paraId="1DDED6E8" w14:textId="77777777" w:rsidR="00E24035" w:rsidRDefault="00000000">
      <w:pPr>
        <w:pStyle w:val="Heading3"/>
      </w:pPr>
      <w:bookmarkStart w:id="35" w:name="evolution-of-spectral-metrics"/>
      <w:bookmarkEnd w:id="32"/>
      <w:bookmarkEnd w:id="34"/>
      <w:r>
        <w:t>4.1.2 Evolution of spectral metrics</w:t>
      </w:r>
    </w:p>
    <w:p w14:paraId="08E746B2" w14:textId="77777777" w:rsidR="00E24035" w:rsidRDefault="00000000">
      <w:pPr>
        <w:pStyle w:val="FirstParagraph"/>
      </w:pPr>
      <w:r>
        <w:t>Similar patterns were found for the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NDVI and GLI, where the indices started similar to the control and consistently decline over the three days of experiment (</w:t>
      </w:r>
      <w:hyperlink w:anchor="fig-Exp_Spectral_indices">
        <w:r>
          <w:rPr>
            <w:rStyle w:val="Hyperlink"/>
          </w:rPr>
          <w:t>Figure 7</w:t>
        </w:r>
      </w:hyperlink>
      <w:r>
        <w:t xml:space="preserve"> A, B and C)</w:t>
      </w:r>
    </w:p>
    <w:p w14:paraId="2B8FC7EC" w14:textId="77777777" w:rsidR="00E24035" w:rsidRDefault="00000000">
      <w:pPr>
        <w:pStyle w:val="BodyText"/>
      </w:pPr>
      <w:r>
        <w:lastRenderedPageBreak/>
        <w:t xml:space="preserve">At the start of the experiment (day 1)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NDVI and GLI in the Treatment group were on average 13% greater, 3% lower and 2% lower, respectively, than that of the Control. However, by day 2, the Treatment showed a rapid decease of approximately 27%, 17% and 28%, eventually reaching a total decline of 68%, 31% and 54% by day 3.</w:t>
      </w:r>
    </w:p>
    <w:p w14:paraId="45F5777C" w14:textId="77777777" w:rsidR="00E24035" w:rsidRDefault="00000000">
      <w:pPr>
        <w:pStyle w:val="BodyText"/>
      </w:pPr>
      <w:r>
        <w:t>Unlike the other metrics, at the start of the experiment (day 1), the SHSI for the Treatment group was on average 55 % greater than that of the Control. By day 2, the SHSI for the Treatment exhibited a rapid decrease of approximately 241 %, eventually reaching a cumulative decline of 420 % by day 3 (</w:t>
      </w:r>
      <w:hyperlink w:anchor="fig-Exp_Spectral_indices">
        <w:r>
          <w:rPr>
            <w:rStyle w:val="Hyperlink"/>
          </w:rPr>
          <w:t>Figure 7</w:t>
        </w:r>
      </w:hyperlink>
      <w:r>
        <w:t xml:space="preserve"> D).</w:t>
      </w:r>
    </w:p>
    <w:p w14:paraId="74F5A636" w14:textId="77777777" w:rsidR="00E24035" w:rsidRDefault="00000000">
      <w:pPr>
        <w:pStyle w:val="BodyText"/>
      </w:pPr>
      <w:r>
        <w:t>With a maximum deviation of 420 %, SHSI emerges as the most sensitive index for detecting seagrass browning. Consequently, only this index was considered for the next steps of this study.</w:t>
      </w:r>
    </w:p>
    <w:tbl>
      <w:tblPr>
        <w:tblStyle w:val="Table"/>
        <w:tblW w:w="5000" w:type="pct"/>
        <w:tblLayout w:type="fixed"/>
        <w:tblLook w:val="0000" w:firstRow="0" w:lastRow="0" w:firstColumn="0" w:lastColumn="0" w:noHBand="0" w:noVBand="0"/>
      </w:tblPr>
      <w:tblGrid>
        <w:gridCol w:w="9360"/>
      </w:tblGrid>
      <w:tr w:rsidR="00E24035" w14:paraId="14336AF9" w14:textId="77777777">
        <w:tc>
          <w:tcPr>
            <w:tcW w:w="7920" w:type="dxa"/>
          </w:tcPr>
          <w:p w14:paraId="0EF6617A" w14:textId="77777777" w:rsidR="00E24035" w:rsidRDefault="00000000">
            <w:pPr>
              <w:pStyle w:val="Compact"/>
              <w:jc w:val="center"/>
            </w:pPr>
            <w:bookmarkStart w:id="36" w:name="fig-Exp_Spectral_indices"/>
            <w:bookmarkStart w:id="37" w:name="cell-fig-Exp_Spectral_indices"/>
            <w:r>
              <w:rPr>
                <w:noProof/>
              </w:rPr>
              <w:lastRenderedPageBreak/>
              <w:drawing>
                <wp:inline distT="0" distB="0" distL="0" distR="0" wp14:anchorId="4C94FA0A" wp14:editId="0A4922B5">
                  <wp:extent cx="5646420" cy="5646420"/>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Figs/Low_res/merged_indices.png"/>
                          <pic:cNvPicPr>
                            <a:picLocks noChangeAspect="1" noChangeArrowheads="1"/>
                          </pic:cNvPicPr>
                        </pic:nvPicPr>
                        <pic:blipFill>
                          <a:blip r:embed="rId14"/>
                          <a:stretch>
                            <a:fillRect/>
                          </a:stretch>
                        </pic:blipFill>
                        <pic:spPr bwMode="auto">
                          <a:xfrm>
                            <a:off x="0" y="0"/>
                            <a:ext cx="5646420" cy="5646420"/>
                          </a:xfrm>
                          <a:prstGeom prst="rect">
                            <a:avLst/>
                          </a:prstGeom>
                          <a:noFill/>
                          <a:ln w="9525">
                            <a:noFill/>
                            <a:headEnd/>
                            <a:tailEnd/>
                          </a:ln>
                        </pic:spPr>
                      </pic:pic>
                    </a:graphicData>
                  </a:graphic>
                </wp:inline>
              </w:drawing>
            </w:r>
          </w:p>
          <w:p w14:paraId="1D06428A" w14:textId="77777777" w:rsidR="00E24035" w:rsidRDefault="00000000">
            <w:pPr>
              <w:pStyle w:val="ImageCaption"/>
              <w:spacing w:before="200"/>
            </w:pPr>
            <w:r>
              <w:t>Figure 7: Comparison of spectral metrics for detecting reflectance changes of seagrass leaves after a HW. A: Relative difference of the second derivative at 665 nm between the Control and the Treatment over time; B: Relative difference of the NDVI; C: Relative difference of the GLI; D: Relative difference of the SHSI. Points indicate raw data, the line represents a generalized linear model, and the shaded area is the model’s standard error. The dased lines represent no difference between the Control and the Treatment.</w:t>
            </w:r>
          </w:p>
        </w:tc>
        <w:bookmarkEnd w:id="36"/>
      </w:tr>
    </w:tbl>
    <w:bookmarkEnd w:id="37"/>
    <w:p w14:paraId="139B86D6" w14:textId="77777777" w:rsidR="00E24035" w:rsidRDefault="00000000">
      <w:pPr>
        <w:pStyle w:val="BodyText"/>
      </w:pPr>
      <w:r>
        <w:t>Looking at raw SHSI values revealed clear distinctions between the Control and Treatment groups (</w:t>
      </w:r>
      <w:hyperlink w:anchor="fig-SDI_over_Time">
        <w:r>
          <w:rPr>
            <w:rStyle w:val="Hyperlink"/>
          </w:rPr>
          <w:t>Figure 8</w:t>
        </w:r>
      </w:hyperlink>
      <w:r>
        <w:t xml:space="preserve">). At day 1, the SHSI of the Control and Treatment groups are comparable, with median values of -0.11 and -0.08, respectively. By the end of the </w:t>
      </w:r>
      <w:r>
        <w:lastRenderedPageBreak/>
        <w:t>experiment, seagrasses in the Treatment group exhibited a median SHSI of 0.15, consistent with their visibly darkened appearance. In contrast, the Control group retained a green appearance throughout the experiment, with a median SHSI of -0.07.</w:t>
      </w:r>
    </w:p>
    <w:tbl>
      <w:tblPr>
        <w:tblStyle w:val="Table"/>
        <w:tblW w:w="5000" w:type="pct"/>
        <w:tblLayout w:type="fixed"/>
        <w:tblLook w:val="0000" w:firstRow="0" w:lastRow="0" w:firstColumn="0" w:lastColumn="0" w:noHBand="0" w:noVBand="0"/>
      </w:tblPr>
      <w:tblGrid>
        <w:gridCol w:w="9360"/>
      </w:tblGrid>
      <w:tr w:rsidR="00E24035" w14:paraId="786A53B3" w14:textId="77777777">
        <w:tc>
          <w:tcPr>
            <w:tcW w:w="7920" w:type="dxa"/>
          </w:tcPr>
          <w:p w14:paraId="509071F2" w14:textId="77777777" w:rsidR="00E24035" w:rsidRDefault="00000000">
            <w:pPr>
              <w:pStyle w:val="Compact"/>
              <w:jc w:val="center"/>
            </w:pPr>
            <w:bookmarkStart w:id="38" w:name="fig-SDI_over_Time"/>
            <w:bookmarkStart w:id="39" w:name="cell-fig-SDI_over_Time"/>
            <w:r>
              <w:rPr>
                <w:noProof/>
              </w:rPr>
              <w:drawing>
                <wp:inline distT="0" distB="0" distL="0" distR="0" wp14:anchorId="32C541C3" wp14:editId="54789EAB">
                  <wp:extent cx="5646420" cy="3387852"/>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s/Low_res/SDI_exp_overtime.png"/>
                          <pic:cNvPicPr>
                            <a:picLocks noChangeAspect="1" noChangeArrowheads="1"/>
                          </pic:cNvPicPr>
                        </pic:nvPicPr>
                        <pic:blipFill>
                          <a:blip r:embed="rId15"/>
                          <a:stretch>
                            <a:fillRect/>
                          </a:stretch>
                        </pic:blipFill>
                        <pic:spPr bwMode="auto">
                          <a:xfrm>
                            <a:off x="0" y="0"/>
                            <a:ext cx="5646420" cy="3387852"/>
                          </a:xfrm>
                          <a:prstGeom prst="rect">
                            <a:avLst/>
                          </a:prstGeom>
                          <a:noFill/>
                          <a:ln w="9525">
                            <a:noFill/>
                            <a:headEnd/>
                            <a:tailEnd/>
                          </a:ln>
                        </pic:spPr>
                      </pic:pic>
                    </a:graphicData>
                  </a:graphic>
                </wp:inline>
              </w:drawing>
            </w:r>
          </w:p>
          <w:p w14:paraId="50701F37" w14:textId="77777777" w:rsidR="00E24035" w:rsidRDefault="00000000">
            <w:pPr>
              <w:pStyle w:val="ImageCaption"/>
              <w:spacing w:before="200"/>
            </w:pPr>
            <w:r>
              <w:t>Figure 8: Median and standard deviation of the Seagrass Heat Shock Index (SHSI) across expimental runs, at each day of the experiment. The green line shows values of the Control group while the orange line indicates values of the Treatment group.</w:t>
            </w:r>
          </w:p>
        </w:tc>
        <w:bookmarkEnd w:id="38"/>
      </w:tr>
    </w:tbl>
    <w:p w14:paraId="2219E840" w14:textId="77777777" w:rsidR="00E24035" w:rsidRDefault="00000000">
      <w:pPr>
        <w:pStyle w:val="Heading2"/>
      </w:pPr>
      <w:bookmarkStart w:id="40" w:name="X8f6520fb2cd603cd376acac4efc8d29f28e0a7a"/>
      <w:bookmarkEnd w:id="31"/>
      <w:bookmarkEnd w:id="35"/>
      <w:bookmarkEnd w:id="39"/>
      <w:r>
        <w:t>4.2 HW of September 2021 in Quiberon, South Brittany</w:t>
      </w:r>
    </w:p>
    <w:p w14:paraId="56EF9A38" w14:textId="77777777" w:rsidR="00E24035" w:rsidRDefault="00000000">
      <w:pPr>
        <w:pStyle w:val="Heading3"/>
      </w:pPr>
      <w:bookmarkStart w:id="41" w:name="spectral-changes"/>
      <w:r>
        <w:t>4.2.1 Spectral changes</w:t>
      </w:r>
    </w:p>
    <w:p w14:paraId="40FC2E4F" w14:textId="77777777" w:rsidR="00E24035" w:rsidRDefault="00000000">
      <w:pPr>
        <w:pStyle w:val="FirstParagraph"/>
      </w:pPr>
      <w:r>
        <w:t>The Sentinel-2 images analyzed in this study corresponded to acquisitions on the 1st of September 2021 and the 6th of September 2021 (</w:t>
      </w:r>
      <w:hyperlink w:anchor="fig-S2_comparison">
        <w:r>
          <w:rPr>
            <w:rStyle w:val="Hyperlink"/>
          </w:rPr>
          <w:t>Figure 9</w:t>
        </w:r>
      </w:hyperlink>
      <w:r>
        <w:t xml:space="preserve"> A and C, respectively). The Atmospheric Heat Wave (AHW) started on the 4th of September and lasted until the 7th of September, while the Marine Heat Wave (MHW) started on the 3rd of September and ended on the 8th of September 2021 (</w:t>
      </w:r>
      <w:hyperlink w:anchor="fig-S2_comparison">
        <w:r>
          <w:rPr>
            <w:rStyle w:val="Hyperlink"/>
          </w:rPr>
          <w:t>Figure 9</w:t>
        </w:r>
      </w:hyperlink>
      <w:r>
        <w:t xml:space="preserve"> B). Both air and water temperatures experienced a sharp increase. Between September 1st and 6th, the daily average air temperature rose from 22.2 to 30.8 while the daily average water temperature increased </w:t>
      </w:r>
      <w:r>
        <w:lastRenderedPageBreak/>
        <w:t>from 17.7 to 19.3 °C. During this period, the 90th percentile temperatures were 25.3 °C for air and 18.8 °C for water. The air temperature anomaly of 9.9 °C classified the AHW as a strong event, whereas the 1.7 °C anomaly in water temperature classified the MHW as a moderate event.</w:t>
      </w:r>
    </w:p>
    <w:p w14:paraId="25896FFB" w14:textId="77777777" w:rsidR="00E24035" w:rsidRDefault="00000000">
      <w:pPr>
        <w:pStyle w:val="BodyText"/>
      </w:pPr>
      <w:r>
        <w:t>The Sentinel-2 image from the 6th of September, captured two days after the start of the AHW already revealed brown seagrass leaves in the true-color composition (</w:t>
      </w:r>
      <w:hyperlink w:anchor="fig-S2_comparison">
        <w:r>
          <w:rPr>
            <w:rStyle w:val="Hyperlink"/>
          </w:rPr>
          <w:t>Figure 9</w:t>
        </w:r>
      </w:hyperlink>
      <w:r>
        <w:t xml:space="preserve"> C). This contrasts with the reference image from the 1st of September 2021, taken before the HW began (</w:t>
      </w:r>
      <w:hyperlink w:anchor="fig-S2_comparison">
        <w:r>
          <w:rPr>
            <w:rStyle w:val="Hyperlink"/>
          </w:rPr>
          <w:t>Figure 9</w:t>
        </w:r>
      </w:hyperlink>
      <w:r>
        <w:t xml:space="preserve"> A), where no brown patches can be observed. Before the event, all QPs appeared green on the Sentinel-2 image, with similar reflectance spectra, typical of green seagrass leaves (</w:t>
      </w:r>
      <w:hyperlink w:anchor="fig-S2_comparison">
        <w:r>
          <w:rPr>
            <w:rStyle w:val="Hyperlink"/>
          </w:rPr>
          <w:t>Figure 9</w:t>
        </w:r>
      </w:hyperlink>
      <w:r>
        <w:t xml:space="preserve"> 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Figure 9</w:t>
        </w:r>
      </w:hyperlink>
      <w:r>
        <w:t xml:space="preserve"> C and E). The reflectance spectra of brown seagrass were characterized by the loss of the reflectance peak at 560 nm and a decrease in the infrared plateau, which was replaced by a steadily increasing slope up to 940 nm. The darkening of large areas within the meadow could also be observered in the true color composition (</w:t>
      </w:r>
      <w:hyperlink w:anchor="fig-S2_comparison">
        <w:r>
          <w:rPr>
            <w:rStyle w:val="Hyperlink"/>
          </w:rPr>
          <w:t>Figure 9</w:t>
        </w:r>
      </w:hyperlink>
      <w:r>
        <w:t xml:space="preserve"> C)</w:t>
      </w:r>
    </w:p>
    <w:tbl>
      <w:tblPr>
        <w:tblStyle w:val="Table"/>
        <w:tblW w:w="5000" w:type="pct"/>
        <w:tblLayout w:type="fixed"/>
        <w:tblLook w:val="0000" w:firstRow="0" w:lastRow="0" w:firstColumn="0" w:lastColumn="0" w:noHBand="0" w:noVBand="0"/>
      </w:tblPr>
      <w:tblGrid>
        <w:gridCol w:w="9360"/>
      </w:tblGrid>
      <w:tr w:rsidR="00E24035" w14:paraId="054585D9" w14:textId="77777777">
        <w:tc>
          <w:tcPr>
            <w:tcW w:w="7920" w:type="dxa"/>
          </w:tcPr>
          <w:p w14:paraId="2499BD83" w14:textId="77777777" w:rsidR="00E24035" w:rsidRDefault="00000000">
            <w:pPr>
              <w:pStyle w:val="Compact"/>
              <w:jc w:val="center"/>
            </w:pPr>
            <w:bookmarkStart w:id="42" w:name="fig-S2_comparison"/>
            <w:bookmarkStart w:id="43" w:name="cell-fig-S2_comparison"/>
            <w:r>
              <w:rPr>
                <w:noProof/>
              </w:rPr>
              <w:lastRenderedPageBreak/>
              <w:drawing>
                <wp:inline distT="0" distB="0" distL="0" distR="0" wp14:anchorId="326BF53E" wp14:editId="72AC0D4F">
                  <wp:extent cx="5646420" cy="5392331"/>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s/Low_res/Heatwaves_S2_plot.png"/>
                          <pic:cNvPicPr>
                            <a:picLocks noChangeAspect="1" noChangeArrowheads="1"/>
                          </pic:cNvPicPr>
                        </pic:nvPicPr>
                        <pic:blipFill>
                          <a:blip r:embed="rId16"/>
                          <a:stretch>
                            <a:fillRect/>
                          </a:stretch>
                        </pic:blipFill>
                        <pic:spPr bwMode="auto">
                          <a:xfrm>
                            <a:off x="0" y="0"/>
                            <a:ext cx="5646420" cy="5392331"/>
                          </a:xfrm>
                          <a:prstGeom prst="rect">
                            <a:avLst/>
                          </a:prstGeom>
                          <a:noFill/>
                          <a:ln w="9525">
                            <a:noFill/>
                            <a:headEnd/>
                            <a:tailEnd/>
                          </a:ln>
                        </pic:spPr>
                      </pic:pic>
                    </a:graphicData>
                  </a:graphic>
                </wp:inline>
              </w:drawing>
            </w:r>
          </w:p>
          <w:p w14:paraId="39080F73" w14:textId="77777777" w:rsidR="00E24035" w:rsidRDefault="00000000">
            <w:pPr>
              <w:pStyle w:val="ImageCaption"/>
              <w:spacing w:before="200"/>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Quadrat Points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used in this analysis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w:t>
            </w:r>
            <w:r>
              <w:lastRenderedPageBreak/>
              <w:t>leaves (green and orange circles, respectively) as identified during the field survey. The shaded areas around the reflectance spectra represent the standard deviation.</w:t>
            </w:r>
          </w:p>
        </w:tc>
        <w:bookmarkEnd w:id="42"/>
      </w:tr>
    </w:tbl>
    <w:p w14:paraId="572C8BDB" w14:textId="77777777" w:rsidR="00E24035" w:rsidRDefault="00000000">
      <w:pPr>
        <w:pStyle w:val="Heading3"/>
      </w:pPr>
      <w:bookmarkStart w:id="44" w:name="shsi-metric-applied-to-sentinel-2"/>
      <w:bookmarkEnd w:id="41"/>
      <w:bookmarkEnd w:id="43"/>
      <w:r>
        <w:lastRenderedPageBreak/>
        <w:t>4.2.2 SHSI metric applied to Sentinel-2</w:t>
      </w:r>
    </w:p>
    <w:p w14:paraId="62FE28F9" w14:textId="77777777" w:rsidR="00E24035" w:rsidRDefault="00000000">
      <w:pPr>
        <w:pStyle w:val="FirstParagraph"/>
      </w:pPr>
      <w:r>
        <w:t xml:space="preserve">Using Sentinel-2 data and the QPs, SHSI was calculated for green seagrass unimpacted by the HW (QPs unimpacted </w:t>
      </w:r>
      <w:hyperlink w:anchor="fig-S2_comparison">
        <w:r>
          <w:rPr>
            <w:rStyle w:val="Hyperlink"/>
          </w:rPr>
          <w:t>Figure 9</w:t>
        </w:r>
      </w:hyperlink>
      <w:r>
        <w:t xml:space="preserve"> C), showing minimal changes of 3 % between the 1st and the 6th of September (</w:t>
      </w:r>
      <w:hyperlink w:anchor="fig-NDVI_GLI_SPC">
        <w:r>
          <w:rPr>
            <w:rStyle w:val="Hyperlink"/>
          </w:rPr>
          <w:t>Figure 10</w:t>
        </w:r>
      </w:hyperlink>
      <w:r>
        <w:t xml:space="preserve">). In contrast, seagrass impacted by the HW and turned brown (QPs impacted </w:t>
      </w:r>
      <w:hyperlink w:anchor="fig-S2_comparison">
        <w:r>
          <w:rPr>
            <w:rStyle w:val="Hyperlink"/>
          </w:rPr>
          <w:t>Figure 9</w:t>
        </w:r>
      </w:hyperlink>
      <w:r>
        <w:t xml:space="preserve"> C) exhibited significant SHSI changes, showing an increase of 97 % during the HW exposure (</w:t>
      </w:r>
      <w:hyperlink w:anchor="fig-NDVI_GLI_SPC">
        <w:r>
          <w:rPr>
            <w:rStyle w:val="Hyperlink"/>
          </w:rPr>
          <w:t>Figure 10</w:t>
        </w:r>
      </w:hyperlink>
      <w:r>
        <w:t>).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tbl>
      <w:tblPr>
        <w:tblStyle w:val="Table"/>
        <w:tblW w:w="5000" w:type="pct"/>
        <w:tblLayout w:type="fixed"/>
        <w:tblLook w:val="0000" w:firstRow="0" w:lastRow="0" w:firstColumn="0" w:lastColumn="0" w:noHBand="0" w:noVBand="0"/>
      </w:tblPr>
      <w:tblGrid>
        <w:gridCol w:w="9360"/>
      </w:tblGrid>
      <w:tr w:rsidR="00E24035" w14:paraId="51ABCBBD" w14:textId="77777777">
        <w:tc>
          <w:tcPr>
            <w:tcW w:w="7920" w:type="dxa"/>
          </w:tcPr>
          <w:p w14:paraId="4B76BF2F" w14:textId="77777777" w:rsidR="00E24035" w:rsidRDefault="00000000">
            <w:pPr>
              <w:pStyle w:val="Compact"/>
              <w:jc w:val="center"/>
            </w:pPr>
            <w:bookmarkStart w:id="45" w:name="fig-NDVI_GLI_SPC"/>
            <w:bookmarkStart w:id="46" w:name="cell-fig-NDVI_GLI_SPC"/>
            <w:r>
              <w:rPr>
                <w:noProof/>
              </w:rPr>
              <w:drawing>
                <wp:inline distT="0" distB="0" distL="0" distR="0" wp14:anchorId="4D877BF8" wp14:editId="61ABC510">
                  <wp:extent cx="5646420" cy="2823210"/>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s/Low_res/SHSI_S2.png"/>
                          <pic:cNvPicPr>
                            <a:picLocks noChangeAspect="1" noChangeArrowheads="1"/>
                          </pic:cNvPicPr>
                        </pic:nvPicPr>
                        <pic:blipFill>
                          <a:blip r:embed="rId17"/>
                          <a:stretch>
                            <a:fillRect/>
                          </a:stretch>
                        </pic:blipFill>
                        <pic:spPr bwMode="auto">
                          <a:xfrm>
                            <a:off x="0" y="0"/>
                            <a:ext cx="5646420" cy="2823210"/>
                          </a:xfrm>
                          <a:prstGeom prst="rect">
                            <a:avLst/>
                          </a:prstGeom>
                          <a:noFill/>
                          <a:ln w="9525">
                            <a:noFill/>
                            <a:headEnd/>
                            <a:tailEnd/>
                          </a:ln>
                        </pic:spPr>
                      </pic:pic>
                    </a:graphicData>
                  </a:graphic>
                </wp:inline>
              </w:drawing>
            </w:r>
          </w:p>
          <w:p w14:paraId="2591490A" w14:textId="77777777" w:rsidR="00E24035" w:rsidRDefault="00000000">
            <w:pPr>
              <w:pStyle w:val="ImageCaption"/>
              <w:spacing w:before="200"/>
            </w:pPr>
            <w:r>
              <w:t xml:space="preserve">Figure 10: Changes in the relative Seagrass Heat Shock Index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Quardrat Points (QPs; </w:t>
            </w:r>
            <w:hyperlink w:anchor="fig-S2_comparison">
              <w:r>
                <w:rPr>
                  <w:rStyle w:val="Hyperlink"/>
                </w:rPr>
                <w:t>Figure 9</w:t>
              </w:r>
            </w:hyperlink>
            <w:r>
              <w:t xml:space="preserve">): unimpacted seagrass (green) and impacted </w:t>
            </w:r>
            <w:r>
              <w:lastRenderedPageBreak/>
              <w:t>seagrass (orange). Points represent the predicted value of the metric using a Generalized Linear Model (GLM), while th error bar repsents the 89% confidence interval.</w:t>
            </w:r>
          </w:p>
        </w:tc>
        <w:bookmarkEnd w:id="45"/>
      </w:tr>
    </w:tbl>
    <w:bookmarkEnd w:id="46"/>
    <w:p w14:paraId="46B3F9F6" w14:textId="77777777" w:rsidR="00E24035" w:rsidRDefault="00000000">
      <w:pPr>
        <w:pStyle w:val="BodyText"/>
      </w:pPr>
      <w:r>
        <w:lastRenderedPageBreak/>
        <w:t>Using the SHSI (</w:t>
      </w:r>
      <w:hyperlink w:anchor="eq-SDI">
        <w:r>
          <w:rPr>
            <w:rStyle w:val="Hyperlink"/>
          </w:rPr>
          <w:t>Equation 3</w:t>
        </w:r>
      </w:hyperlink>
      <w:r>
        <w:t>), we detected large darkened seagrass patches in the meadow at the 6th of September (</w:t>
      </w:r>
      <w:hyperlink w:anchor="fig-Map_darkening_Bathy">
        <w:r>
          <w:rPr>
            <w:rStyle w:val="Hyperlink"/>
          </w:rPr>
          <w:t>Figure 11</w:t>
        </w:r>
      </w:hyperlink>
      <w:r>
        <w:t>). A total of 26.9 hectares of seagrass turned brown betwwen the 1st and the 6th of September. The largest brown patch covered nearly 8 hectares. Overall, 24 % of the total seagrass meadow area showed signs of darkening between the 1st and 6th of September 2021. Comparing the spatial distribution of darkened patches with the site’s topography revealed that 94.6 % of darkened areas were located above a bathymetric level of 3.9 meters (</w:t>
      </w:r>
      <w:hyperlink w:anchor="fig-Map_darkening_Bathy">
        <w:r>
          <w:rPr>
            <w:rStyle w:val="Hyperlink"/>
          </w:rPr>
          <w:t>Figure 11</w:t>
        </w:r>
      </w:hyperlink>
      <w:r>
        <w:t>, A and B). One month later, on the 8th of October, some of the previously darkened areas regained their green color (</w:t>
      </w:r>
      <w:hyperlink w:anchor="fig-Map_darkening_Bathy">
        <w:r>
          <w:rPr>
            <w:rStyle w:val="Hyperlink"/>
          </w:rPr>
          <w:t>Figure 11</w:t>
        </w:r>
      </w:hyperlink>
      <w:r>
        <w:t xml:space="preserve"> C).</w:t>
      </w:r>
    </w:p>
    <w:tbl>
      <w:tblPr>
        <w:tblStyle w:val="Table"/>
        <w:tblW w:w="5000" w:type="pct"/>
        <w:tblLayout w:type="fixed"/>
        <w:tblLook w:val="0000" w:firstRow="0" w:lastRow="0" w:firstColumn="0" w:lastColumn="0" w:noHBand="0" w:noVBand="0"/>
      </w:tblPr>
      <w:tblGrid>
        <w:gridCol w:w="9360"/>
      </w:tblGrid>
      <w:tr w:rsidR="00E24035" w14:paraId="5EB54C3C" w14:textId="77777777">
        <w:tc>
          <w:tcPr>
            <w:tcW w:w="7920" w:type="dxa"/>
          </w:tcPr>
          <w:p w14:paraId="01892637" w14:textId="77777777" w:rsidR="00E24035" w:rsidRDefault="00000000">
            <w:pPr>
              <w:pStyle w:val="Compact"/>
              <w:jc w:val="center"/>
            </w:pPr>
            <w:bookmarkStart w:id="47" w:name="fig-Map_darkening_Bathy"/>
            <w:bookmarkStart w:id="48" w:name="cell-fig-Map_darkening_Bathy"/>
            <w:r>
              <w:rPr>
                <w:noProof/>
              </w:rPr>
              <w:drawing>
                <wp:inline distT="0" distB="0" distL="0" distR="0" wp14:anchorId="15B3ED34" wp14:editId="329F9711">
                  <wp:extent cx="5646420" cy="4076715"/>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Figs/Low_res/SHSI_S2_map.png"/>
                          <pic:cNvPicPr>
                            <a:picLocks noChangeAspect="1" noChangeArrowheads="1"/>
                          </pic:cNvPicPr>
                        </pic:nvPicPr>
                        <pic:blipFill>
                          <a:blip r:embed="rId18"/>
                          <a:stretch>
                            <a:fillRect/>
                          </a:stretch>
                        </pic:blipFill>
                        <pic:spPr bwMode="auto">
                          <a:xfrm>
                            <a:off x="0" y="0"/>
                            <a:ext cx="5646420" cy="4076715"/>
                          </a:xfrm>
                          <a:prstGeom prst="rect">
                            <a:avLst/>
                          </a:prstGeom>
                          <a:noFill/>
                          <a:ln w="9525">
                            <a:noFill/>
                            <a:headEnd/>
                            <a:tailEnd/>
                          </a:ln>
                        </pic:spPr>
                      </pic:pic>
                    </a:graphicData>
                  </a:graphic>
                </wp:inline>
              </w:drawing>
            </w:r>
          </w:p>
          <w:p w14:paraId="058BC947" w14:textId="77777777" w:rsidR="00E24035" w:rsidRDefault="00000000">
            <w:pPr>
              <w:pStyle w:val="ImageCaption"/>
              <w:spacing w:before="200"/>
            </w:pPr>
            <w:r>
              <w:lastRenderedPageBreak/>
              <w:t>Figure 11: Sentinel-2 color composition of the seagrass meadow of Quiberon, South Brittany, France, Before (A), During (B) and After (C) the HW Seagrass Heat Shock Index applyed on Sentinel-2 images Before (D), During (E) and After (F) the HW.</w:t>
            </w:r>
          </w:p>
        </w:tc>
        <w:bookmarkEnd w:id="47"/>
      </w:tr>
    </w:tbl>
    <w:bookmarkEnd w:id="48"/>
    <w:p w14:paraId="6C3A7BE9" w14:textId="77777777" w:rsidR="00E24035" w:rsidRDefault="00000000">
      <w:pPr>
        <w:pStyle w:val="BodyText"/>
      </w:pPr>
      <w:r>
        <w:lastRenderedPageBreak/>
        <w:t>Additionally, seagrass emersion time revealed a clear relationship between the duration of air exposure and seagrass darkening (</w:t>
      </w:r>
      <w:hyperlink w:anchor="fig-GAM_Emersion">
        <w:r>
          <w:rPr>
            <w:rStyle w:val="Hyperlink"/>
          </w:rPr>
          <w:t>Figure 12</w:t>
        </w:r>
      </w:hyperlink>
      <w:r>
        <w:t>). During the HW, no significant darkening occurred with less than 13 hours of daily exposure. However, above 13 hours, seagrasses began to darken, reaching peak darkening at around 14.5 hours of daily exposure.</w:t>
      </w:r>
    </w:p>
    <w:tbl>
      <w:tblPr>
        <w:tblStyle w:val="Table"/>
        <w:tblW w:w="5000" w:type="pct"/>
        <w:tblLayout w:type="fixed"/>
        <w:tblLook w:val="0000" w:firstRow="0" w:lastRow="0" w:firstColumn="0" w:lastColumn="0" w:noHBand="0" w:noVBand="0"/>
      </w:tblPr>
      <w:tblGrid>
        <w:gridCol w:w="9360"/>
      </w:tblGrid>
      <w:tr w:rsidR="00E24035" w14:paraId="77B69023" w14:textId="77777777">
        <w:tc>
          <w:tcPr>
            <w:tcW w:w="7920" w:type="dxa"/>
          </w:tcPr>
          <w:p w14:paraId="1AB079A1" w14:textId="77777777" w:rsidR="00E24035" w:rsidRDefault="00000000">
            <w:pPr>
              <w:pStyle w:val="Compact"/>
              <w:jc w:val="center"/>
            </w:pPr>
            <w:bookmarkStart w:id="49" w:name="fig-GAM_Emersion"/>
            <w:bookmarkStart w:id="50" w:name="cell-fig-GAM_Emersion"/>
            <w:r>
              <w:rPr>
                <w:noProof/>
              </w:rPr>
              <w:drawing>
                <wp:inline distT="0" distB="0" distL="0" distR="0" wp14:anchorId="2F734357" wp14:editId="73EB241D">
                  <wp:extent cx="5646420" cy="2823210"/>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Figs/Low_res/GAM_emersion.png"/>
                          <pic:cNvPicPr>
                            <a:picLocks noChangeAspect="1" noChangeArrowheads="1"/>
                          </pic:cNvPicPr>
                        </pic:nvPicPr>
                        <pic:blipFill>
                          <a:blip r:embed="rId19"/>
                          <a:stretch>
                            <a:fillRect/>
                          </a:stretch>
                        </pic:blipFill>
                        <pic:spPr bwMode="auto">
                          <a:xfrm>
                            <a:off x="0" y="0"/>
                            <a:ext cx="5646420" cy="2823210"/>
                          </a:xfrm>
                          <a:prstGeom prst="rect">
                            <a:avLst/>
                          </a:prstGeom>
                          <a:noFill/>
                          <a:ln w="9525">
                            <a:noFill/>
                            <a:headEnd/>
                            <a:tailEnd/>
                          </a:ln>
                        </pic:spPr>
                      </pic:pic>
                    </a:graphicData>
                  </a:graphic>
                </wp:inline>
              </w:drawing>
            </w:r>
          </w:p>
          <w:p w14:paraId="7F36E32F" w14:textId="77777777" w:rsidR="00E24035" w:rsidRDefault="00000000">
            <w:pPr>
              <w:pStyle w:val="ImageCaption"/>
              <w:spacing w:before="200"/>
            </w:pPr>
            <w:r>
              <w:t>Figure 12: Relative change of the Seagrass Heat Shock Index (SHSI) before and during the HW events as a function of the daily emersion time of seagrass. The line represents a Generalized Additive Model (GAM) prediction, and the shaded area indicates the standard error. Shaded points represent raw data, each corresponding to a single pixel of the meadow.</w:t>
            </w:r>
          </w:p>
        </w:tc>
        <w:bookmarkEnd w:id="49"/>
      </w:tr>
    </w:tbl>
    <w:p w14:paraId="31C4778A" w14:textId="77777777" w:rsidR="00E24035" w:rsidRDefault="00000000">
      <w:pPr>
        <w:pStyle w:val="Heading1"/>
      </w:pPr>
      <w:bookmarkStart w:id="51" w:name="discussion"/>
      <w:bookmarkEnd w:id="30"/>
      <w:bookmarkEnd w:id="40"/>
      <w:bookmarkEnd w:id="44"/>
      <w:bookmarkEnd w:id="50"/>
      <w:r>
        <w:t>5. Discussion</w:t>
      </w:r>
    </w:p>
    <w:p w14:paraId="592AC777" w14:textId="77777777" w:rsidR="00E24035" w:rsidRDefault="00000000">
      <w:pPr>
        <w:pStyle w:val="Heading2"/>
      </w:pPr>
      <w:bookmarkStart w:id="52" w:name="Xd32f8be805d1b37672f96d647c22fdb6e508461"/>
      <w:r>
        <w:t>5.1 Physiological impacts of heatwaves on seagrasses</w:t>
      </w:r>
    </w:p>
    <w:p w14:paraId="5933145E" w14:textId="77777777" w:rsidR="00E24035" w:rsidRDefault="00000000">
      <w:pPr>
        <w:pStyle w:val="FirstParagraph"/>
      </w:pPr>
      <w:r>
        <w:t xml:space="preserve">Although extensive research exists on marine heatwaves’ effects on subtidal seagrasses, little attention has been given to intertidal habitats and even less to the interaction between atmospherical extreme events and intertidal meadows. This study initiates an </w:t>
      </w:r>
      <w:r>
        <w:lastRenderedPageBreak/>
        <w:t>exploration of how intertidal seagrasses respond to the dual influence of MHWs and AHWs, underscoring the need for further investigation in this under explored area.</w:t>
      </w:r>
    </w:p>
    <w:p w14:paraId="17A148D2" w14:textId="77777777" w:rsidR="00E24035" w:rsidRDefault="00000000">
      <w:pPr>
        <w:pStyle w:val="BodyText"/>
      </w:pPr>
      <w:r>
        <w:t>In the present study, significant changes in the reflectance of seagrasses exposed to HWs were observed experimentally. These changes mainly include a drop in reflectance around 560 nm and another drop around 740 nm in the near-infrared part of the spectrum (</w:t>
      </w:r>
      <w:hyperlink w:anchor="fig-Exp_Spectral_indices">
        <w:r>
          <w:rPr>
            <w:rStyle w:val="Hyperlink"/>
          </w:rPr>
          <w:t>Figure 7</w:t>
        </w:r>
      </w:hyperlink>
      <w:r>
        <w:t>). The second derivative at 665 nm (R’’665), NDVI, and GLI (</w:t>
      </w:r>
      <w:hyperlink w:anchor="fig-Exp_Spectral_indices">
        <w:r>
          <w:rPr>
            <w:rStyle w:val="Hyperlink"/>
          </w:rPr>
          <w:t>Figure 7</w:t>
        </w:r>
      </w:hyperlink>
      <w:r>
        <w:t xml:space="preserve"> B, C, and D) all demonstrated a clear decline over the experimental period (days 1-3).These changes suggest a progressive reduction in photosynthetic activity as well as structural or physiological changes in the leaves, such as degraded pigmentation or altered light absorption in the treatment group relative to the control as a consequence of the simulated HW event. In contrast, SHSI shows a marked increase, reaching up to 600% for some samples by day 3 (</w:t>
      </w:r>
      <w:hyperlink w:anchor="fig-Exp_Spectral_indices">
        <w:r>
          <w:rPr>
            <w:rStyle w:val="Hyperlink"/>
          </w:rPr>
          <w:t>Figure 7</w:t>
        </w:r>
      </w:hyperlink>
      <w:r>
        <w:t xml:space="preserve"> E). This positive trend in SHSI demonstrates its effectiveness as an index to quantify darkening of seagrass. While the general trends are consistent across experimental runs, there is some variability, particularly evident in the confidence intervals, which are wider for SHSI than for the other indices. This suggests that while darkening is a consistent response, it may vary in intensity between individual samples or experimental runs. Furthermore, the contrasting magnitudes of change—especially the pronounced increases in SHSI versus the declines in other indices—highlight the sensitivity of SHSI to changes associated with seagrass darkening, which could be indicative of stress or adaptation responses specific to the treatment conditions.</w:t>
      </w:r>
    </w:p>
    <w:p w14:paraId="21735EA2" w14:textId="77777777" w:rsidR="00E24035" w:rsidRDefault="00000000">
      <w:pPr>
        <w:pStyle w:val="BodyText"/>
      </w:pPr>
      <w:r>
        <w:t xml:space="preserve">The change in color can be multifactorial and has been documented in plants under various stress conditions, including thermal stress (Dascaliuc et al., 2007; Jones and Clayton-Greene, 1992). Leaf blackening in angiosperms, as observed in </w:t>
      </w:r>
      <w:r>
        <w:rPr>
          <w:i/>
          <w:iCs/>
        </w:rPr>
        <w:t>Protea neriifolia</w:t>
      </w:r>
      <w:r>
        <w:t xml:space="preserve">, is primarily driven by oxidative processes involving the enzyme polyphenol oxidase (PPO) and the oxidation of phenolic compounds. When photosynthesis is </w:t>
      </w:r>
      <w:r>
        <w:lastRenderedPageBreak/>
        <w:t>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14:paraId="6202251F" w14:textId="77777777" w:rsidR="00E24035" w:rsidRDefault="00000000">
      <w:pPr>
        <w:pStyle w:val="BodyText"/>
      </w:pPr>
      <w:r>
        <w:rPr>
          <w:i/>
          <w:iCs/>
        </w:rPr>
        <w:t>Zostera noltei</w:t>
      </w:r>
      <w:r>
        <w:t xml:space="preserve">, as a species inhabiting the intertidal zone and regularly exposed to air, has developed adaptations to minimize hydric stress. For example, it exhibits smaller, narrower leaves compared to species residing lower in the intertidal zone, such as </w:t>
      </w:r>
      <w:r>
        <w:rPr>
          <w:i/>
          <w:iCs/>
        </w:rPr>
        <w:t>Zostera marina</w:t>
      </w:r>
      <w:r>
        <w:t>, which helps reduce water loss during air exposure periods (Cabaço et al., 2009). However, during intense warming events and under high light conditions, desiccation can occur in certain parts of the meadow, particularly where seagrass leaves are exposed for prolonged periods (</w:t>
      </w:r>
      <w:hyperlink w:anchor="fig-GAM_Emersion">
        <w:r>
          <w:rPr>
            <w:rStyle w:val="Hyperlink"/>
          </w:rPr>
          <w:t>Figure 12</w:t>
        </w:r>
      </w:hyperlink>
      <w:r>
        <w:t>). Under such hydric stress, cellular turgor pressure decreases (the internal cell water pressure that maintains cell shape), and concentrations of ions like Na+ and Cl– can reach toxic levels. These effects can impair cellular functions, enzymatic activity, and membrane stability.</w:t>
      </w:r>
    </w:p>
    <w:p w14:paraId="0756FFEA" w14:textId="77777777" w:rsidR="00E24035" w:rsidRDefault="00000000">
      <w:pPr>
        <w:pStyle w:val="BodyText"/>
      </w:pPr>
      <w:r>
        <w:t xml:space="preserve">High infrared reflectance in healthy plant leaves is primarly due to the internal cellular structure that scatters light. Once sunlight enters the leaf, it is diffused through various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t>
      </w:r>
      <w:r>
        <w:lastRenderedPageBreak/>
        <w:t>walls) are destroyed due to oxidative stress, the reflectance in the Red Edge and the near-infrared regions of the spectrum (&gt; 700 nm) decreases significantly (Knipling, 1970).</w:t>
      </w:r>
    </w:p>
    <w:p w14:paraId="2FA46BD5" w14:textId="77777777" w:rsidR="00E24035" w:rsidRDefault="00000000">
      <w:pPr>
        <w:pStyle w:val="BodyText"/>
      </w:pPr>
      <w:r>
        <w:t>These unique reflectance properties of seagrasses under heat stress enable the detection of this darkening through remote sensing techniques. The SHSI (</w:t>
      </w:r>
      <w:hyperlink w:anchor="eq-SDI">
        <w:r>
          <w:rPr>
            <w:rStyle w:val="Hyperlink"/>
          </w:rPr>
          <w:t>Equation 3</w:t>
        </w:r>
      </w:hyperlink>
      <w:r>
        <w:t>) index developed in this study leverages key reflectance bands (560, 740 and 840 nm) to detect reductions in the green and the Red-Edge regions. SHSI can be used to assess the extent and severity of darkening events across intertidal seagrass meadows from space. Current multi-spectral satellite missions, including Sentinel-2, Pleiades-Neo, WorldView-3, SkySat, and GeoSat-2 along with upcoming missions (Sentinel-2 Next Generation and Landsat Next), capture reflectance in the three wavelengths used as input for SHSI. As climate change advances, remote sensing becomes a crucial tool for monitoring cumulative ecological impacts on seagrass meadows due to HWs. Although these physiological and structural changes occur at the cellular level over short temporal scales, their synchronously manifest across the entire meadow cause changes in large spatial extensions.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14:paraId="51C98A38" w14:textId="77777777" w:rsidR="00E24035" w:rsidRDefault="00000000">
      <w:pPr>
        <w:pStyle w:val="Heading2"/>
      </w:pPr>
      <w:bookmarkStart w:id="53" w:name="climate-change-and-heatwaves"/>
      <w:bookmarkEnd w:id="52"/>
      <w:r>
        <w:lastRenderedPageBreak/>
        <w:t>5.2 Climate change and heatwaves</w:t>
      </w:r>
    </w:p>
    <w:p w14:paraId="3BC856E4" w14:textId="77777777" w:rsidR="00E24035" w:rsidRDefault="00000000">
      <w:pPr>
        <w:pStyle w:val="FirstParagraph"/>
      </w:pPr>
      <w:r>
        <w:t>The rapid global escalation of HW frequency, intensity and duration is a defining characteristic of the current climate crisis, heavily influenced by anthropogenic activities and greenhouse gas emissions (Devi et al., 2024; Russo and Domeisen, 2023).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 (Russo and Domeisen, 2023).</w:t>
      </w:r>
    </w:p>
    <w:p w14:paraId="0FBA4CC9" w14:textId="77777777" w:rsidR="00E24035" w:rsidRDefault="00000000">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 (Mazdiyasni et al., 2019; Smale et al., 2019).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w:t>
      </w:r>
      <w:r>
        <w:lastRenderedPageBreak/>
        <w:t>reducing cold extremes while allowing for increasingly frequent hot days (Simolo and Corti, 2022).</w:t>
      </w:r>
    </w:p>
    <w:p w14:paraId="79207A55" w14:textId="77777777" w:rsidR="00E24035" w:rsidRDefault="00000000">
      <w:pPr>
        <w:pStyle w:val="BodyText"/>
      </w:pPr>
      <w:r>
        <w:t>In the ocean, similar trends were observed with marine heatwaves (MHWs), which have increased by more than 50% in the total number of days per year since the early 20th century, and projections suggest that a near-permanent state of MHW, based on nowadays baselines, could develop by the end of the century if greenhouse gas emissions remain high (Oliver et al., 2019). Events like the “Blob” 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interconnection of atmospheric and marine systems in the context of climate-driven thermal extremes (Smale et al., 2019).</w:t>
      </w:r>
    </w:p>
    <w:p w14:paraId="6E01FB5F" w14:textId="77777777" w:rsidR="00E24035" w:rsidRDefault="00000000">
      <w:pPr>
        <w:pStyle w:val="BodyText"/>
      </w:pPr>
      <w:r>
        <w:t xml:space="preserve">The escalating frequency and intensity of heatwaves represent not only an atmospheric anomaly but a profound disruption to ecological stability across diverse ecosystems (Devi et al., 2024; Stillman, 2019). The temperature spikes associated with these events occur over very short timescales, with limited recovery periods—giving organisms little to no opportunity to acclimate to rapidly changing conditions and often exceeding their tolerance limits. The sustained high temperatures associated with both atmospheric and marine heatwaves lead to physiological stress, habitat degradation, and increased mortality in many species, particularly those with limited thermal tolerance (Oliver et al., 2019; Simolo and Corti, 2022). Terrestrial and marine ecosystems experience shifts in species distributions, altered community dynamics, and reduced biodiversity as species are either forced to migrate or face local extinction under increasingly inhospitable conditions (Pansch et al., 2018). Similarly, in marine environments, prolonged heat stress from marine heatwaves has cascading effects on foundational species, including corals, kelps, and seagrasses, all of which are crucial for </w:t>
      </w:r>
      <w:r>
        <w:lastRenderedPageBreak/>
        <w:t>providing habitat, food, and shelter to diverse marine life (Oliver et al., 2019; Smale et al., 2019).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 (Deguette et al., 2022; Guerrero-Meseguer et al., 2020; Sawall et al., 2021; Winters et al., 2011). With repeated heatwave exposure and limited recovery periods, seagrass meadows may suffer severe declines, threatening their ability to deliver key ecosystem services such as carbon storage, sediment stabilization, and habitat provision (Mazdiyasni et al., 2019).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 (Russo and Domeisen, 2023; Stillman, 2019).</w:t>
      </w:r>
    </w:p>
    <w:p w14:paraId="5D156C50" w14:textId="77777777" w:rsidR="00E24035" w:rsidRDefault="00000000">
      <w:pPr>
        <w:pStyle w:val="Heading2"/>
      </w:pPr>
      <w:bookmarkStart w:id="54" w:name="seagrass-resilience-to-heatwaves"/>
      <w:bookmarkEnd w:id="53"/>
      <w:r>
        <w:t>5.3 Seagrass resilience to heatwaves</w:t>
      </w:r>
    </w:p>
    <w:p w14:paraId="19E91C32" w14:textId="77777777" w:rsidR="00E24035" w:rsidRDefault="00000000">
      <w:pPr>
        <w:pStyle w:val="FirstParagraph"/>
      </w:pPr>
      <w:r>
        <w:t xml:space="preserve">Seagrass resilience to heatwaves is a complex and multifaceted issue shaped by species-specific traits, geographical location, and concurrent environmental stressors (Berger et al., 2024; Canadell and Jackson, 2021; Hatum et al., 2024). As climate change drives the frequency and intensity of marine heatwaves, understanding these dynamics becomes crucial, especially for temperate seagrass meadows composed of slow-growing, long-lived species like </w:t>
      </w:r>
      <w:r>
        <w:rPr>
          <w:i/>
          <w:iCs/>
        </w:rPr>
        <w:t>Posidonia</w:t>
      </w:r>
      <w:r>
        <w:t xml:space="preserve"> spp., </w:t>
      </w:r>
      <w:r>
        <w:rPr>
          <w:i/>
          <w:iCs/>
        </w:rPr>
        <w:t>Amphibolis</w:t>
      </w:r>
      <w:r>
        <w:t xml:space="preserve"> spp., and </w:t>
      </w:r>
      <w:r>
        <w:rPr>
          <w:i/>
          <w:iCs/>
        </w:rPr>
        <w:t>Zostera</w:t>
      </w:r>
      <w:r>
        <w:t xml:space="preserve"> spp. These species, unlike their tropical counterparts, tend to be highly vulnerable to abrupt environmental changes, struggling to recover from disturbances due to their slower growth and longer lifespan. In contrast, colonizing species typical of tropical regions, such as </w:t>
      </w:r>
      <w:r>
        <w:rPr>
          <w:i/>
          <w:iCs/>
        </w:rPr>
        <w:t>Halodule</w:t>
      </w:r>
      <w:r>
        <w:t xml:space="preserve"> spp., </w:t>
      </w:r>
      <w:r>
        <w:rPr>
          <w:i/>
          <w:iCs/>
        </w:rPr>
        <w:t>Halophila</w:t>
      </w:r>
      <w:r>
        <w:t xml:space="preserve"> spp., and </w:t>
      </w:r>
      <w:r>
        <w:rPr>
          <w:i/>
          <w:iCs/>
        </w:rPr>
        <w:t>Syringodium</w:t>
      </w:r>
      <w:r>
        <w:t xml:space="preserve"> spp., demonstrate greater resilience to warming events </w:t>
      </w:r>
      <w:r>
        <w:lastRenderedPageBreak/>
        <w:t>and marine heatwaves due to their rapid growth and more flexible life strategies (O’Brien et al., 2018).</w:t>
      </w:r>
    </w:p>
    <w:p w14:paraId="1EEB698E" w14:textId="77777777" w:rsidR="00E24035" w:rsidRDefault="00000000">
      <w:pPr>
        <w:pStyle w:val="BodyText"/>
      </w:pPr>
      <w:r>
        <w:t xml:space="preserve">The impact of HWs on seagrass ecosystems is further intensified by tidal variations, especially in temperate regions with large tidal ranges that can exceed 10 meters, such as Mont Saint Michel Bay , France. This pronounced tidal amplitude affects intertidal seagrasses like </w:t>
      </w:r>
      <w:r>
        <w:rPr>
          <w:i/>
          <w:iCs/>
        </w:rPr>
        <w:t>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AHWs. Conversely, seagrasses in the lower intertidal zone experience prolonged immersion throughout the tidal cycle, making them susceptible to extreme MHWs. As a result, both marine and AHWs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periods during low tides. This suggests that </w:t>
      </w:r>
      <w:r>
        <w:rPr>
          <w:i/>
          <w:iCs/>
        </w:rPr>
        <w:t>in situ</w:t>
      </w:r>
      <w:r>
        <w:t xml:space="preserve"> exposure times could exacerbate the stress effects observed, as seagrasses may endure prolonged air exposure beyond what our controlled conditions have replicated.</w:t>
      </w:r>
    </w:p>
    <w:p w14:paraId="483D39B0" w14:textId="77777777" w:rsidR="00E24035" w:rsidRDefault="00000000">
      <w:pPr>
        <w:pStyle w:val="BodyText"/>
      </w:pPr>
      <w:r>
        <w:t xml:space="preserve">Species like </w:t>
      </w:r>
      <w:r>
        <w:rPr>
          <w:i/>
          <w:iCs/>
        </w:rPr>
        <w:t>Zostera noltei</w:t>
      </w:r>
      <w:r>
        <w:t xml:space="preserve"> display distinct seasonal patterns that become increasingly pronounced at higher latitudes (Davies et al., 2024a, 2024b). These patterns reflect the species’ adaptation to seasonal variations in temperature and light, but they also make </w:t>
      </w:r>
      <w:r>
        <w:rPr>
          <w:i/>
          <w:iCs/>
        </w:rPr>
        <w:t>Z. noltei</w:t>
      </w:r>
      <w:r>
        <w:t xml:space="preserve"> particularly sensitive to extreme events depending on their timing. For instance, if a heatwave coincides with early developmental stages or occurs after the biomass peak when leaf senescence has begun, the impact on meadow resilience can be severe.</w:t>
      </w:r>
    </w:p>
    <w:p w14:paraId="6FDAEB41" w14:textId="77777777" w:rsidR="00E24035" w:rsidRDefault="00000000">
      <w:pPr>
        <w:pStyle w:val="BodyText"/>
      </w:pPr>
      <w:r>
        <w:lastRenderedPageBreak/>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 (Berger et al., 2024; Canadell and Jackson, 2021). In these cooler areas, </w:t>
      </w:r>
      <w:r>
        <w:rPr>
          <w:i/>
          <w:iCs/>
        </w:rPr>
        <w:t>Zostera noltei</w:t>
      </w:r>
      <w:r>
        <w:t xml:space="preserve"> exhibits high survival and photosynthetic performance up to 37°C, though temperatures above 39°C lead to near-total mortality within days, underscoring the species’ sensitivity to temperature thresholds that may become increasingly common under climate change scenarios (Franssen et al., 2014). Moreover, the frequency, duration, and intervals between heatwaves significantly affect seagrass biomass and recovery; prolonged and frequent heatwaves reduce resilience and complicate recovery processes (Hatum et al., 2024).</w:t>
      </w:r>
    </w:p>
    <w:p w14:paraId="3C80000B" w14:textId="77777777" w:rsidR="00E24035" w:rsidRDefault="00000000">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 </w:t>
      </w:r>
      <w:r>
        <w:rPr>
          <w:i/>
          <w:iCs/>
        </w:rPr>
        <w:t>Zostera noltei</w:t>
      </w:r>
      <w:r>
        <w:t>, for example, has a mutualistic relationship with lucinid clams that helps detoxify sulfides. However, this interaction is compromised at high temperatures, reducing the efficacy of sulfide removal and further inhibiting nutrient uptake, growth, and overall resilience (De Fouw et al., 2022).</w:t>
      </w:r>
    </w:p>
    <w:p w14:paraId="158E8156" w14:textId="77777777" w:rsidR="00E24035" w:rsidRDefault="00000000">
      <w:pPr>
        <w:pStyle w:val="BodyText"/>
      </w:pPr>
      <w:r>
        <w:t xml:space="preserve">In a simulated heatwave experiment on </w:t>
      </w:r>
      <w:r>
        <w:rPr>
          <w:i/>
          <w:iCs/>
        </w:rPr>
        <w:t>Zostera noltei</w:t>
      </w:r>
      <w:r>
        <w:t>, resilience was evident under short-term moderate stress, with no significant changes in photosynthetic performance or survival (Franssen et al., 2014; Massa et al., 2009).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the SC in the impacted patch experienced a sharp decline on impacted patches. By 8th October, one month post-</w:t>
      </w:r>
      <w:r>
        <w:lastRenderedPageBreak/>
        <w:t>event, the SC of impacted seagrasses, initially higher, had fallen below that of non-impacted seagrasses (</w:t>
      </w:r>
      <w:hyperlink w:anchor="fig-NDVI_GLI_SPC">
        <w:r>
          <w:rPr>
            <w:rStyle w:val="Hyperlink"/>
          </w:rPr>
          <w:t>Figure 10</w:t>
        </w:r>
      </w:hyperlink>
      <w:r>
        <w:t>). The observed decrease in seagrass cover on 6th September was primarily due to leaf darkening. This darkening influenced the satellite NDVI measurements used to estimate SC (Zoffoli et al., 2020), creating an apparent decrease in SC in the impacted patch when, in reality, itremained stable (</w:t>
      </w:r>
      <w:hyperlink w:anchor="fig-QuiberonImg">
        <w:r>
          <w:rPr>
            <w:rStyle w:val="Hyperlink"/>
          </w:rPr>
          <w:t>Figure 5</w:t>
        </w:r>
      </w:hyperlink>
      <w:r>
        <w:t>).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Figure 10</w:t>
        </w:r>
      </w:hyperlink>
      <w:r>
        <w:t>).</w:t>
      </w:r>
    </w:p>
    <w:p w14:paraId="170483D5" w14:textId="77777777" w:rsidR="00E24035" w:rsidRDefault="00000000">
      <w:pPr>
        <w:pStyle w:val="BodyText"/>
      </w:pPr>
      <w:r>
        <w:t xml:space="preserve">On a physiological level, seagrasses possess coping mechanisms such as photoprotective responses and heat-responsive gene expression, including the activation of heat-shock proteins (HSPs) and other stress-related genes (Hughes and Stachowicz, 2004; Reusch et al., 2005). </w:t>
      </w:r>
      <w:r>
        <w:rPr>
          <w:i/>
          <w:iCs/>
        </w:rPr>
        <w:t>Zostera noltei</w:t>
      </w:r>
      <w:r>
        <w:t>,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 (Franssen et al., 2014).</w:t>
      </w:r>
    </w:p>
    <w:p w14:paraId="23422FB6" w14:textId="77777777" w:rsidR="00E24035" w:rsidRDefault="00000000">
      <w:pPr>
        <w:pStyle w:val="Heading2"/>
      </w:pPr>
      <w:bookmarkStart w:id="55" w:name="big-picture"/>
      <w:bookmarkEnd w:id="54"/>
      <w:r>
        <w:t>5.4 Big picture</w:t>
      </w:r>
    </w:p>
    <w:p w14:paraId="3D2D2ED6" w14:textId="77777777" w:rsidR="00E24035" w:rsidRDefault="00000000">
      <w:pPr>
        <w:pStyle w:val="FirstParagraph"/>
      </w:pPr>
      <w:r>
        <w:t xml:space="preserve">Given the combined pressures of temperature extremes, eutrophication, and other anthropogenic impacts, targeted management strategies are essential for enhancing seagrass resilience (Loarie et al., 2009). Approaches such as reducing local stressors, cultivating heat-tolerant genotypes, and investing in restoration initiatives are vital to supporting these ecosystems in a warming climate. Although challenges remain, the </w:t>
      </w:r>
      <w:r>
        <w:lastRenderedPageBreak/>
        <w:t>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 (Canadell and Jackson, 2021; De Fouw et al., 2022).</w:t>
      </w:r>
    </w:p>
    <w:p w14:paraId="096A99CB" w14:textId="77777777" w:rsidR="00E24035" w:rsidRDefault="00000000">
      <w:pPr>
        <w:pStyle w:val="BodyText"/>
      </w:pPr>
      <w:r>
        <w:t>Seagrass meadows function as foundational components of coastal ecosystems, sustaining diverse marine communities by providing essential habitats, nursery grounds, and trophic resources for fish, invertebrates, and migratory birds (Zoffoli et al., 2023). Their dense canopies stabilize sediment and protect shorelines from erosion, an increasingly crucial role as sea levels rise due to climate change (Folmer et al., 2012; Gacia et al., 1999). Recurrent HW events, which induce physiological stress like leaf darkening, can severely diminish seagrass density, thereby reducing their effectiveness in sediment stabilization and wave attenuation, ultimately increasing the risk of coastal erosion (Calleja et al., 2007).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 (Unsworth and Cullen-Unsworth, 2014). Furthermore, as seagrass meadows decline, their capacity to act as a blue carbon sink—critical for climate mitigation—also diminishes, inadvertently contributing to increased atmospheric carbon levels (Armitage and Fourqurean, 2016; Samper-Villarreal et al., 2020)</w:t>
      </w:r>
    </w:p>
    <w:p w14:paraId="599AB040" w14:textId="77777777" w:rsidR="00E24035" w:rsidRDefault="00000000">
      <w:pPr>
        <w:pStyle w:val="Heading1"/>
      </w:pPr>
      <w:bookmarkStart w:id="56" w:name="conclusion"/>
      <w:bookmarkEnd w:id="51"/>
      <w:bookmarkEnd w:id="55"/>
      <w:r>
        <w:t>6. Conclusion</w:t>
      </w:r>
    </w:p>
    <w:p w14:paraId="1E68673C" w14:textId="77777777" w:rsidR="00E24035" w:rsidRDefault="00000000">
      <w:pPr>
        <w:pStyle w:val="FirstParagraph"/>
      </w:pPr>
      <w:r>
        <w:t xml:space="preserve">This research has investigated the effects of both marine and atmospheric heatwaves on the intertidal seagrass </w:t>
      </w:r>
      <w:r>
        <w:rPr>
          <w:i/>
          <w:iCs/>
        </w:rPr>
        <w:t>Zostera noltei</w:t>
      </w:r>
      <w:r>
        <w:t xml:space="preserve">, a critical component of coastal ecosystems facing increased thermal stress due to climate change. By examining reflectance and pigment </w:t>
      </w:r>
      <w:r>
        <w:lastRenderedPageBreak/>
        <w:t>composition under controlled experimental conditions and validating these findings with satellite data, we aimed to understand how extreme heat events affect seagrass health and assess the potential of remote sensing to monitor these impacts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 predicted increase in the frequency and intensity of heatwaves, the vulnerability of intertidal zones to such events will likely intensify compromising meadows survival and their ecosystem functions.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p w14:paraId="264D366D" w14:textId="77777777" w:rsidR="00E24035" w:rsidRDefault="00000000">
      <w:pPr>
        <w:pStyle w:val="Heading1"/>
      </w:pPr>
      <w:bookmarkStart w:id="57" w:name="annexes"/>
      <w:bookmarkEnd w:id="56"/>
      <w:r>
        <w:lastRenderedPageBreak/>
        <w:t>7. Annexes</w:t>
      </w:r>
    </w:p>
    <w:p w14:paraId="7B2DADF7" w14:textId="77777777" w:rsidR="00E24035" w:rsidRDefault="00000000">
      <w:pPr>
        <w:pStyle w:val="Heading2"/>
      </w:pPr>
      <w:bookmarkStart w:id="58" w:name="sec-AnnexeA"/>
      <w:r>
        <w:t>7.1 Annexes A - Temperatures of the experiment</w:t>
      </w:r>
    </w:p>
    <w:p w14:paraId="2277C9AE" w14:textId="77777777" w:rsidR="00E24035" w:rsidRDefault="00000000">
      <w:pPr>
        <w:pStyle w:val="CaptionedFigure"/>
      </w:pPr>
      <w:r>
        <w:rPr>
          <w:noProof/>
        </w:rPr>
        <w:drawing>
          <wp:inline distT="0" distB="0" distL="0" distR="0" wp14:anchorId="1ED55FA1" wp14:editId="7AC256F6">
            <wp:extent cx="5943600" cy="5943600"/>
            <wp:effectExtent l="0" t="0" r="0" b="0"/>
            <wp:docPr id="118" name="Picture"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wp:cNvGraphicFramePr/>
            <a:graphic xmlns:a="http://schemas.openxmlformats.org/drawingml/2006/main">
              <a:graphicData uri="http://schemas.openxmlformats.org/drawingml/2006/picture">
                <pic:pic xmlns:pic="http://schemas.openxmlformats.org/drawingml/2006/picture">
                  <pic:nvPicPr>
                    <pic:cNvPr id="119" name="Picture" descr="Figs/High_res/Temperature_compare.png"/>
                    <pic:cNvPicPr>
                      <a:picLocks noChangeAspect="1" noChangeArrowheads="1"/>
                    </pic:cNvPicPr>
                  </pic:nvPicPr>
                  <pic:blipFill>
                    <a:blip r:embed="rId20"/>
                    <a:stretch>
                      <a:fillRect/>
                    </a:stretch>
                  </pic:blipFill>
                  <pic:spPr bwMode="auto">
                    <a:xfrm>
                      <a:off x="0" y="0"/>
                      <a:ext cx="5943600" cy="5943600"/>
                    </a:xfrm>
                    <a:prstGeom prst="rect">
                      <a:avLst/>
                    </a:prstGeom>
                    <a:noFill/>
                    <a:ln w="9525">
                      <a:noFill/>
                      <a:headEnd/>
                      <a:tailEnd/>
                    </a:ln>
                  </pic:spPr>
                </pic:pic>
              </a:graphicData>
            </a:graphic>
          </wp:inline>
        </w:drawing>
      </w:r>
    </w:p>
    <w:p w14:paraId="6880CFE1" w14:textId="77777777" w:rsidR="00E24035" w:rsidRDefault="00000000">
      <w:pPr>
        <w:pStyle w:val="ImageCaption"/>
      </w:pPr>
      <w:r>
        <w:t>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14:paraId="30B3E95E" w14:textId="77777777" w:rsidR="00E24035" w:rsidRDefault="00000000">
      <w:pPr>
        <w:pStyle w:val="BodyText"/>
      </w:pPr>
      <w:r>
        <w:t xml:space="preserve">On average, </w:t>
      </w:r>
      <w:r>
        <w:rPr>
          <w:i/>
          <w:iCs/>
        </w:rPr>
        <w:t>in situ</w:t>
      </w:r>
      <w:r>
        <w:t xml:space="preserve"> temperatures were 3 ± 3.2°C higher than those recorded by Meteo France. Additionally, temperatures recorded by Meteo France were more stable </w:t>
      </w:r>
      <w:r>
        <w:lastRenderedPageBreak/>
        <w:t xml:space="preserve">than those from the </w:t>
      </w:r>
      <w:r>
        <w:rPr>
          <w:i/>
          <w:iCs/>
        </w:rPr>
        <w:t>in situ</w:t>
      </w:r>
      <w:r>
        <w:t xml:space="preserve"> sensors, likely due to the sheltered and shaded location of the Meteo France equipment. This difference was used to adjust heatwave temperatures measured by Meteo France to better reflect the conditions experienced by the seagrasses.</w:t>
      </w:r>
    </w:p>
    <w:p w14:paraId="010C93F1" w14:textId="77777777" w:rsidR="00E24035" w:rsidRDefault="00000000">
      <w:pPr>
        <w:pStyle w:val="Heading1"/>
      </w:pPr>
      <w:bookmarkStart w:id="59" w:name="references"/>
      <w:bookmarkEnd w:id="57"/>
      <w:bookmarkEnd w:id="58"/>
      <w:r>
        <w:t>8. References</w:t>
      </w:r>
    </w:p>
    <w:p w14:paraId="5A944164" w14:textId="77777777" w:rsidR="00E24035" w:rsidRDefault="00000000">
      <w:pPr>
        <w:pStyle w:val="Bibliography"/>
      </w:pPr>
      <w:bookmarkStart w:id="60" w:name="ref-akbar2020mangrove"/>
      <w:bookmarkStart w:id="61" w:name="refs"/>
      <w:r>
        <w:t>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p w14:paraId="049D860E" w14:textId="77777777" w:rsidR="00E24035" w:rsidRDefault="00000000">
      <w:pPr>
        <w:pStyle w:val="Bibliography"/>
      </w:pPr>
      <w:bookmarkStart w:id="62" w:name="ref-armitage2016carbon"/>
      <w:bookmarkEnd w:id="60"/>
      <w:r>
        <w:t>Armitage, A., Fourqurean, J.W., 2016. Carbon storage in seagrass soils: Long-term nutrient history exceeds the effects of near-term nutrient enrichment. Biogeosciences 13, 313–321.</w:t>
      </w:r>
    </w:p>
    <w:p w14:paraId="2A2C752B" w14:textId="77777777" w:rsidR="00E24035" w:rsidRDefault="00000000">
      <w:pPr>
        <w:pStyle w:val="Bibliography"/>
      </w:pPr>
      <w:bookmarkStart w:id="63" w:name="ref-bastos2023high"/>
      <w:bookmarkEnd w:id="62"/>
      <w:r>
        <w:t>Bastos, M., Roebeling, P., Alves, F.L., Villasante, S., Magalhães Filho, L., 2023. High risk water pollution hazards affecting aveiro coastal lagoon (portugal)–a habitat risk assessment using InVEST. Ecological Informatics 76, 102144.</w:t>
      </w:r>
    </w:p>
    <w:p w14:paraId="0697C14D" w14:textId="77777777" w:rsidR="00E24035" w:rsidRDefault="00000000">
      <w:pPr>
        <w:pStyle w:val="Bibliography"/>
      </w:pPr>
      <w:bookmarkStart w:id="64" w:name="ref-berger2024eelgrass"/>
      <w:bookmarkEnd w:id="63"/>
      <w:r>
        <w:t xml:space="preserve">Berger, A.C., Berg, P., McGlathery, K.J., Aoki, L.R., Kerns, K., 2024. Eelgrass meadow response to heat stress. II. Impacts of ocean warming and marine heatwaves measured by novel metrics. Marine Ecology Progress Series 736, 47–62. </w:t>
      </w:r>
      <w:hyperlink r:id="rId21">
        <w:r>
          <w:rPr>
            <w:rStyle w:val="Hyperlink"/>
          </w:rPr>
          <w:t>https://doi.org/10.3354/meps14588</w:t>
        </w:r>
      </w:hyperlink>
    </w:p>
    <w:p w14:paraId="06DF4FD0" w14:textId="77777777" w:rsidR="00E24035" w:rsidRDefault="00000000">
      <w:pPr>
        <w:pStyle w:val="Bibliography"/>
      </w:pPr>
      <w:bookmarkStart w:id="65" w:name="ref-boyer1988senescence"/>
      <w:bookmarkEnd w:id="64"/>
      <w:r>
        <w:t>Boyer, M., Miller, J., Belanger, M., Hare, E., Wu, J., 1988. Senescence and spectral reflectance in leaves of northern pin oak (quercus palustris muenchh.). Remote Sensing of Environment 25, 71–87.</w:t>
      </w:r>
    </w:p>
    <w:p w14:paraId="400591D0" w14:textId="77777777" w:rsidR="00E24035" w:rsidRDefault="00000000">
      <w:pPr>
        <w:pStyle w:val="Bibliography"/>
      </w:pPr>
      <w:bookmarkStart w:id="66" w:name="ref-JSSv100i05"/>
      <w:bookmarkEnd w:id="65"/>
      <w:r>
        <w:t xml:space="preserve">Bürkner, P.-C., 2021. Bayesian item response modeling in r with brms and stan. Journal of Statistical Software 100, 1–54. </w:t>
      </w:r>
      <w:hyperlink r:id="rId22">
        <w:r>
          <w:rPr>
            <w:rStyle w:val="Hyperlink"/>
          </w:rPr>
          <w:t>https://doi.org/10.18637/jss.v100.i05</w:t>
        </w:r>
      </w:hyperlink>
    </w:p>
    <w:p w14:paraId="30B7BBB2" w14:textId="77777777" w:rsidR="00E24035" w:rsidRDefault="00000000">
      <w:pPr>
        <w:pStyle w:val="Bibliography"/>
      </w:pPr>
      <w:bookmarkStart w:id="67" w:name="ref-cabaco2009individual"/>
      <w:bookmarkEnd w:id="66"/>
      <w:r>
        <w:t>Cabaço, S., Machás, R., Santos, R., 2009. Individual and population plasticity of the seagrass zostera noltii along a vertical intertidal gradient. Estuarine, Coastal and Shelf Science 82, 301–308.</w:t>
      </w:r>
    </w:p>
    <w:p w14:paraId="13A85B0E" w14:textId="77777777" w:rsidR="00E24035" w:rsidRDefault="00000000">
      <w:pPr>
        <w:pStyle w:val="Bibliography"/>
      </w:pPr>
      <w:bookmarkStart w:id="68" w:name="ref-calleja2007relationship"/>
      <w:bookmarkEnd w:id="67"/>
      <w:r>
        <w:t>Calleja, M.L., Marbà, N., Duarte, C.M., 2007. The relationship between seagrass (posidonia oceanica) decline and sulfide porewater concentration in carbonate sediments. Estuarine, Coastal and Shelf Science 73, 583–588.</w:t>
      </w:r>
    </w:p>
    <w:p w14:paraId="3CB9F530" w14:textId="77777777" w:rsidR="00E24035" w:rsidRDefault="00000000">
      <w:pPr>
        <w:pStyle w:val="Bibliography"/>
      </w:pPr>
      <w:bookmarkStart w:id="69" w:name="ref-canadell2021ecosystem"/>
      <w:bookmarkEnd w:id="68"/>
      <w:r>
        <w:lastRenderedPageBreak/>
        <w:t>Canadell, J.G., Jackson, R.B., 2021. Ecosystem collapse and climate change. Springer.</w:t>
      </w:r>
    </w:p>
    <w:p w14:paraId="450008C1" w14:textId="77777777" w:rsidR="00E24035" w:rsidRDefault="00000000">
      <w:pPr>
        <w:pStyle w:val="Bibliography"/>
      </w:pPr>
      <w:bookmarkStart w:id="70" w:name="ref-carlson2018sea"/>
      <w:bookmarkEnd w:id="69"/>
      <w:r>
        <w:t>Carlson, D.F., Yarbro, L.A., Scolaro, S., Poniatowski, M., McGee-Absten, V., Carlson Jr, P.R., 2018. Sea surface temperatures and seagrass mortality in florida bay: Spatial and temporal patterns discerned from MODIS and AVHRR data. Remote Sensing of Environment 208, 171–188.</w:t>
      </w:r>
    </w:p>
    <w:p w14:paraId="2D5CB78B" w14:textId="77777777" w:rsidR="00E24035" w:rsidRDefault="00000000">
      <w:pPr>
        <w:pStyle w:val="Bibliography"/>
      </w:pPr>
      <w:bookmarkStart w:id="71" w:name="ref-JSSv076i01"/>
      <w:bookmarkEnd w:id="70"/>
      <w:r>
        <w:t xml:space="preserve">Carpenter, B., Gelman, A., Hoffman, M.D., Lee, D., Goodrich, B., Betancourt, M., Brubaker, M., Guo, J., Li, P., Riddell, A., 2017. Stan: A probabilistic programming language. Journal of Statistical Software 76, 1–32. </w:t>
      </w:r>
      <w:hyperlink r:id="rId23">
        <w:r>
          <w:rPr>
            <w:rStyle w:val="Hyperlink"/>
          </w:rPr>
          <w:t>https://doi.org/10.18637/jss.v076.i01</w:t>
        </w:r>
      </w:hyperlink>
    </w:p>
    <w:p w14:paraId="58FA2AC2" w14:textId="77777777" w:rsidR="00E24035" w:rsidRDefault="00000000">
      <w:pPr>
        <w:pStyle w:val="Bibliography"/>
      </w:pPr>
      <w:bookmarkStart w:id="72" w:name="ref-CMEMS_1"/>
      <w:bookmarkEnd w:id="71"/>
      <w:r>
        <w:t xml:space="preserve">CMEMS, 2024. European north west shelf/iberia biscay irish seas – high resolution ODYSSEA sea surface temperature multi-sensor L3 observations reprocessed, e.u. Copernicus marine service information (CMEMS). Marine data store (MDS). (Accessed on 17-10-2024). </w:t>
      </w:r>
      <w:hyperlink r:id="rId24">
        <w:r>
          <w:rPr>
            <w:rStyle w:val="Hyperlink"/>
          </w:rPr>
          <w:t>https://doi.org/10.48670/moi-00311</w:t>
        </w:r>
      </w:hyperlink>
    </w:p>
    <w:p w14:paraId="10473776" w14:textId="77777777" w:rsidR="00E24035" w:rsidRDefault="00000000">
      <w:pPr>
        <w:pStyle w:val="Bibliography"/>
      </w:pPr>
      <w:bookmarkStart w:id="73" w:name="ref-dascaliuc2007heat"/>
      <w:bookmarkEnd w:id="72"/>
      <w:r>
        <w:t xml:space="preserve">Dascaliuc, A., Ralea, T., Cuza, P., 2007. Influence of heat shock on chlorophyll fluorescence of white oak (quercus pubescens willd.) leaves. Photosynthetica 45, 469–471. </w:t>
      </w:r>
      <w:hyperlink r:id="rId25">
        <w:r>
          <w:rPr>
            <w:rStyle w:val="Hyperlink"/>
          </w:rPr>
          <w:t>https://doi.org/10.1007/s11099-007-0084-3</w:t>
        </w:r>
      </w:hyperlink>
    </w:p>
    <w:p w14:paraId="17275B53" w14:textId="77777777" w:rsidR="00E24035" w:rsidRDefault="00000000">
      <w:pPr>
        <w:pStyle w:val="Bibliography"/>
      </w:pPr>
      <w:bookmarkStart w:id="74" w:name="ref-davies2023multi"/>
      <w:bookmarkEnd w:id="73"/>
      <w:r>
        <w:t>Davies, B.F.R., Gernez, P., Geraud, A., Oiry, S., Rosa, P., Zoffoli, M.L., Barillé, L., 2023. Multi-and hyperspectral classification of soft-bottom intertidal vegetation using a spectral library for coastal biodiversity remote sensing. Remote Sensing of Environment 290, 113554.</w:t>
      </w:r>
    </w:p>
    <w:p w14:paraId="5BE72E22" w14:textId="77777777" w:rsidR="00E24035" w:rsidRDefault="00000000">
      <w:pPr>
        <w:pStyle w:val="Bibliography"/>
      </w:pPr>
      <w:bookmarkStart w:id="75" w:name="ref-davies2024sentinel"/>
      <w:bookmarkEnd w:id="74"/>
      <w:r>
        <w:t xml:space="preserve">Davies, B.F.R., Oiry, S., Rosa, P., Zoffoli, M.L., Sousa, A.I., Thomas, O.R., Smale, D.A., Austen, M.C., Biermann, L., Attrill, M.J., others, 2024a. A sentinel watching over inter-tidal seagrass phenology across western europe and north africa. Communications Earth &amp; Environment 5, 382. </w:t>
      </w:r>
      <w:hyperlink r:id="rId26">
        <w:r>
          <w:rPr>
            <w:rStyle w:val="Hyperlink"/>
          </w:rPr>
          <w:t>https://doi.org/10.1038/s43247-024-01543-z</w:t>
        </w:r>
      </w:hyperlink>
    </w:p>
    <w:p w14:paraId="4EE1A3EB" w14:textId="77777777" w:rsidR="00E24035" w:rsidRDefault="00000000">
      <w:pPr>
        <w:pStyle w:val="Bibliography"/>
      </w:pPr>
      <w:bookmarkStart w:id="76" w:name="ref-davies2024intertidal"/>
      <w:bookmarkEnd w:id="75"/>
      <w:r>
        <w:t xml:space="preserve">Davies, B.F.R., Oiry, S., Rosa, P., Zoffoli, M.L., Sousa, A.I., Thomas, O.R., Smale, D.A., Austen, M.C., Biermann, L., Attrill, M.J., others, 2024b. Intertidal seagrass extent from sentinel-2 time-series show distinct trajectories in western europe. Remote Sensing of Environment 312, 114340. </w:t>
      </w:r>
      <w:hyperlink r:id="rId27">
        <w:r>
          <w:rPr>
            <w:rStyle w:val="Hyperlink"/>
          </w:rPr>
          <w:t>https://doi.org/10.1016/j.rse.2024.114340</w:t>
        </w:r>
      </w:hyperlink>
    </w:p>
    <w:p w14:paraId="415A58D8" w14:textId="77777777" w:rsidR="00E24035" w:rsidRDefault="00000000">
      <w:pPr>
        <w:pStyle w:val="Bibliography"/>
      </w:pPr>
      <w:bookmarkStart w:id="77" w:name="ref-de2022increased"/>
      <w:bookmarkEnd w:id="76"/>
      <w:r>
        <w:t>De Fouw, J., Rehlmeyer, K., Geest, M. van der, Smolders, A.J., Van Der Heide, T., 2022. Increased temperature reduces the positive effect of sulfide-detoxification mutualism on zostera noltii nutrient uptake and growth. Marine Ecology Progress Series 692, 43–52.</w:t>
      </w:r>
    </w:p>
    <w:p w14:paraId="420F3494" w14:textId="77777777" w:rsidR="00E24035" w:rsidRDefault="00000000">
      <w:pPr>
        <w:pStyle w:val="Bibliography"/>
      </w:pPr>
      <w:bookmarkStart w:id="78" w:name="ref-deguette2022physiological"/>
      <w:bookmarkEnd w:id="77"/>
      <w:r>
        <w:t>Deguette, A., Barrote, I., Silva, J., 2022. Physiological and morphological effects of a marine heatwave on the seagrass cymodocea nodosa. Scientific Reports 12, 7950.</w:t>
      </w:r>
    </w:p>
    <w:p w14:paraId="5C60F100" w14:textId="77777777" w:rsidR="00E24035" w:rsidRDefault="00000000">
      <w:pPr>
        <w:pStyle w:val="Bibliography"/>
      </w:pPr>
      <w:bookmarkStart w:id="79" w:name="ref-devi2024intensity"/>
      <w:bookmarkEnd w:id="78"/>
      <w:r>
        <w:lastRenderedPageBreak/>
        <w:t>Devi, R., Gouda, K., Lenka, S., 2024. Intensity duration and frequency of heat wave in different phases of MJO over india. Atmospheric Research 300, 107250.</w:t>
      </w:r>
    </w:p>
    <w:p w14:paraId="0E0A61AC" w14:textId="77777777" w:rsidR="00E24035" w:rsidRDefault="00000000">
      <w:pPr>
        <w:pStyle w:val="Bibliography"/>
      </w:pPr>
      <w:bookmarkStart w:id="80" w:name="ref-douay2022new"/>
      <w:bookmarkEnd w:id="79"/>
      <w:r>
        <w:t>Douay, F., Verpoorter, C., Duong, G., Spilmont, N., Gevaert, F., 2022. New hyperspectral procedure to discriminate intertidal macroalgae. Remote Sensing 14, 346.</w:t>
      </w:r>
    </w:p>
    <w:p w14:paraId="3F51C0B3" w14:textId="77777777" w:rsidR="00E24035" w:rsidRDefault="00000000">
      <w:pPr>
        <w:pStyle w:val="Bibliography"/>
      </w:pPr>
      <w:bookmarkStart w:id="81" w:name="ref-electricblue_intertidal_chamber"/>
      <w:bookmarkEnd w:id="80"/>
      <w:r>
        <w:t xml:space="preserve">Electric Blue, 2023. </w:t>
      </w:r>
      <w:hyperlink r:id="rId28">
        <w:r>
          <w:rPr>
            <w:rStyle w:val="Hyperlink"/>
          </w:rPr>
          <w:t>Intertidal chamber</w:t>
        </w:r>
      </w:hyperlink>
      <w:r>
        <w:t>.</w:t>
      </w:r>
    </w:p>
    <w:p w14:paraId="3E5A7C3A" w14:textId="77777777" w:rsidR="00E24035" w:rsidRDefault="00000000">
      <w:pPr>
        <w:pStyle w:val="Bibliography"/>
      </w:pPr>
      <w:bookmarkStart w:id="82" w:name="ref-sen2cor"/>
      <w:bookmarkEnd w:id="81"/>
      <w:r>
        <w:t>European Space Agency, 2024b. Sen2Cor: Sentinel-2 atmospheric correction processor.</w:t>
      </w:r>
    </w:p>
    <w:p w14:paraId="305C97CF" w14:textId="77777777" w:rsidR="00E24035" w:rsidRDefault="00000000">
      <w:pPr>
        <w:pStyle w:val="Bibliography"/>
      </w:pPr>
      <w:bookmarkStart w:id="83" w:name="ref-copernicus_sentinel2"/>
      <w:bookmarkEnd w:id="82"/>
      <w:r>
        <w:t>European Space Agency, 2024a. Copernicus open access hub.</w:t>
      </w:r>
    </w:p>
    <w:p w14:paraId="6B38B8C3" w14:textId="77777777" w:rsidR="00E24035" w:rsidRDefault="00000000">
      <w:pPr>
        <w:pStyle w:val="Bibliography"/>
      </w:pPr>
      <w:bookmarkStart w:id="84" w:name="ref-folmer2012seagrass"/>
      <w:bookmarkEnd w:id="83"/>
      <w:r>
        <w:t>Folmer, E.O., Geest, M. van der, Jansen, E., Olff, H., Michael Anderson, T., Piersma, T., Gils, J.A. van, 2012. Seagrass–sediment feedback: An exploration using a non-recursive structural equation model. Ecosystems 15, 1380–1393.</w:t>
      </w:r>
    </w:p>
    <w:p w14:paraId="7A150580" w14:textId="77777777" w:rsidR="00E24035" w:rsidRDefault="00000000">
      <w:pPr>
        <w:pStyle w:val="Bibliography"/>
      </w:pPr>
      <w:bookmarkStart w:id="85" w:name="ref-franssen2014genome"/>
      <w:bookmarkEnd w:id="84"/>
      <w:r>
        <w:t>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p w14:paraId="1380F8A9" w14:textId="77777777" w:rsidR="00E24035" w:rsidRDefault="00000000">
      <w:pPr>
        <w:pStyle w:val="Bibliography"/>
      </w:pPr>
      <w:bookmarkStart w:id="86" w:name="ref-gacia1999approach"/>
      <w:bookmarkEnd w:id="85"/>
      <w:r>
        <w:t>Gacia, E., Granata, T., Duarte, C., 1999. An approach to measurement of particle flux and sediment retention within seagrass (posidonia oceanica) meadows. Aquatic Botany 65, 255–268.</w:t>
      </w:r>
    </w:p>
    <w:p w14:paraId="55D03A4B" w14:textId="77777777" w:rsidR="00E24035" w:rsidRDefault="00000000">
      <w:pPr>
        <w:pStyle w:val="Bibliography"/>
      </w:pPr>
      <w:bookmarkStart w:id="87" w:name="ref-garbulsky2011photochemical"/>
      <w:bookmarkEnd w:id="86"/>
      <w:r>
        <w:t>Garbulsky, M.F., Peñuelas, J., Gamon, J., Inoue, Y., Filella, I., 2011. The photochemical reflectance index (PRI) and the remote sensing of leaf, canopy and ecosystem radiation use efficiencies: A review and meta-analysis. Remote sensing of environment 115, 281–297.</w:t>
      </w:r>
    </w:p>
    <w:p w14:paraId="3059335A" w14:textId="77777777" w:rsidR="00E24035" w:rsidRDefault="00000000">
      <w:pPr>
        <w:pStyle w:val="Bibliography"/>
      </w:pPr>
      <w:bookmarkStart w:id="88" w:name="ref-gardner2018global"/>
      <w:bookmarkEnd w:id="87"/>
      <w:r>
        <w:t>Gardner, R.C., Finlayson, C., 2018. Global wetland outlook: State of the world’s wetlands and their services to people, in: Ramsar Convention Secretariat. pp. 2020–5.</w:t>
      </w:r>
    </w:p>
    <w:p w14:paraId="6913D0F2" w14:textId="77777777" w:rsidR="00E24035" w:rsidRDefault="00000000">
      <w:pPr>
        <w:pStyle w:val="Bibliography"/>
      </w:pPr>
      <w:bookmarkStart w:id="89" w:name="ref-gladstone2018biomass"/>
      <w:bookmarkEnd w:id="88"/>
      <w:r>
        <w:t>Gladstone-Gallagher, R.V., Hughes, R.W., Douglas, E.J., Pilditch, C.A., 2018. Biomass-dependent seagrass resilience to sediment eutrophication. Journal of Experimental Marine Biology and Ecology 501, 54–64.</w:t>
      </w:r>
    </w:p>
    <w:p w14:paraId="3843B82B" w14:textId="77777777" w:rsidR="00E24035" w:rsidRDefault="00000000">
      <w:pPr>
        <w:pStyle w:val="Bibliography"/>
      </w:pPr>
      <w:bookmarkStart w:id="90" w:name="ref-green2021historical"/>
      <w:bookmarkEnd w:id="89"/>
      <w:r>
        <w:t>Green, A.E., Unsworth, R.K., Chadwick, M.A., Jones, P.J., 2021. Historical analysis exposes catastrophic seagrass loss for the united kingdom. Frontiers in plant science 12, 629962.</w:t>
      </w:r>
    </w:p>
    <w:p w14:paraId="18FD24D0" w14:textId="77777777" w:rsidR="00E24035" w:rsidRDefault="00000000">
      <w:pPr>
        <w:pStyle w:val="Bibliography"/>
      </w:pPr>
      <w:bookmarkStart w:id="91" w:name="ref-guerrero2020heat"/>
      <w:bookmarkEnd w:id="90"/>
      <w:r>
        <w:t>Guerrero-Meseguer, L., Marı́n, A., Sanz-Lázaro, C., 2020. Heat wave intensity can vary the cumulative effects of multiple environmental stressors on posidonia oceanica seedlings. Marine Environmental Research 159, 105001.</w:t>
      </w:r>
    </w:p>
    <w:p w14:paraId="4279F536" w14:textId="77777777" w:rsidR="00E24035" w:rsidRDefault="00000000">
      <w:pPr>
        <w:pStyle w:val="Bibliography"/>
      </w:pPr>
      <w:bookmarkStart w:id="92" w:name="ref-hatum2024predicting"/>
      <w:bookmarkEnd w:id="91"/>
      <w:r>
        <w:lastRenderedPageBreak/>
        <w:t xml:space="preserve">Hatum, P.S., McMahon, K., Mengersen, K., Kilminster, K., Wu, P.P.-Y., 2024. Predicting seagrass ecosystem resilience to marine heatwave events of variable duration, frequency and re-occurrence patterns with gaps. Aquatic Conservation: Marine and Freshwater Ecosystems 34, e4210. </w:t>
      </w:r>
      <w:hyperlink r:id="rId29">
        <w:r>
          <w:rPr>
            <w:rStyle w:val="Hyperlink"/>
          </w:rPr>
          <w:t>https://doi.org/10.1002/aqc.4210</w:t>
        </w:r>
      </w:hyperlink>
    </w:p>
    <w:p w14:paraId="5BC0F48E" w14:textId="77777777" w:rsidR="00E24035" w:rsidRDefault="00000000">
      <w:pPr>
        <w:pStyle w:val="Bibliography"/>
      </w:pPr>
      <w:bookmarkStart w:id="93" w:name="ref-hobday2016hierarchical"/>
      <w:bookmarkEnd w:id="92"/>
      <w:r>
        <w:t>Hobday, A.J., Alexander, L.V., Perkins, S.E., Smale, D.A., Straub, S.C., Oliver, E.C., Benthuysen, J.A., Burrows, M.T., Donat, M.G., Feng, M., others, 2016. A hierarchical approach to defining marine heatwaves. Progress in oceanography 141, 227–238.</w:t>
      </w:r>
    </w:p>
    <w:p w14:paraId="1472C08F" w14:textId="77777777" w:rsidR="00E24035" w:rsidRDefault="00000000">
      <w:pPr>
        <w:pStyle w:val="Bibliography"/>
      </w:pPr>
      <w:bookmarkStart w:id="94" w:name="ref-hobday2018categorizing"/>
      <w:bookmarkEnd w:id="93"/>
      <w:r>
        <w:t>Hobday, A.J., Oliver, E.C., Gupta, A.S., Benthuysen, J.A., Burrows, M.T., Donat, M.G., Holbrook, N.J., Moore, P.J., Thomsen, M.S., Wernberg, T., others, 2018. Categorizing and naming marine heatwaves. Oceanography 31, 162–173.</w:t>
      </w:r>
    </w:p>
    <w:p w14:paraId="1151E0AE" w14:textId="77777777" w:rsidR="00E24035" w:rsidRDefault="00000000">
      <w:pPr>
        <w:pStyle w:val="Bibliography"/>
      </w:pPr>
      <w:bookmarkStart w:id="95" w:name="ref-hughes2004genetic"/>
      <w:bookmarkEnd w:id="94"/>
      <w:r>
        <w:t xml:space="preserve">Hughes, A.R., Stachowicz, J.J., 2004. Genetic diversity enhances the resistance of a seagrass ecosystem to disturbance. Proceedings of the National Academy of Sciences 101, 8998–9002. </w:t>
      </w:r>
      <w:hyperlink r:id="rId30">
        <w:r>
          <w:rPr>
            <w:rStyle w:val="Hyperlink"/>
          </w:rPr>
          <w:t>https://doi.org/10.1073/pnas.0402642101</w:t>
        </w:r>
      </w:hyperlink>
    </w:p>
    <w:p w14:paraId="0D252591" w14:textId="77777777" w:rsidR="00E24035" w:rsidRDefault="00000000">
      <w:pPr>
        <w:pStyle w:val="Bibliography"/>
      </w:pPr>
      <w:bookmarkStart w:id="96" w:name="ref-infantes2022seagrass"/>
      <w:bookmarkEnd w:id="95"/>
      <w:r>
        <w:t>Infantes, E., Hoeks, S., Adams, M.P., Heide, T. van der, Katwijk, M.M. van, Bouma, T.J., 2022. Seagrass roots strongly reduce cliff erosion rates in sandy sediments. Marine Ecology Progress Series 700, 1–12.</w:t>
      </w:r>
    </w:p>
    <w:p w14:paraId="651EE18C" w14:textId="77777777" w:rsidR="00E24035" w:rsidRDefault="00000000">
      <w:pPr>
        <w:pStyle w:val="Bibliography"/>
      </w:pPr>
      <w:bookmarkStart w:id="97" w:name="ref-ioc_sea_level_lecy"/>
      <w:bookmarkEnd w:id="96"/>
      <w:r>
        <w:t xml:space="preserve">IOC, 2024. </w:t>
      </w:r>
      <w:hyperlink r:id="rId31">
        <w:r>
          <w:rPr>
            <w:rStyle w:val="Hyperlink"/>
          </w:rPr>
          <w:t>Intergovernmental oceanographic commission ; sea level monitoring station - le conquet, france (LECY)</w:t>
        </w:r>
      </w:hyperlink>
      <w:r>
        <w:t>.</w:t>
      </w:r>
    </w:p>
    <w:p w14:paraId="6CBFA8B3" w14:textId="77777777" w:rsidR="00E24035" w:rsidRDefault="00000000">
      <w:pPr>
        <w:pStyle w:val="Bibliography"/>
      </w:pPr>
      <w:bookmarkStart w:id="98" w:name="ref-jankowska2019stabilizing"/>
      <w:bookmarkEnd w:id="97"/>
      <w:r>
        <w:t>Jankowska, E., Michel, L.N., Lepoint, G., Włodarska-Kowalczuk, M., 2019. Stabilizing effects of seagrass meadows on coastal water benthic food webs. Journal of Experimental Marine Biology and Ecology 510, 54–63.</w:t>
      </w:r>
    </w:p>
    <w:p w14:paraId="0FB7CA00" w14:textId="77777777" w:rsidR="00E24035" w:rsidRDefault="00000000">
      <w:pPr>
        <w:pStyle w:val="Bibliography"/>
      </w:pPr>
      <w:bookmarkStart w:id="99" w:name="ref-jones1992leaf"/>
      <w:bookmarkEnd w:id="98"/>
      <w:r>
        <w:t xml:space="preserve">Jones, R.B., Clayton-Greene, K.A., 1992. The role of photosynthesis and oxidative reactions in leaf blackening of protea neriifolia r. Br. leaves. Scientia Horticulturae 50, 137–145. </w:t>
      </w:r>
      <w:hyperlink r:id="rId32">
        <w:r>
          <w:rPr>
            <w:rStyle w:val="Hyperlink"/>
          </w:rPr>
          <w:t>https://doi.org/10.1016/S0304-4238(05)80016-0</w:t>
        </w:r>
      </w:hyperlink>
    </w:p>
    <w:p w14:paraId="18CD15EE" w14:textId="77777777" w:rsidR="00E24035" w:rsidRDefault="00000000">
      <w:pPr>
        <w:pStyle w:val="Bibliography"/>
      </w:pPr>
      <w:bookmarkStart w:id="100" w:name="ref-knipling1970reflectance"/>
      <w:bookmarkEnd w:id="99"/>
      <w:r>
        <w:t xml:space="preserve">Knipling, E.B., 1970. Physical and physiological basis for the reflectance of visible and near-infrared radiation from vegetation. Remote Sensing of Environment 1, 155–159. </w:t>
      </w:r>
      <w:hyperlink r:id="rId33">
        <w:r>
          <w:rPr>
            <w:rStyle w:val="Hyperlink"/>
          </w:rPr>
          <w:t>https://doi.org/10.1016/S0034-4257(70)80021-9</w:t>
        </w:r>
      </w:hyperlink>
    </w:p>
    <w:p w14:paraId="0ECEFA38" w14:textId="77777777" w:rsidR="00E24035" w:rsidRDefault="00000000">
      <w:pPr>
        <w:pStyle w:val="Bibliography"/>
      </w:pPr>
      <w:bookmarkStart w:id="101" w:name="ref-hsdar"/>
      <w:bookmarkEnd w:id="100"/>
      <w:r>
        <w:t>Lehnert, L.W., Meyer, H., Bendix, J., 2017. Hsdar: Manage, analyse and simulate hyperspectral data in r.</w:t>
      </w:r>
    </w:p>
    <w:p w14:paraId="3561F702" w14:textId="77777777" w:rsidR="00E24035" w:rsidRDefault="00000000">
      <w:pPr>
        <w:pStyle w:val="Bibliography"/>
      </w:pPr>
      <w:bookmarkStart w:id="102" w:name="ref-loarie2009velocity"/>
      <w:bookmarkEnd w:id="101"/>
      <w:r>
        <w:t>Loarie, S.R., Duffy, P.B., Hamilton, H., Asner, G.P., Field, C.B., Ackerly, D.D., 2009. The velocity of climate change. Nature 462, 1052–1055.</w:t>
      </w:r>
    </w:p>
    <w:p w14:paraId="0A4DD834" w14:textId="77777777" w:rsidR="00E24035" w:rsidRDefault="00000000">
      <w:pPr>
        <w:pStyle w:val="Bibliography"/>
      </w:pPr>
      <w:bookmarkStart w:id="103" w:name="ref-louhaichi2001spatially"/>
      <w:bookmarkEnd w:id="102"/>
      <w:r>
        <w:lastRenderedPageBreak/>
        <w:t>Louhaichi, M., Borman, M.M., Johnson, D.E., 2001. Spatially located platform and aerial photography for documentation of grazing impacts on wheat. Geocarto International 16, 65–70.</w:t>
      </w:r>
    </w:p>
    <w:p w14:paraId="676BF983" w14:textId="77777777" w:rsidR="00E24035" w:rsidRDefault="00000000">
      <w:pPr>
        <w:pStyle w:val="Bibliography"/>
      </w:pPr>
      <w:bookmarkStart w:id="104" w:name="ref-malvern_panalytical_rs3"/>
      <w:bookmarkEnd w:id="103"/>
      <w:r>
        <w:t xml:space="preserve">Malvern Panalytical, 2023. </w:t>
      </w:r>
      <w:hyperlink r:id="rId34">
        <w:r>
          <w:rPr>
            <w:rStyle w:val="Hyperlink"/>
          </w:rPr>
          <w:t>RS3 software</w:t>
        </w:r>
      </w:hyperlink>
      <w:r>
        <w:t>.</w:t>
      </w:r>
    </w:p>
    <w:p w14:paraId="34500064" w14:textId="77777777" w:rsidR="00E24035" w:rsidRDefault="00000000">
      <w:pPr>
        <w:pStyle w:val="Bibliography"/>
      </w:pPr>
      <w:bookmarkStart w:id="105" w:name="ref-marba2010mediterranean"/>
      <w:bookmarkEnd w:id="104"/>
      <w:r>
        <w:t>Marbà, N., Duarte, C.M., 2010. Mediterranean warming triggers seagrass (posidonia oceanica) shoot mortality. Global change biology 16, 2366–2375.</w:t>
      </w:r>
    </w:p>
    <w:p w14:paraId="7C2BC215" w14:textId="77777777" w:rsidR="00E24035" w:rsidRDefault="00000000">
      <w:pPr>
        <w:pStyle w:val="Bibliography"/>
      </w:pPr>
      <w:bookmarkStart w:id="106" w:name="ref-marien2019detecting"/>
      <w:bookmarkEnd w:id="105"/>
      <w:r>
        <w:t>Mariën, B., Balzarolo, M., Dox, I., Leys, S., Lorène, M.J., Geron, C., Portillo-Estrada, M., AbdElgawad, H., Asard, H., Campioli, M., 2019. Detecting the onset of autumn leaf senescence in deciduous forest trees of the temperate zone. New Phytologist 224, 166–176.</w:t>
      </w:r>
    </w:p>
    <w:p w14:paraId="35C1A3F4" w14:textId="77777777" w:rsidR="00E24035" w:rsidRDefault="00000000">
      <w:pPr>
        <w:pStyle w:val="Bibliography"/>
      </w:pPr>
      <w:bookmarkStart w:id="107" w:name="ref-massa2009temperature"/>
      <w:bookmarkEnd w:id="106"/>
      <w:r>
        <w:t>Massa, S., Arnaud-Haond, S., Pearson, G., Serrão, E., 2009. Temperature tolerance and survival of intertidal populations of the seagrass zostera noltii (hornemann) in southern europe (ria formosa, portugal). Hydrobiologia 619, 195–201.</w:t>
      </w:r>
    </w:p>
    <w:p w14:paraId="60BB9916" w14:textId="77777777" w:rsidR="00E24035" w:rsidRDefault="00000000">
      <w:pPr>
        <w:pStyle w:val="Bibliography"/>
      </w:pPr>
      <w:bookmarkStart w:id="108" w:name="ref-mazdiyasni2019hidf"/>
      <w:bookmarkEnd w:id="107"/>
      <w:r>
        <w:t xml:space="preserve">Mazdiyasni, O., Sadegh, M., Chiang, F., AghaKouchak, A., 2019. Heat wave intensity duration frequency curve: A multivariate approach for hazard and attribution analysis. Scientific Reports 9, 14117. </w:t>
      </w:r>
      <w:hyperlink r:id="rId35">
        <w:r>
          <w:rPr>
            <w:rStyle w:val="Hyperlink"/>
          </w:rPr>
          <w:t>https://doi.org/10.1038/s41598-019-50643-w</w:t>
        </w:r>
      </w:hyperlink>
    </w:p>
    <w:p w14:paraId="17ECCBD8" w14:textId="77777777" w:rsidR="00E24035" w:rsidRDefault="00000000">
      <w:pPr>
        <w:pStyle w:val="Bibliography"/>
      </w:pPr>
      <w:bookmarkStart w:id="109" w:name="ref-moore2008environmental"/>
      <w:bookmarkEnd w:id="108"/>
      <w:r>
        <w:t>Moore, K.A., Jarvis, J.C., 2008. Environmental factors affecting recent summertime eelgrass diebacks in the lower chesapeake bay: Implications for long-term persistence. Journal of Coastal Research 135–147.</w:t>
      </w:r>
    </w:p>
    <w:p w14:paraId="7254D1B1" w14:textId="77777777" w:rsidR="00E24035" w:rsidRDefault="00000000">
      <w:pPr>
        <w:pStyle w:val="Bibliography"/>
      </w:pPr>
      <w:bookmarkStart w:id="110" w:name="ref-o2018seagrass"/>
      <w:bookmarkEnd w:id="109"/>
      <w:r>
        <w:t>O’Brien, K.R., Waycott, M., Maxwell, P., Kendrick, G.A., Udy, J.W., Ferguson, A.J., Kilminster, K., Scanes, P., McKenzie, L.J., McMahon, K., others, 2018. Seagrass ecosystem trajectory depends on the relative timescales of resistance, recovery and disturbance. Marine Pollution Bulletin 134, 166–176.</w:t>
      </w:r>
    </w:p>
    <w:p w14:paraId="3AFD644B" w14:textId="77777777" w:rsidR="00E24035" w:rsidRDefault="00000000">
      <w:pPr>
        <w:pStyle w:val="Bibliography"/>
      </w:pPr>
      <w:bookmarkStart w:id="111" w:name="ref-rs16234383"/>
      <w:bookmarkEnd w:id="110"/>
      <w:r>
        <w:t xml:space="preserve">Oiry, S., Davies, B.F.R., Sousa, A.I., Rosa, P., Zoffoli, M.L., Brunier, G., Gernez, P., Barillé, L., 2024. Discriminating seagrasses from green macroalgae in european intertidal areas using high-resolution multispectral drone imagery. Remote Sensing 16. </w:t>
      </w:r>
      <w:hyperlink r:id="rId36">
        <w:r>
          <w:rPr>
            <w:rStyle w:val="Hyperlink"/>
          </w:rPr>
          <w:t>https://doi.org/10.3390/rs16234383</w:t>
        </w:r>
      </w:hyperlink>
    </w:p>
    <w:p w14:paraId="25FD67CA" w14:textId="77777777" w:rsidR="00E24035" w:rsidRDefault="00000000">
      <w:pPr>
        <w:pStyle w:val="Bibliography"/>
      </w:pPr>
      <w:bookmarkStart w:id="112" w:name="ref-oliver2019projected"/>
      <w:bookmarkEnd w:id="111"/>
      <w:r>
        <w:t xml:space="preserve">Oliver, E.C.J., Burrows, M.T., Donat, M.G., others, 2019. Projected marine heatwaves in the 21st century and the potential for ecological impact. Frontiers in Marine Science 6, 734. </w:t>
      </w:r>
      <w:hyperlink r:id="rId37">
        <w:r>
          <w:rPr>
            <w:rStyle w:val="Hyperlink"/>
          </w:rPr>
          <w:t>https://doi.org/10.3389/fmars.2019.00734</w:t>
        </w:r>
      </w:hyperlink>
    </w:p>
    <w:p w14:paraId="0583825C" w14:textId="77777777" w:rsidR="00E24035" w:rsidRDefault="00000000">
      <w:pPr>
        <w:pStyle w:val="Bibliography"/>
      </w:pPr>
      <w:bookmarkStart w:id="113" w:name="ref-olmedo2020far"/>
      <w:bookmarkEnd w:id="112"/>
      <w:r>
        <w:t xml:space="preserve">Olmedo-Masat, O.M., Raffo, M.P., Rodrı́guez-Pérez, D., Arijón, M., Sánchez-Carnero, N., 2020. How far can we classify macroalgae remotely? An example using a new </w:t>
      </w:r>
      <w:r>
        <w:lastRenderedPageBreak/>
        <w:t>spectral library of species from the south west atlantic (argentine patagonia). Remote Sensing 12, 3870.</w:t>
      </w:r>
    </w:p>
    <w:p w14:paraId="212CABF6" w14:textId="77777777" w:rsidR="00E24035" w:rsidRDefault="00000000">
      <w:pPr>
        <w:pStyle w:val="Bibliography"/>
      </w:pPr>
      <w:bookmarkStart w:id="114" w:name="ref-pansch2018heat"/>
      <w:bookmarkEnd w:id="113"/>
      <w:r>
        <w:t xml:space="preserve">Pansch, C., Scotti, M., Barboza, F.R., others, 2018. Heat waves and their significance for a temperate benthic community: A near-natural experimental approach. Global Change Biology 24, 4357–4367. </w:t>
      </w:r>
      <w:hyperlink r:id="rId38">
        <w:r>
          <w:rPr>
            <w:rStyle w:val="Hyperlink"/>
          </w:rPr>
          <w:t>https://doi.org/10.1111/gcb.14282</w:t>
        </w:r>
      </w:hyperlink>
    </w:p>
    <w:p w14:paraId="49CDBA1C" w14:textId="77777777" w:rsidR="00E24035" w:rsidRDefault="00000000">
      <w:pPr>
        <w:pStyle w:val="Bibliography"/>
      </w:pPr>
      <w:bookmarkStart w:id="115" w:name="ref-penuelas2004leaf"/>
      <w:bookmarkEnd w:id="114"/>
      <w:r>
        <w:t>Peñuelas, J., Munné-Bosch, S., Llusià, J., Filella, I., 2004. Leaf reflectance and photo-and antioxidant protection in field-grown summer-stressed phillyrea angustifolia. Optical signals of oxidative stress? New Phytologist 162, 115–124.</w:t>
      </w:r>
    </w:p>
    <w:p w14:paraId="7469916C" w14:textId="77777777" w:rsidR="00E24035" w:rsidRDefault="00000000">
      <w:pPr>
        <w:pStyle w:val="Bibliography"/>
      </w:pPr>
      <w:bookmarkStart w:id="116" w:name="ref-perkins2013measurement"/>
      <w:bookmarkEnd w:id="115"/>
      <w:r>
        <w:t>Perkins, S.E., Alexander, L.V., 2013. On the measurement of heat waves. Journal of climate 26, 4500–4517.</w:t>
      </w:r>
    </w:p>
    <w:p w14:paraId="10FCC07E" w14:textId="77777777" w:rsidR="00E24035" w:rsidRDefault="00000000">
      <w:pPr>
        <w:pStyle w:val="Bibliography"/>
      </w:pPr>
      <w:bookmarkStart w:id="117" w:name="ref-Rbase"/>
      <w:bookmarkEnd w:id="116"/>
      <w:r>
        <w:t xml:space="preserve">R Core Team, 2023. </w:t>
      </w:r>
      <w:hyperlink r:id="rId39">
        <w:r>
          <w:rPr>
            <w:rStyle w:val="Hyperlink"/>
          </w:rPr>
          <w:t>R: A language and environment for statistical computing</w:t>
        </w:r>
      </w:hyperlink>
      <w:r>
        <w:t>. R Foundation for Statistical Computing, Vienna, Austria.</w:t>
      </w:r>
    </w:p>
    <w:p w14:paraId="4B7156BF" w14:textId="77777777" w:rsidR="00E24035" w:rsidRDefault="00000000">
      <w:pPr>
        <w:pStyle w:val="Bibliography"/>
      </w:pPr>
      <w:bookmarkStart w:id="118" w:name="ref-ramesh2020seagrass"/>
      <w:bookmarkEnd w:id="117"/>
      <w:r>
        <w:t>Ramesh, C., Mohanraju, R., 2020. Seagrass ecosystems of andaman and nicobar islands: Status and future perspective. Environmental &amp; Earth Sciences Research Journal 7.</w:t>
      </w:r>
    </w:p>
    <w:p w14:paraId="5619C756" w14:textId="77777777" w:rsidR="00E24035" w:rsidRDefault="00000000">
      <w:pPr>
        <w:pStyle w:val="Bibliography"/>
      </w:pPr>
      <w:bookmarkStart w:id="119" w:name="ref-reusch2005ecosystem"/>
      <w:bookmarkEnd w:id="118"/>
      <w:r>
        <w:t xml:space="preserve">Reusch, T.B., Ehlers, A., Hämmerli, A., Worm, B., 2005. Ecosystem recovery after climatic extremes enhanced by genotypic diversity. Proceedings of the National Academy of Sciences 102, 2826–2831. </w:t>
      </w:r>
      <w:hyperlink r:id="rId40">
        <w:r>
          <w:rPr>
            <w:rStyle w:val="Hyperlink"/>
          </w:rPr>
          <w:t>https://doi.org/10.1073/pnas.0500008102</w:t>
        </w:r>
      </w:hyperlink>
    </w:p>
    <w:p w14:paraId="360101F0" w14:textId="77777777" w:rsidR="00E24035" w:rsidRDefault="00000000">
      <w:pPr>
        <w:pStyle w:val="Bibliography"/>
      </w:pPr>
      <w:bookmarkStart w:id="120" w:name="ref-roman2021using"/>
      <w:bookmarkEnd w:id="119"/>
      <w:r>
        <w:t>Román, A., Tovar-Sánchez, A., Olivé, I., Navarro, G., 2021. Using a UAV-mounted multispectral camera for the monitoring of marine macrophytes. Frontiers in Marine Science 8, 722698.</w:t>
      </w:r>
    </w:p>
    <w:p w14:paraId="5FB429E7" w14:textId="77777777" w:rsidR="00E24035" w:rsidRDefault="00000000">
      <w:pPr>
        <w:pStyle w:val="Bibliography"/>
      </w:pPr>
      <w:bookmarkStart w:id="121" w:name="ref-rouse1974monitoring"/>
      <w:bookmarkEnd w:id="120"/>
      <w:r>
        <w:t>Rouse, J.W., Haas, R.H., Schell, J.A., Deering, D.W., others, 1974. Monitoring vegetation systems in the great plains with ERTS. NASA Spec. Publ 351, 309.</w:t>
      </w:r>
    </w:p>
    <w:p w14:paraId="1DB87B55" w14:textId="77777777" w:rsidR="00E24035" w:rsidRDefault="00000000">
      <w:pPr>
        <w:pStyle w:val="Bibliography"/>
      </w:pPr>
      <w:bookmarkStart w:id="122" w:name="ref-russo2023intensity"/>
      <w:bookmarkEnd w:id="121"/>
      <w:r>
        <w:t xml:space="preserve">Russo, E., Domeisen, D.I.V., 2023. Increasing intensity of extreme heatwaves: The crucial role of metrics. Geophysical Research Letters 50, e2023GL103540. </w:t>
      </w:r>
      <w:hyperlink r:id="rId41">
        <w:r>
          <w:rPr>
            <w:rStyle w:val="Hyperlink"/>
          </w:rPr>
          <w:t>https://doi.org/10.1029/2023GL103540</w:t>
        </w:r>
      </w:hyperlink>
    </w:p>
    <w:p w14:paraId="49601B62" w14:textId="77777777" w:rsidR="00E24035" w:rsidRDefault="00000000">
      <w:pPr>
        <w:pStyle w:val="Bibliography"/>
      </w:pPr>
      <w:bookmarkStart w:id="123" w:name="ref-samper2020characterization"/>
      <w:bookmarkEnd w:id="122"/>
      <w:r>
        <w:t>Samper-Villarreal, J., Bolaños, R.C., Heidemeyer, M., Vargas, M.M., Vargas, R.M., 2020. Characterization of seagrasses at two new locations in the eastern tropical pacific (el jobo and matapalito, costa rica). Aquatic botany 165, 103237.</w:t>
      </w:r>
    </w:p>
    <w:p w14:paraId="07075E97" w14:textId="77777777" w:rsidR="00E24035" w:rsidRDefault="00000000">
      <w:pPr>
        <w:pStyle w:val="Bibliography"/>
      </w:pPr>
      <w:bookmarkStart w:id="124" w:name="ref-sawall2021chronically"/>
      <w:bookmarkEnd w:id="123"/>
      <w:r>
        <w:t>Sawall, Y., Ito, M., Pansch, C., 2021. Chronically elevated sea surface temperatures revealed high susceptibility of the eelgrass zostera marina to winter and spring warming. Limnology and Oceanography 66, 4112–4124.</w:t>
      </w:r>
    </w:p>
    <w:p w14:paraId="40C46E1E" w14:textId="77777777" w:rsidR="00E24035" w:rsidRDefault="00000000">
      <w:pPr>
        <w:pStyle w:val="Bibliography"/>
      </w:pPr>
      <w:bookmarkStart w:id="125" w:name="ref-heatwaveR"/>
      <w:bookmarkEnd w:id="124"/>
      <w:r>
        <w:lastRenderedPageBreak/>
        <w:t xml:space="preserve">Schlegel, R.W., Smit, A.J., 2018. heatwaveR: A central algorithm for the detection of heatwaves and cold-spells. Journal of Open Source Software 3, 821. </w:t>
      </w:r>
      <w:hyperlink r:id="rId42">
        <w:r>
          <w:rPr>
            <w:rStyle w:val="Hyperlink"/>
          </w:rPr>
          <w:t>https://doi.org/10.21105/joss.00821</w:t>
        </w:r>
      </w:hyperlink>
    </w:p>
    <w:p w14:paraId="4AC155A1" w14:textId="77777777" w:rsidR="00E24035" w:rsidRDefault="00000000">
      <w:pPr>
        <w:pStyle w:val="Bibliography"/>
      </w:pPr>
      <w:bookmarkStart w:id="126" w:name="ref-scott2018role"/>
      <w:bookmarkEnd w:id="125"/>
      <w:r>
        <w:t>Scott, A.L., York, P.H., Duncan, C., Macreadie, P.I., Connolly, R.M., Ellis, M.T., Jarvis, J.C., Jinks, K.I., Marsh, H., Rasheed, M.A., 2018. The role of herbivory in structuring tropical seagrass ecosystem service delivery. Frontiers in Plant Science 9, 127.</w:t>
      </w:r>
    </w:p>
    <w:p w14:paraId="75FEEE6E" w14:textId="77777777" w:rsidR="00E24035" w:rsidRDefault="00000000">
      <w:pPr>
        <w:pStyle w:val="Bibliography"/>
      </w:pPr>
      <w:bookmarkStart w:id="127" w:name="ref-shom_ram_2022"/>
      <w:bookmarkEnd w:id="126"/>
      <w:r>
        <w:t xml:space="preserve">SHOM, 2022. </w:t>
      </w:r>
      <w:hyperlink r:id="rId43">
        <w:r>
          <w:rPr>
            <w:rStyle w:val="Hyperlink"/>
          </w:rPr>
          <w:t>Service hydrographique et océanographique de la marine ; références altimétriques maritimes: Ports de france métropolitaine et d’outre-mer, cotes du zéro hydrographique et niveaux caractéristiques de la marée</w:t>
        </w:r>
      </w:hyperlink>
      <w:r>
        <w:t>. Shom, Brest, France.</w:t>
      </w:r>
    </w:p>
    <w:p w14:paraId="500DF635" w14:textId="77777777" w:rsidR="00E24035" w:rsidRDefault="00000000">
      <w:pPr>
        <w:pStyle w:val="Bibliography"/>
      </w:pPr>
      <w:bookmarkStart w:id="128" w:name="Xbef41143b4d4042e58f11cfc27e216202646012"/>
      <w:bookmarkEnd w:id="127"/>
      <w:r>
        <w:t xml:space="preserve">SHOM, 2021. </w:t>
      </w:r>
      <w:hyperlink r:id="rId44" w:anchor="/metadata/BATHYMETRIE_LITTO3D_BZH_2018_2021.xml">
        <w:r>
          <w:rPr>
            <w:rStyle w:val="Hyperlink"/>
          </w:rPr>
          <w:t>Service hydrographique et océanographique de la marine ; bathymétrie Litto3D® bretagne 2018-2021</w:t>
        </w:r>
      </w:hyperlink>
      <w:r>
        <w:t>.</w:t>
      </w:r>
    </w:p>
    <w:p w14:paraId="42AB4005" w14:textId="77777777" w:rsidR="00E24035" w:rsidRDefault="00000000">
      <w:pPr>
        <w:pStyle w:val="Bibliography"/>
      </w:pPr>
      <w:bookmarkStart w:id="129" w:name="ref-simolo2022quantifying"/>
      <w:bookmarkEnd w:id="128"/>
      <w:r>
        <w:t xml:space="preserve">Simolo, C., Corti, S., 2022. Quantifying the role of variability in future intensification of heat extremes. Nature Communications 13. </w:t>
      </w:r>
      <w:hyperlink r:id="rId45">
        <w:r>
          <w:rPr>
            <w:rStyle w:val="Hyperlink"/>
          </w:rPr>
          <w:t>https://doi.org/10.1038/s41467-022-35571-0</w:t>
        </w:r>
      </w:hyperlink>
    </w:p>
    <w:p w14:paraId="3EC3E7D1" w14:textId="77777777" w:rsidR="00E24035" w:rsidRDefault="00000000">
      <w:pPr>
        <w:pStyle w:val="Bibliography"/>
      </w:pPr>
      <w:bookmarkStart w:id="130" w:name="ref-skendzic2023drought"/>
      <w:bookmarkEnd w:id="129"/>
      <w:r>
        <w:t>Skendzic, S., 2023. Drought stress in winter wheat-physiological responses and detection using remote and proximal sensing techniques, in: Smart Life Sciences and Technology for Sustainable Development. pp. 39–39.</w:t>
      </w:r>
    </w:p>
    <w:p w14:paraId="7CA11B42" w14:textId="77777777" w:rsidR="00E24035" w:rsidRDefault="00000000">
      <w:pPr>
        <w:pStyle w:val="Bibliography"/>
      </w:pPr>
      <w:bookmarkStart w:id="131" w:name="ref-smale2019marine"/>
      <w:bookmarkEnd w:id="130"/>
      <w:r>
        <w:t xml:space="preserve">Smale, D.A., Wernberg, T., Oliver, E.C.J., others, 2019. Marine heatwaves threaten global biodiversity and the provision of ecosystem services. Nature Climate Change 9, 306–312. </w:t>
      </w:r>
      <w:hyperlink r:id="rId46">
        <w:r>
          <w:rPr>
            <w:rStyle w:val="Hyperlink"/>
          </w:rPr>
          <w:t>https://doi.org/10.1038/s41558-019-0412-1</w:t>
        </w:r>
      </w:hyperlink>
    </w:p>
    <w:p w14:paraId="4B9FA71D" w14:textId="77777777" w:rsidR="00E24035" w:rsidRDefault="00000000">
      <w:pPr>
        <w:pStyle w:val="Bibliography"/>
      </w:pPr>
      <w:bookmarkStart w:id="132" w:name="ref-sousa2019blue"/>
      <w:bookmarkEnd w:id="131"/>
      <w:r>
        <w:t>Sousa, A.I., Silva, J.F. da, Azevedo, A., Lillebø, A.I., 2019. Blue carbon stock in zostera noltei meadows at ria de aveiro coastal lagoon (portugal) over a decade. Scientific reports 9, 14387.</w:t>
      </w:r>
    </w:p>
    <w:p w14:paraId="46DAF25B" w14:textId="77777777" w:rsidR="00E24035" w:rsidRDefault="00000000">
      <w:pPr>
        <w:pStyle w:val="Bibliography"/>
      </w:pPr>
      <w:bookmarkStart w:id="133" w:name="ref-stan2020rstan"/>
      <w:bookmarkEnd w:id="132"/>
      <w:r>
        <w:t>Stan Development Team, C., others, 2020. RStan: The r interface to stan. R package version 2.21. 2.</w:t>
      </w:r>
    </w:p>
    <w:p w14:paraId="58905956" w14:textId="77777777" w:rsidR="00E24035" w:rsidRDefault="00000000">
      <w:pPr>
        <w:pStyle w:val="Bibliography"/>
      </w:pPr>
      <w:bookmarkStart w:id="134" w:name="ref-stillman2019heat"/>
      <w:bookmarkEnd w:id="133"/>
      <w:r>
        <w:t xml:space="preserve">Stillman, J.H., 2019. Heat waves, the new normal: Summertime temperature extremes will impact animals, ecosystems, and human communities. Physiology 34, 86–100. </w:t>
      </w:r>
      <w:hyperlink r:id="rId47">
        <w:r>
          <w:rPr>
            <w:rStyle w:val="Hyperlink"/>
          </w:rPr>
          <w:t>https://doi.org/10.1152/physiol.00040.2018</w:t>
        </w:r>
      </w:hyperlink>
    </w:p>
    <w:p w14:paraId="34C00EA3" w14:textId="77777777" w:rsidR="00E24035" w:rsidRDefault="00000000">
      <w:pPr>
        <w:pStyle w:val="Bibliography"/>
      </w:pPr>
      <w:bookmarkStart w:id="135" w:name="ref-strydom2020too"/>
      <w:bookmarkEnd w:id="134"/>
      <w:r>
        <w:t>Strydom, S., Murray, K., Wilson, S., Huntley, B., Rule, M., Heithaus, M., Bessey, C., Kendrick, G.A., Burkholder, D., Fraser, M.W., others, 2020. Too hot to handle: Unprecedented seagrass death driven by marine heatwave in a world heritage area. Global change biology 26, 3525–3538.</w:t>
      </w:r>
    </w:p>
    <w:p w14:paraId="46FE4740" w14:textId="77777777" w:rsidR="00E24035" w:rsidRDefault="00000000">
      <w:pPr>
        <w:pStyle w:val="Bibliography"/>
      </w:pPr>
      <w:bookmarkStart w:id="136" w:name="ref-thomsen2023meadow"/>
      <w:bookmarkEnd w:id="135"/>
      <w:r>
        <w:lastRenderedPageBreak/>
        <w:t>Thomsen, E., Herbeck, L.S., Viana, I.G., Jennerjahn, T.C., 2023. Meadow trophic status regulates the nitrogen filter function of tropical seagrasses in seasonally eutrophic coastal waters. Limnology and Oceanography 68, 1906–1919.</w:t>
      </w:r>
    </w:p>
    <w:p w14:paraId="24003965" w14:textId="77777777" w:rsidR="00E24035" w:rsidRDefault="00000000">
      <w:pPr>
        <w:pStyle w:val="Bibliography"/>
      </w:pPr>
      <w:bookmarkStart w:id="137" w:name="ref-thomson2015extreme"/>
      <w:bookmarkEnd w:id="136"/>
      <w:r>
        <w:t>Thomson, J.A., Burkholder, D.A., Heithaus, M.R., Fourqurean, J.W., Fraser, M.W., Statton, J., Kendrick, G.A., 2015. Extreme temperatures, foundation species, and abrupt ecosystem change: An example from an iconic seagrass ecosystem. Global change biology 21, 1463–1474.</w:t>
      </w:r>
    </w:p>
    <w:p w14:paraId="37A694AF" w14:textId="77777777" w:rsidR="00E24035" w:rsidRDefault="00000000">
      <w:pPr>
        <w:pStyle w:val="Bibliography"/>
      </w:pPr>
      <w:bookmarkStart w:id="138" w:name="ref-unsworth2014biodiversity"/>
      <w:bookmarkEnd w:id="137"/>
      <w:r>
        <w:t>Unsworth, R., Cullen-Unsworth, L.C., 2014. Biodiversity, ecosystem services, and the conservation of seagrass meadows. Coast. Conserv 19, 95.</w:t>
      </w:r>
    </w:p>
    <w:p w14:paraId="0CA2D1DF" w14:textId="77777777" w:rsidR="00E24035" w:rsidRDefault="00000000">
      <w:pPr>
        <w:pStyle w:val="Bibliography"/>
      </w:pPr>
      <w:bookmarkStart w:id="139" w:name="ref-unsworth2021seagrass"/>
      <w:bookmarkEnd w:id="138"/>
      <w:r>
        <w:t>Unsworth, R.K., Butterworth, E.G., 2021. Seagrass meadows provide a significant resource in support of avifauna. Diversity 13, 363.</w:t>
      </w:r>
    </w:p>
    <w:p w14:paraId="5D5A18C0" w14:textId="77777777" w:rsidR="00E24035" w:rsidRDefault="00000000">
      <w:pPr>
        <w:pStyle w:val="Bibliography"/>
      </w:pPr>
      <w:bookmarkStart w:id="140" w:name="ref-unsworth2022planetary"/>
      <w:bookmarkEnd w:id="139"/>
      <w:r>
        <w:t>Unsworth, R.K., Cullen-Unsworth, L.C., Jones, B.L., Lilley, R.J., 2022. The planetary role of seagrass conservation. Science 377, 609–613.</w:t>
      </w:r>
    </w:p>
    <w:p w14:paraId="64745530" w14:textId="77777777" w:rsidR="00E24035" w:rsidRDefault="00000000">
      <w:pPr>
        <w:pStyle w:val="Bibliography"/>
      </w:pPr>
      <w:bookmarkStart w:id="141" w:name="ref-ustin2020optical"/>
      <w:bookmarkEnd w:id="140"/>
      <w:r>
        <w:t>Ustin, S.L., Jacquemoud, S., 2020. How the optical properties of leaves modify the absorption and scattering of energy and enhance leaf functionality. Remote sensing of plant biodiversity 349–384.</w:t>
      </w:r>
    </w:p>
    <w:p w14:paraId="5DF511AA" w14:textId="77777777" w:rsidR="00E24035" w:rsidRDefault="00000000">
      <w:pPr>
        <w:pStyle w:val="Bibliography"/>
      </w:pPr>
      <w:bookmarkStart w:id="142" w:name="ref-waycott2009accelerating"/>
      <w:bookmarkEnd w:id="141"/>
      <w:r>
        <w:t>Waycott, M., Duarte, C.M., Carruthers, T.J., Orth, R.J., Dennison, W.C., Olyarnik, S., Calladine, A., Fourqurean, J.W., Heck Jr, K.L., Hughes, A.R., others, 2009. Accelerating loss of seagrasses across the globe threatens coastal ecosystems. Proceedings of the national academy of sciences 106, 12377–12381.</w:t>
      </w:r>
    </w:p>
    <w:p w14:paraId="1DB390EF" w14:textId="77777777" w:rsidR="00E24035" w:rsidRDefault="00000000">
      <w:pPr>
        <w:pStyle w:val="Bibliography"/>
      </w:pPr>
      <w:bookmarkStart w:id="143" w:name="ref-winters2011effects"/>
      <w:bookmarkEnd w:id="142"/>
      <w:r>
        <w:t>Winters, G., Nelle, P., Fricke, B., Rauch, G., Reusch, T.B., 2011. Effects of a simulated heat wave on photophysiology and gene expression of high-and low-latitude populations of zostera marina. Marine Ecology Progress Series 435, 83–95.</w:t>
      </w:r>
    </w:p>
    <w:p w14:paraId="0CCBE310" w14:textId="77777777" w:rsidR="00E24035" w:rsidRDefault="00000000">
      <w:pPr>
        <w:pStyle w:val="Bibliography"/>
      </w:pPr>
      <w:bookmarkStart w:id="144" w:name="ref-zahoor2023water"/>
      <w:bookmarkEnd w:id="143"/>
      <w:r>
        <w:t>Zahoor, I., Mushtaq, A., 2023. Water pollution from agricultural activities: A critical global review. Int. J. Chem. Biochem. Sci 23, 164–176.</w:t>
      </w:r>
    </w:p>
    <w:p w14:paraId="04D2A62C" w14:textId="77777777" w:rsidR="00E24035" w:rsidRDefault="00000000">
      <w:pPr>
        <w:pStyle w:val="Bibliography"/>
      </w:pPr>
      <w:bookmarkStart w:id="145" w:name="ref-zoffoli2021decadal"/>
      <w:bookmarkEnd w:id="144"/>
      <w:r>
        <w:t>Zoffoli, M.L., Gernez, P., Godet, L., Peters, S., Oiry, S., Barillé, L., 2021. Decadal increase in the ecological status of a north-atlantic intertidal seagrass meadow observed with multi-mission satellite time-series. Ecological Indicators 130, 108033.</w:t>
      </w:r>
    </w:p>
    <w:p w14:paraId="203D92CB" w14:textId="77777777" w:rsidR="00E24035" w:rsidRDefault="00000000">
      <w:pPr>
        <w:pStyle w:val="Bibliography"/>
      </w:pPr>
      <w:bookmarkStart w:id="146" w:name="ref-zoffoli2023remote"/>
      <w:bookmarkEnd w:id="145"/>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 </w:t>
      </w:r>
      <w:hyperlink r:id="rId48">
        <w:r>
          <w:rPr>
            <w:rStyle w:val="Hyperlink"/>
          </w:rPr>
          <w:t>https://doi.org/10.1002/rse2.319</w:t>
        </w:r>
      </w:hyperlink>
    </w:p>
    <w:p w14:paraId="7535410C" w14:textId="77777777" w:rsidR="00E24035" w:rsidRDefault="00000000">
      <w:pPr>
        <w:pStyle w:val="Bibliography"/>
      </w:pPr>
      <w:bookmarkStart w:id="147" w:name="ref-zoffoli2020sentinel"/>
      <w:bookmarkEnd w:id="146"/>
      <w:r>
        <w:lastRenderedPageBreak/>
        <w:t>Zoffoli, M.L., Gernez, P., Rosa, P., Le Bris, A., Brando, V.E., Barillé, A.-L., Harin, N., Peters, S., Poser, K., Spaias, L., others, 2020. Sentinel-2 remote sensing of zostera noltei-dominated intertidal seagrass meadows. Remote Sensing of Environment 251, 112020.</w:t>
      </w:r>
      <w:bookmarkEnd w:id="59"/>
      <w:bookmarkEnd w:id="61"/>
      <w:bookmarkEnd w:id="147"/>
    </w:p>
    <w:sectPr w:rsidR="00E24035">
      <w:footerReference w:type="default" r:id="rId4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2C7CD7" w14:textId="77777777" w:rsidR="0071102C" w:rsidRDefault="0071102C">
      <w:pPr>
        <w:spacing w:after="0"/>
      </w:pPr>
      <w:r>
        <w:separator/>
      </w:r>
    </w:p>
  </w:endnote>
  <w:endnote w:type="continuationSeparator" w:id="0">
    <w:p w14:paraId="32F185B3" w14:textId="77777777" w:rsidR="0071102C" w:rsidRDefault="0071102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83285314"/>
      <w:docPartObj>
        <w:docPartGallery w:val="Page Numbers (Bottom of Page)"/>
        <w:docPartUnique/>
      </w:docPartObj>
    </w:sdtPr>
    <w:sdtEndPr>
      <w:rPr>
        <w:noProof/>
      </w:rPr>
    </w:sdtEndPr>
    <w:sdtContent>
      <w:p w14:paraId="1347449B" w14:textId="77777777" w:rsidR="00000000" w:rsidRDefault="00000000">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301FAB14"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A81082" w14:textId="77777777" w:rsidR="0071102C" w:rsidRDefault="0071102C">
      <w:pPr>
        <w:spacing w:after="0"/>
      </w:pPr>
      <w:r>
        <w:separator/>
      </w:r>
    </w:p>
  </w:footnote>
  <w:footnote w:type="continuationSeparator" w:id="0">
    <w:p w14:paraId="65C161EE" w14:textId="77777777" w:rsidR="0071102C" w:rsidRDefault="0071102C">
      <w:pPr>
        <w:spacing w:after="0"/>
      </w:pPr>
      <w:r>
        <w:continuationSeparator/>
      </w:r>
    </w:p>
  </w:footnote>
  <w:footnote w:id="1">
    <w:p w14:paraId="5AD245AB" w14:textId="77777777" w:rsidR="00E24035" w:rsidRDefault="00000000">
      <w:pPr>
        <w:pStyle w:val="FootnoteText"/>
      </w:pPr>
      <w:r>
        <w:rPr>
          <w:rStyle w:val="FootnoteReference"/>
        </w:rPr>
        <w:footnoteRef/>
      </w:r>
      <w:r>
        <w:t xml:space="preserve"> Institut des Substances et Organismes de la Mer, ISOMer, Nantes Université, UR 2160, F-44000 Nantes, France</w:t>
      </w:r>
    </w:p>
  </w:footnote>
  <w:footnote w:id="2">
    <w:p w14:paraId="4FC7948D" w14:textId="77777777" w:rsidR="00E24035" w:rsidRDefault="00000000">
      <w:pPr>
        <w:pStyle w:val="FootnoteText"/>
      </w:pPr>
      <w:r>
        <w:rPr>
          <w:rStyle w:val="FootnoteReference"/>
        </w:rPr>
        <w:footnoteRef/>
      </w:r>
      <w:r>
        <w:t xml:space="preserve"> Consiglio Nazionale delle Ricerche, Istituto di Scienze Marine (CNR-ISMAR), 00133 Rome, Italy</w:t>
      </w:r>
    </w:p>
  </w:footnote>
  <w:footnote w:id="3">
    <w:p w14:paraId="369AC07C" w14:textId="77777777" w:rsidR="00E24035" w:rsidRDefault="00000000">
      <w:pPr>
        <w:pStyle w:val="FootnoteText"/>
      </w:pPr>
      <w:r>
        <w:rPr>
          <w:rStyle w:val="FootnoteReference"/>
        </w:rPr>
        <w:footnoteRef/>
      </w:r>
      <w:r>
        <w:t xml:space="preserve"> Bio-littoral, Immeuble Le Nevada, 2 Rue du Château de l’Eraudière, 44300 Nantes, France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30FA5A7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5CCA6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985349677">
    <w:abstractNumId w:val="0"/>
  </w:num>
  <w:num w:numId="2" w16cid:durableId="1843618027">
    <w:abstractNumId w:val="0"/>
  </w:num>
  <w:num w:numId="3" w16cid:durableId="1318462226">
    <w:abstractNumId w:val="1"/>
  </w:num>
  <w:num w:numId="4" w16cid:durableId="9202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4035"/>
    <w:rsid w:val="003A786B"/>
    <w:rsid w:val="0071102C"/>
    <w:rsid w:val="00806D21"/>
    <w:rsid w:val="00E240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16AC4"/>
  <w15:docId w15:val="{822E6372-FFEA-4493-B36F-FBF0A6264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6758"/>
    <w:rPr>
      <w:rFonts w:ascii="Palatino Linotype" w:hAnsi="Palatino Linotype"/>
    </w:rPr>
  </w:style>
  <w:style w:type="paragraph" w:styleId="Heading1">
    <w:name w:val="heading 1"/>
    <w:basedOn w:val="Normal"/>
    <w:next w:val="BodyText"/>
    <w:autoRedefine/>
    <w:uiPriority w:val="9"/>
    <w:qFormat/>
    <w:rsid w:val="00AC6758"/>
    <w:pPr>
      <w:keepNext/>
      <w:keepLines/>
      <w:spacing w:before="480" w:after="0"/>
      <w:outlineLvl w:val="0"/>
    </w:pPr>
    <w:rPr>
      <w:rFonts w:eastAsiaTheme="majorEastAsia" w:cstheme="majorBidi"/>
      <w:b/>
      <w:bCs/>
      <w:color w:val="000000" w:themeColor="text1"/>
      <w:sz w:val="32"/>
      <w:szCs w:val="32"/>
    </w:rPr>
  </w:style>
  <w:style w:type="paragraph" w:styleId="Heading2">
    <w:name w:val="heading 2"/>
    <w:basedOn w:val="Normal"/>
    <w:next w:val="BodyText"/>
    <w:autoRedefine/>
    <w:uiPriority w:val="9"/>
    <w:unhideWhenUsed/>
    <w:qFormat/>
    <w:rsid w:val="00AC6758"/>
    <w:pPr>
      <w:keepNext/>
      <w:keepLines/>
      <w:spacing w:before="200" w:after="0"/>
      <w:outlineLvl w:val="1"/>
    </w:pPr>
    <w:rPr>
      <w:rFonts w:eastAsiaTheme="majorEastAsia" w:cstheme="majorBidi"/>
      <w:b/>
      <w:bCs/>
      <w:color w:val="000000" w:themeColor="text1"/>
      <w:sz w:val="28"/>
      <w:szCs w:val="28"/>
    </w:rPr>
  </w:style>
  <w:style w:type="paragraph" w:styleId="Heading3">
    <w:name w:val="heading 3"/>
    <w:basedOn w:val="Normal"/>
    <w:next w:val="BodyText"/>
    <w:autoRedefine/>
    <w:uiPriority w:val="9"/>
    <w:unhideWhenUsed/>
    <w:qFormat/>
    <w:rsid w:val="00AC6758"/>
    <w:pPr>
      <w:keepNext/>
      <w:keepLines/>
      <w:spacing w:before="200" w:after="0"/>
      <w:outlineLvl w:val="2"/>
    </w:pPr>
    <w:rPr>
      <w:rFonts w:eastAsiaTheme="majorEastAsia" w:cstheme="majorBidi"/>
      <w:b/>
      <w:bCs/>
      <w:color w:val="000000" w:themeColor="text1"/>
    </w:rPr>
  </w:style>
  <w:style w:type="paragraph" w:styleId="Heading4">
    <w:name w:val="heading 4"/>
    <w:basedOn w:val="Normal"/>
    <w:next w:val="BodyText"/>
    <w:uiPriority w:val="9"/>
    <w:unhideWhenUsed/>
    <w:qFormat/>
    <w:rsid w:val="00AC6758"/>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rsid w:val="00AC6758"/>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rsid w:val="00AC6758"/>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AC6758"/>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AC6758"/>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AC6758"/>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autoRedefine/>
    <w:qFormat/>
    <w:rsid w:val="00AC6758"/>
    <w:pPr>
      <w:spacing w:before="60" w:after="60" w:line="360" w:lineRule="auto"/>
      <w:ind w:firstLine="720"/>
      <w:contextualSpacing/>
    </w:pPr>
  </w:style>
  <w:style w:type="paragraph" w:customStyle="1" w:styleId="FirstParagraph">
    <w:name w:val="First Paragraph"/>
    <w:basedOn w:val="BodyText"/>
    <w:next w:val="BodyText"/>
    <w:autoRedefine/>
    <w:qFormat/>
    <w:rsid w:val="00AC6758"/>
    <w:pPr>
      <w:ind w:firstLine="0"/>
    </w:pPr>
  </w:style>
  <w:style w:type="paragraph" w:customStyle="1" w:styleId="Compact">
    <w:name w:val="Compact"/>
    <w:basedOn w:val="BodyText"/>
    <w:autoRedefine/>
    <w:qFormat/>
    <w:rsid w:val="00AC6758"/>
    <w:pPr>
      <w:spacing w:before="0" w:after="0" w:line="240" w:lineRule="auto"/>
      <w:ind w:firstLine="0"/>
    </w:pPr>
    <w:rPr>
      <w:sz w:val="20"/>
    </w:rPr>
  </w:style>
  <w:style w:type="paragraph" w:styleId="Title">
    <w:name w:val="Title"/>
    <w:basedOn w:val="Normal"/>
    <w:next w:val="BodyText"/>
    <w:autoRedefine/>
    <w:qFormat/>
    <w:rsid w:val="00AC6758"/>
    <w:pPr>
      <w:keepNext/>
      <w:keepLines/>
      <w:spacing w:before="480" w:after="240"/>
    </w:pPr>
    <w:rPr>
      <w:rFonts w:eastAsiaTheme="majorEastAsia" w:cstheme="majorBidi"/>
      <w:b/>
      <w:bCs/>
      <w:sz w:val="36"/>
      <w:szCs w:val="36"/>
    </w:rPr>
  </w:style>
  <w:style w:type="paragraph" w:styleId="Subtitle">
    <w:name w:val="Subtitle"/>
    <w:basedOn w:val="Title"/>
    <w:next w:val="BodyText"/>
    <w:autoRedefine/>
    <w:qFormat/>
    <w:rsid w:val="00AC6758"/>
    <w:pPr>
      <w:spacing w:before="240"/>
      <w:jc w:val="center"/>
    </w:pPr>
    <w:rPr>
      <w:sz w:val="30"/>
      <w:szCs w:val="30"/>
    </w:rPr>
  </w:style>
  <w:style w:type="paragraph" w:customStyle="1" w:styleId="Author">
    <w:name w:val="Author"/>
    <w:next w:val="BodyText"/>
    <w:autoRedefine/>
    <w:qFormat/>
    <w:rsid w:val="00AC6758"/>
    <w:pPr>
      <w:keepNext/>
      <w:keepLines/>
    </w:pPr>
    <w:rPr>
      <w:rFonts w:ascii="Arial Black" w:hAnsi="Arial Black"/>
    </w:rPr>
  </w:style>
  <w:style w:type="paragraph" w:styleId="Date">
    <w:name w:val="Date"/>
    <w:next w:val="BodyText"/>
    <w:autoRedefine/>
    <w:qFormat/>
    <w:rsid w:val="00AC6758"/>
    <w:pPr>
      <w:keepNext/>
      <w:keepLines/>
    </w:pPr>
  </w:style>
  <w:style w:type="paragraph" w:customStyle="1" w:styleId="Abstract">
    <w:name w:val="Abstract"/>
    <w:basedOn w:val="Normal"/>
    <w:next w:val="BodyText"/>
    <w:autoRedefine/>
    <w:qFormat/>
    <w:rsid w:val="00AC6758"/>
    <w:pPr>
      <w:keepNext/>
      <w:keepLines/>
      <w:spacing w:before="300" w:after="300"/>
    </w:pPr>
    <w:rPr>
      <w:sz w:val="20"/>
      <w:szCs w:val="20"/>
    </w:rPr>
  </w:style>
  <w:style w:type="paragraph" w:styleId="Bibliography">
    <w:name w:val="Bibliography"/>
    <w:basedOn w:val="Normal"/>
    <w:autoRedefine/>
    <w:qFormat/>
    <w:rsid w:val="00AC6758"/>
  </w:style>
  <w:style w:type="paragraph" w:styleId="BlockText">
    <w:name w:val="Block Text"/>
    <w:basedOn w:val="BodyText"/>
    <w:next w:val="BodyText"/>
    <w:uiPriority w:val="9"/>
    <w:unhideWhenUsed/>
    <w:qFormat/>
    <w:rsid w:val="00AC6758"/>
    <w:pPr>
      <w:spacing w:before="100" w:after="100"/>
      <w:ind w:left="480" w:right="480"/>
    </w:pPr>
  </w:style>
  <w:style w:type="paragraph" w:styleId="FootnoteText">
    <w:name w:val="footnote text"/>
    <w:basedOn w:val="Normal"/>
    <w:autoRedefine/>
    <w:uiPriority w:val="9"/>
    <w:unhideWhenUsed/>
    <w:qFormat/>
    <w:rsid w:val="00AC6758"/>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autoRedefine/>
    <w:uiPriority w:val="39"/>
    <w:unhideWhenUsed/>
    <w:qFormat/>
    <w:rsid w:val="00AC6758"/>
    <w:pPr>
      <w:spacing w:before="240" w:line="259" w:lineRule="auto"/>
      <w:outlineLvl w:val="9"/>
    </w:pPr>
    <w:rPr>
      <w:b w:val="0"/>
      <w:bCs w:val="0"/>
      <w:color w:val="auto"/>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F21051"/>
    <w:pPr>
      <w:tabs>
        <w:tab w:val="center" w:pos="4680"/>
        <w:tab w:val="right" w:pos="9360"/>
      </w:tabs>
      <w:spacing w:after="0"/>
    </w:pPr>
  </w:style>
  <w:style w:type="character" w:customStyle="1" w:styleId="HeaderChar">
    <w:name w:val="Header Char"/>
    <w:basedOn w:val="DefaultParagraphFont"/>
    <w:link w:val="Header"/>
    <w:rsid w:val="00F21051"/>
    <w:rPr>
      <w:rFonts w:ascii="Palatino Linotype" w:hAnsi="Palatino Linotype"/>
    </w:rPr>
  </w:style>
  <w:style w:type="paragraph" w:styleId="Footer">
    <w:name w:val="footer"/>
    <w:basedOn w:val="Normal"/>
    <w:link w:val="FooterChar"/>
    <w:uiPriority w:val="99"/>
    <w:unhideWhenUsed/>
    <w:rsid w:val="00F21051"/>
    <w:pPr>
      <w:tabs>
        <w:tab w:val="center" w:pos="4680"/>
        <w:tab w:val="right" w:pos="9360"/>
      </w:tabs>
      <w:spacing w:after="0"/>
    </w:pPr>
  </w:style>
  <w:style w:type="character" w:customStyle="1" w:styleId="FooterCha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38/s43247-024-01543-z" TargetMode="External"/><Relationship Id="rId39" Type="http://schemas.openxmlformats.org/officeDocument/2006/relationships/hyperlink" Target="https://www.R-project.org/" TargetMode="External"/><Relationship Id="rId21" Type="http://schemas.openxmlformats.org/officeDocument/2006/relationships/hyperlink" Target="https://doi.org/10.3354/meps14588" TargetMode="External"/><Relationship Id="rId34" Type="http://schemas.openxmlformats.org/officeDocument/2006/relationships/hyperlink" Target="https://www.malvernpanalytical.com/en/support/product-support/software/rs3" TargetMode="External"/><Relationship Id="rId42" Type="http://schemas.openxmlformats.org/officeDocument/2006/relationships/hyperlink" Target="https://doi.org/10.21105/joss.00821" TargetMode="External"/><Relationship Id="rId47" Type="http://schemas.openxmlformats.org/officeDocument/2006/relationships/hyperlink" Target="https://doi.org/10.1152/physiol.00040.2018" TargetMode="Externa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doi.org/10.1002/aqc.4210" TargetMode="External"/><Relationship Id="rId11" Type="http://schemas.openxmlformats.org/officeDocument/2006/relationships/image" Target="media/image5.png"/><Relationship Id="rId24" Type="http://schemas.openxmlformats.org/officeDocument/2006/relationships/hyperlink" Target="https://doi.org/10.48670/moi-00311" TargetMode="External"/><Relationship Id="rId32" Type="http://schemas.openxmlformats.org/officeDocument/2006/relationships/hyperlink" Target="https://doi.org/10.1016/S0304-4238(05)80016-0" TargetMode="External"/><Relationship Id="rId37" Type="http://schemas.openxmlformats.org/officeDocument/2006/relationships/hyperlink" Target="https://doi.org/10.3389/fmars.2019.00734" TargetMode="External"/><Relationship Id="rId40" Type="http://schemas.openxmlformats.org/officeDocument/2006/relationships/hyperlink" Target="https://doi.org/10.1073/pnas.0500008102" TargetMode="External"/><Relationship Id="rId45" Type="http://schemas.openxmlformats.org/officeDocument/2006/relationships/hyperlink" Target="https://doi.org/10.1038/s41467-022-35571-0"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18637/jss.v076.i01" TargetMode="External"/><Relationship Id="rId28" Type="http://schemas.openxmlformats.org/officeDocument/2006/relationships/hyperlink" Target="https://electricblue.eu/intertidal-chamber" TargetMode="External"/><Relationship Id="rId36" Type="http://schemas.openxmlformats.org/officeDocument/2006/relationships/hyperlink" Target="https://doi.org/10.3390/rs16234383" TargetMode="External"/><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www.ioc-sealevelmonitoring.org/station.php?code=lecy" TargetMode="External"/><Relationship Id="rId44" Type="http://schemas.openxmlformats.org/officeDocument/2006/relationships/hyperlink" Target="https://services.data.shom.fr/geonetwork/srv/fre/catalog.search"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doi.org/10.18637/jss.v100.i05" TargetMode="External"/><Relationship Id="rId27" Type="http://schemas.openxmlformats.org/officeDocument/2006/relationships/hyperlink" Target="https://doi.org/10.1016/j.rse.2024.114340" TargetMode="External"/><Relationship Id="rId30" Type="http://schemas.openxmlformats.org/officeDocument/2006/relationships/hyperlink" Target="https://doi.org/10.1073/pnas.0402642101" TargetMode="External"/><Relationship Id="rId35" Type="http://schemas.openxmlformats.org/officeDocument/2006/relationships/hyperlink" Target="https://doi.org/10.1038/s41598-019-50643-w" TargetMode="External"/><Relationship Id="rId43" Type="http://schemas.openxmlformats.org/officeDocument/2006/relationships/hyperlink" Target="https://diffusion.shom.fr/references-altimetriques-maritimes-ram.html" TargetMode="External"/><Relationship Id="rId48" Type="http://schemas.openxmlformats.org/officeDocument/2006/relationships/hyperlink" Target="https://doi.org/10.1002/rse2.319" TargetMode="Externa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github.com/SigOiry/HeatWave_Seagrasses/blob/main/Scripts/MeteoFrance_Extraction.qmd" TargetMode="External"/><Relationship Id="rId17" Type="http://schemas.openxmlformats.org/officeDocument/2006/relationships/image" Target="media/image10.png"/><Relationship Id="rId25" Type="http://schemas.openxmlformats.org/officeDocument/2006/relationships/hyperlink" Target="https://doi.org/10.1007/s11099-007-0084-3" TargetMode="External"/><Relationship Id="rId33" Type="http://schemas.openxmlformats.org/officeDocument/2006/relationships/hyperlink" Target="https://doi.org/10.1016/S0034-4257(70)80021-9" TargetMode="External"/><Relationship Id="rId38" Type="http://schemas.openxmlformats.org/officeDocument/2006/relationships/hyperlink" Target="https://doi.org/10.1111/gcb.14282" TargetMode="External"/><Relationship Id="rId46" Type="http://schemas.openxmlformats.org/officeDocument/2006/relationships/hyperlink" Target="https://doi.org/10.1038/s41558-019-0412-1" TargetMode="External"/><Relationship Id="rId20" Type="http://schemas.openxmlformats.org/officeDocument/2006/relationships/image" Target="media/image13.png"/><Relationship Id="rId41" Type="http://schemas.openxmlformats.org/officeDocument/2006/relationships/hyperlink" Target="https://doi.org/10.1029/2023GL103540"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49</Pages>
  <Words>13344</Words>
  <Characters>73392</Characters>
  <Application>Microsoft Office Word</Application>
  <DocSecurity>0</DocSecurity>
  <Lines>611</Lines>
  <Paragraphs>173</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86563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cp:lastModifiedBy>simon oiry</cp:lastModifiedBy>
  <cp:revision>2</cp:revision>
  <dcterms:created xsi:type="dcterms:W3CDTF">2024-12-19T17:25:00Z</dcterms:created>
  <dcterms:modified xsi:type="dcterms:W3CDTF">2024-12-19T17:27:00Z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2024-12-19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