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6.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impacts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2025-02-28</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to assess its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during three days to assess the physiological and structural impacts of extreme thermal stress on their spectral reflectance. The experimental design involved placing seagrass samples in intertidal chambers that simulated natural tidal cycles, allowing to precisely regulate temperature conditions during both high and low tides. One chamber served as a control, maintaining typical seasonal temperatures, while the other was used to simulate heatwave conditions by progressively increasing air and water temperatures to mimic an actual heatwave event observed in the field. Hyperspectral reflectance measurements were recorded at regular intervals during low-tide to monitor changes in the seagrass over time. After two days of heatwave exposure the reflectance decreased significantly, particularly in the green (around 560 nm) and near-infrared (NIR) regions of the spectrum. This decline in reflectance was closely linked to visible leaf browning, suggesting alterations in pigment content, in the internal structure of seagrass leaves and their overall physiological performance. The green reflectance decline indicated a reduction in the plant’s photosynthetic capacity, while changes in NIR reflectance were related to the heat-indiced damage to internal arrangement of cells and air spaces.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in September 2021.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which was consistent with the laboratory experiment. Spatial analysis showed that darkening was especially pronounced in the higher intertidal regions, where seagrasses were exposed to air for longer durations during low tide, underlining the interaction between tidal exposure and thermal stress. Using a Sentinel-2 image acquired one month after the heatwave, SHSI showed partial recovery of darkened patches. Despite this recovery, the seagrasses that had experienced the most severe darkening did not fully return to their original state, indicating that while</w:t>
      </w:r>
      <w:r>
        <w:t xml:space="preserve"> </w:t>
      </w:r>
      <w:r>
        <w:rPr>
          <w:i/>
          <w:iCs/>
        </w:rPr>
        <w:t xml:space="preserve">Z. noltei</w:t>
      </w:r>
      <w:r>
        <w:t xml:space="preserve"> </w:t>
      </w:r>
      <w:r>
        <w:t xml:space="preserve">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captured ecologically significant changes in the physiological performance of</w:t>
      </w:r>
      <w:r>
        <w:t xml:space="preserve"> </w:t>
      </w:r>
      <w:r>
        <w:rPr>
          <w:i/>
          <w:iCs/>
        </w:rPr>
        <w:t xml:space="preserve">Z. noltei</w:t>
      </w:r>
      <w:r>
        <w:t xml:space="preserve">,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8.1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2021 Sentinel-2 images of the study site were selected to assess the effect of the 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Mixed effects Models (GLMMs)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 </w:t>
      </w:r>
      <w:r>
        <w:t xml:space="preserve">;</w:t>
      </w:r>
      <w:r>
        <w:t xml:space="preserve"> </w:t>
      </w:r>
      <w:hyperlink w:anchor="sec-AnnexeB">
        <w:r>
          <w:rPr>
            <w:rStyle w:val="Hyperlink"/>
          </w:rPr>
          <w:t xml:space="preserve">Section 8.2</w:t>
        </w:r>
      </w:hyperlink>
      <w:r>
        <w:t xml:space="preserve">).</w:t>
      </w:r>
    </w:p>
    <w:p>
      <w:pPr>
        <w:pStyle w:val="BodyText"/>
      </w:pPr>
      <w:r>
        <w:t xml:space="preserve">At the start of the experiment (day 1), there was no notable difference in</w:t>
      </w:r>
      <w:r>
        <w:t xml:space="preserve"> </w:t>
      </w:r>
      <m:oMath>
        <m:r>
          <m:t>R</m:t>
        </m:r>
        <m:sSub>
          <m:e>
            <m:r>
              <m:rPr>
                <m:sty m:val="p"/>
              </m:rPr>
              <m:t>″</m:t>
            </m:r>
          </m:e>
          <m:sub>
            <m:r>
              <m:t>665</m:t>
            </m:r>
            <m:r>
              <m:t> </m:t>
            </m:r>
            <m:r>
              <m:rPr>
                <m:nor/>
                <m:sty m:val="p"/>
              </m:rPr>
              <m:t>nm</m:t>
            </m:r>
          </m:sub>
        </m:sSub>
      </m:oMath>
      <w:r>
        <w:t xml:space="preserve">, NDVI and GLI between the Treatment and Control groups (</w:t>
      </w:r>
      <w:hyperlink w:anchor="fig-Exp_Spectral_indices">
        <w:r>
          <w:rPr>
            <w:rStyle w:val="Hyperlink"/>
          </w:rPr>
          <w:t xml:space="preserve">Figure 7</w:t>
        </w:r>
      </w:hyperlink>
      <w:r>
        <w:t xml:space="preserve"> </w:t>
      </w:r>
      <w:r>
        <w:t xml:space="preserve">A, B &amp; C, AnnexeB).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in day 1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w:t>
      </w:r>
      <w:r>
        <w:t xml:space="preserve">;</w:t>
      </w:r>
      <w:r>
        <w:t xml:space="preserve"> </w:t>
      </w:r>
      <w:hyperlink w:anchor="sec-AnnexeC">
        <w:r>
          <w:rPr>
            <w:rStyle w:val="Hyperlink"/>
          </w:rPr>
          <w:t xml:space="preserve">Section 8.3</w:t>
        </w:r>
      </w:hyperlink>
      <w:r>
        <w:t xml:space="preserve">). Seagrass emerged during less than 13 hours a day were not impacted, whereas seagrass emerged during more than 13 hours turned brown with the maximum darkening occurring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b7f7f02f8dbcb55c30d8a7e7a31bd5d7dbd38a5"/>
    <w:p>
      <w:pPr>
        <w:pStyle w:val="Heading2"/>
      </w:pPr>
      <w:r>
        <w:t xml:space="preserve">5.1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with the destruction of the membranes (chloroplasts, thylakoids, cell walls) due to thermal oxidative stress, and the consequent decrease of light scattering through the leaf surface</w:t>
      </w:r>
      <w:r>
        <w:t xml:space="preserve"> </w:t>
      </w:r>
      <w:r>
        <w:t xml:space="preserve">(Knipling, 1970)</w:t>
      </w:r>
      <w:r>
        <w:t xml:space="preserve">.</w:t>
      </w:r>
      <w:r>
        <w:t xml:space="preserve"> </w:t>
      </w:r>
      <w:r>
        <w:t xml:space="preserve">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p>
    <w:p>
      <w:pPr>
        <w:pStyle w:val="BodyText"/>
      </w:pPr>
      <w:r>
        <w:t xml:space="preserve">The Seagrass Heat Shock Index (</w:t>
      </w:r>
      <w:hyperlink w:anchor="eq-SDI">
        <w:r>
          <w:rPr>
            <w:rStyle w:val="Hyperlink"/>
          </w:rPr>
          <w:t xml:space="preserve">Equation 3</w:t>
        </w:r>
      </w:hyperlink>
      <w:r>
        <w:t xml:space="preserve">)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bookmarkEnd w:id="110"/>
    <w:bookmarkStart w:id="111" w:name="X9241c7e1de5a94cee1951b46be3852b40e2741d"/>
    <w:p>
      <w:pPr>
        <w:pStyle w:val="Heading2"/>
      </w:pPr>
      <w:r>
        <w:t xml:space="preserve">5.2 Satellite observations of HW effects on intertidal seagrass</w:t>
      </w:r>
    </w:p>
    <w:p>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w:t>
      </w:r>
      <w:r>
        <w:t xml:space="preserve"> </w:t>
      </w:r>
      <w:r>
        <w:t xml:space="preserve">Field observations further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p>
    <w:p>
      <w:pPr>
        <w:pStyle w:val="BodyText"/>
      </w:pP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pPr>
        <w:pStyle w:val="BodyText"/>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 return to green color in some parts of the meadow after recovery might be due to new leaf growth, which was likely sustained by the energy reserves of the surviving below ground biomass</w:t>
      </w:r>
      <w:r>
        <w:t xml:space="preserve"> </w:t>
      </w:r>
      <w:r>
        <w:t xml:space="preserve">(Hemminga, 1998)</w:t>
      </w:r>
      <w:r>
        <w:t xml:space="preserve">.</w:t>
      </w:r>
    </w:p>
    <w:bookmarkEnd w:id="111"/>
    <w:bookmarkStart w:id="112" w:name="X729e0e9cf0ae04acbfe1544e67ed14357344b2c"/>
    <w:p>
      <w:pPr>
        <w:pStyle w:val="Heading2"/>
      </w:pPr>
      <w:r>
        <w:t xml:space="preserve">5.3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quaunder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w:t>
      </w:r>
    </w:p>
    <w:p>
      <w:pPr>
        <w:pStyle w:val="BodyText"/>
      </w:pPr>
      <w:r>
        <w:t xml:space="preserve">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w:t>
      </w:r>
      <w:r>
        <w:t xml:space="preserve"> </w:t>
      </w:r>
      <w:r>
        <w:t xml:space="preserve">(Zoffoli et al., 2023)</w:t>
      </w:r>
      <w:r>
        <w:t xml:space="preserv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w:t>
      </w:r>
    </w:p>
    <w:p>
      <w:pPr>
        <w:pStyle w:val="BodyText"/>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2"/>
    <w:bookmarkEnd w:id="113"/>
    <w:bookmarkStart w:id="114" w:name="conclusion"/>
    <w:p>
      <w:pPr>
        <w:pStyle w:val="Heading1"/>
      </w:pPr>
      <w:r>
        <w:t xml:space="preserve">6.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bookmarkEnd w:id="114"/>
    <w:bookmarkStart w:id="115" w:name="fundings"/>
    <w:p>
      <w:pPr>
        <w:pStyle w:val="Heading1"/>
      </w:pPr>
      <w:r>
        <w:t xml:space="preserve">7. Fundings</w:t>
      </w:r>
    </w:p>
    <w:p>
      <w:pPr>
        <w:pStyle w:val="FirstParagraph"/>
      </w:pPr>
      <w:r>
        <w:t xml:space="preserve">This research was funded by the REWRITE (Rewilding European Shorelines and Beyond) project funded by the European Union under Grant Agreement 101081357.</w:t>
      </w:r>
    </w:p>
    <w:bookmarkEnd w:id="115"/>
    <w:bookmarkStart w:id="124" w:name="annexes"/>
    <w:p>
      <w:pPr>
        <w:pStyle w:val="Heading1"/>
      </w:pPr>
      <w:r>
        <w:t xml:space="preserve">8. Annexes</w:t>
      </w:r>
    </w:p>
    <w:bookmarkStart w:id="119" w:name="sec-AnnexeA"/>
    <w:p>
      <w:pPr>
        <w:pStyle w:val="Heading2"/>
      </w:pPr>
      <w:r>
        <w:t xml:space="preserve">8.1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7" name="Picture"/>
            <a:graphic>
              <a:graphicData uri="http://schemas.openxmlformats.org/drawingml/2006/picture">
                <pic:pic>
                  <pic:nvPicPr>
                    <pic:cNvPr descr="Figs/High_res/Temperature_compare.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9"/>
    <w:bookmarkStart w:id="121" w:name="sec-AnnexeB"/>
    <w:p>
      <w:pPr>
        <w:pStyle w:val="Heading2"/>
      </w:pPr>
      <w:r>
        <w:t xml:space="preserve">8.2 Annexes B - Outputs of GLMM</w:t>
      </w:r>
    </w:p>
    <w:tbl>
      <w:tblPr>
        <w:tblStyle w:val="Table"/>
        <w:tblW w:type="pct" w:w="5000"/>
        <w:tblLayout w:type="fixed"/>
        <w:tblLook w:firstRow="0" w:lastRow="0" w:firstColumn="0" w:lastColumn="0" w:noHBand="0" w:noVBand="0" w:val="0000"/>
      </w:tblPr>
      <w:tblGrid>
        <w:gridCol w:w="7920"/>
      </w:tblGrid>
      <w:tr>
        <w:tc>
          <w:tcPr/>
          <w:bookmarkStart w:id="120" w:name="tbl-GLMM"/>
          <w:p>
            <w:pPr>
              <w:jc w:val="center"/>
            </w:pPr>
            <w:pPr>
              <w:jc w:val="start"/>
              <w:spacing w:before="200"/>
              <w:pStyle w:val="ImageCaption"/>
            </w:pPr>
            <w:r>
              <w:t xml:space="preserve">Table 1: Outputs of the Generalised Linear mixed effects model assessing the relationship between time of heatwave (days) and the relative change to the control of different vegetation indices (</w:t>
            </w:r>
            <w:hyperlink w:anchor="fig-Exp_Spectral_indices">
              <w:r>
                <w:rPr>
                  <w:rStyle w:val="Hyperlink"/>
                </w:rPr>
                <w:t xml:space="preserve">Figure 7</w:t>
              </w:r>
            </w:hyperlink>
            <w:r>
              <w:t xml:space="preserve">, Second Derivative, NDVI, GLI, and SHSI). Each index has two terms: Intercept and Slope. The Intercept represents the expected value of the index at the reference time point (e.g., day 0), while the Slope quantifies the effect of time of heatwave,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Second Derivative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5,296.50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3,668.84</w:t>
                  </w:r>
                </w:p>
              </w:tc>
            </w:tr>
            <w:tr>
              <w:trPr>
                <w:trHeight w:val="61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31,580.27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12,321.97</w:t>
                  </w:r>
                </w:p>
              </w:tc>
            </w:tr>
            <w:tr>
              <w:trPr>
                <w:trHeight w:val="612" w:hRule="auto"/>
              </w:trPr>
              body3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NDVI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3,436.59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2,239.77</w:t>
                  </w:r>
                </w:p>
              </w:tc>
            </w:tr>
            <w:tr>
              <w:trPr>
                <w:trHeight w:val="615" w:hRule="auto"/>
              </w:trPr>
              body4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32,903.97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13,585.03</w:t>
                  </w:r>
                </w:p>
              </w:tc>
            </w:tr>
            <w:tr>
              <w:trPr>
                <w:trHeight w:val="612" w:hRule="auto"/>
              </w:trPr>
              body5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GLI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3,953.87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2,318.63</w:t>
                  </w:r>
                </w:p>
              </w:tc>
            </w:tr>
            <w:tr>
              <w:trPr>
                <w:trHeight w:val="615" w:hRule="auto"/>
              </w:trPr>
              body6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27,154.17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13,247.23</w:t>
                  </w:r>
                </w:p>
              </w:tc>
            </w:tr>
            <w:tr>
              <w:trPr>
                <w:trHeight w:val="612" w:hRule="auto"/>
              </w:trPr>
              body7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SHSI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7,862.03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8,468.20</w:t>
                  </w:r>
                </w:p>
              </w:tc>
            </w:tr>
            <w:tr>
              <w:trPr>
                <w:trHeight w:val="615" w:hRule="auto"/>
              </w:trPr>
              body8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24,434.98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13,093.41</w:t>
                  </w:r>
                </w:p>
              </w:tc>
            </w:tr>
          </w:tbl>
          <w:bookmarkEnd w:id="120"/>
        </w:tc>
      </w:tr>
    </w:tbl>
    <w:bookmarkEnd w:id="121"/>
    <w:bookmarkStart w:id="123" w:name="sec-AnnexeC"/>
    <w:p>
      <w:pPr>
        <w:pStyle w:val="Heading2"/>
      </w:pPr>
      <w:r>
        <w:t xml:space="preserve">8.3 Annexes C - Outputs of GAM</w:t>
      </w:r>
    </w:p>
    <w:tbl>
      <w:tblPr>
        <w:tblStyle w:val="Table"/>
        <w:tblW w:type="pct" w:w="5000"/>
        <w:tblLayout w:type="fixed"/>
        <w:tblLook w:firstRow="0" w:lastRow="0" w:firstColumn="0" w:lastColumn="0" w:noHBand="0" w:noVBand="0" w:val="0000"/>
      </w:tblPr>
      <w:tblGrid>
        <w:gridCol w:w="7920"/>
      </w:tblGrid>
      <w:tr>
        <w:tc>
          <w:tcPr/>
          <w:bookmarkStart w:id="122" w:name="tbl-GAM"/>
          <w:p>
            <w:pPr>
              <w:jc w:val="center"/>
            </w:pPr>
            <w:pPr>
              <w:jc w:val="start"/>
              <w:spacing w:before="200"/>
              <w:pStyle w:val="ImageCaption"/>
            </w:pPr>
            <w:r>
              <w:t xml:space="preserve">Table 2: Outputs of the Generalized Additive Model (GAM) assessing the relationship between emersion time per day (hours) and the relative change in SHSI (</w:t>
            </w:r>
            <w:hyperlink w:anchor="fig-GAM_Emersion">
              <w:r>
                <w:rPr>
                  <w:rStyle w:val="Hyperlink"/>
                </w:rPr>
                <w:t xml:space="preserve">Figure 12</w:t>
              </w:r>
            </w:hyperlink>
            <w:r>
              <w:t xml:space="preserve">). The Intercept represents the expected value of the relative change of SHSI at the reference time point, while the s(emersion_per_day) is a function of the effect of emersion time per day on the relative change of SHSI.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11,075.03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10,478.49</w:t>
                  </w:r>
                </w:p>
              </w:tc>
            </w:tr>
            <w:tr>
              <w:trPr>
                <w:trHeight w:val="615"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semersion_per_day_1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3,143.78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5,830.38</w:t>
                  </w:r>
                </w:p>
              </w:tc>
            </w:tr>
          </w:tbl>
          <w:bookmarkEnd w:id="122"/>
        </w:tc>
      </w:tr>
    </w:tbl>
    <w:bookmarkEnd w:id="123"/>
    <w:bookmarkEnd w:id="124"/>
    <w:bookmarkStart w:id="226" w:name="references"/>
    <w:p>
      <w:pPr>
        <w:pStyle w:val="Heading1"/>
      </w:pPr>
      <w:r>
        <w:t xml:space="preserve">9. References</w:t>
      </w:r>
    </w:p>
    <w:bookmarkStart w:id="225" w:name="refs"/>
    <w:bookmarkStart w:id="125"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5"/>
    <w:bookmarkStart w:id="126"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6"/>
    <w:bookmarkStart w:id="127"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7"/>
    <w:bookmarkStart w:id="128"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8"/>
    <w:bookmarkStart w:id="129" w:name="ref-borum2004european"/>
    <w:p>
      <w:pPr>
        <w:pStyle w:val="Bibliography"/>
      </w:pPr>
      <w:r>
        <w:t xml:space="preserve">Borum, J., Duarte, C.M., Krause-Jensen, D., Greve, T.M., 2004. European seagrasses: An introduction to monitoring and management. Monitoring; Managing of European Seagrasses Project.</w:t>
      </w:r>
    </w:p>
    <w:bookmarkEnd w:id="129"/>
    <w:bookmarkStart w:id="130"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30"/>
    <w:bookmarkStart w:id="131"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31"/>
    <w:bookmarkStart w:id="133" w:name="ref-JSSv100i05"/>
    <w:p>
      <w:pPr>
        <w:pStyle w:val="Bibliography"/>
      </w:pPr>
      <w:r>
        <w:t xml:space="preserve">Bürkner, P.-C., 2021. Bayesian item response modeling in r with brms and stan. Journal of Statistical Software 100, 1–54.</w:t>
      </w:r>
      <w:r>
        <w:t xml:space="preserve"> </w:t>
      </w:r>
      <w:hyperlink r:id="rId132">
        <w:r>
          <w:rPr>
            <w:rStyle w:val="Hyperlink"/>
          </w:rPr>
          <w:t xml:space="preserve">https://doi.org/10.18637/jss.v100.i05</w:t>
        </w:r>
      </w:hyperlink>
    </w:p>
    <w:bookmarkEnd w:id="133"/>
    <w:bookmarkStart w:id="13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4"/>
    <w:bookmarkStart w:id="13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5"/>
    <w:bookmarkStart w:id="136"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6"/>
    <w:bookmarkStart w:id="138"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7">
        <w:r>
          <w:rPr>
            <w:rStyle w:val="Hyperlink"/>
          </w:rPr>
          <w:t xml:space="preserve">https://doi.org/10.18637/jss.v076.i01</w:t>
        </w:r>
      </w:hyperlink>
    </w:p>
    <w:bookmarkEnd w:id="138"/>
    <w:bookmarkStart w:id="140" w:name="ref-IPCC2023"/>
    <w:p>
      <w:pPr>
        <w:pStyle w:val="Bibliography"/>
      </w:pPr>
      <w:r>
        <w:t xml:space="preserve">Climate Change (IPCC), I.P. on, 2023. Summary for policymakers. IPCC, Geneva, Switzerland.</w:t>
      </w:r>
      <w:r>
        <w:t xml:space="preserve"> </w:t>
      </w:r>
      <w:hyperlink r:id="rId139">
        <w:r>
          <w:rPr>
            <w:rStyle w:val="Hyperlink"/>
          </w:rPr>
          <w:t xml:space="preserve">https://doi.org/10.59327/IPCC/AR6-9789291691647.001</w:t>
        </w:r>
      </w:hyperlink>
    </w:p>
    <w:bookmarkEnd w:id="140"/>
    <w:bookmarkStart w:id="14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41">
        <w:r>
          <w:rPr>
            <w:rStyle w:val="Hyperlink"/>
          </w:rPr>
          <w:t xml:space="preserve">https://doi.org/10.48670/moi-00311</w:t>
        </w:r>
      </w:hyperlink>
    </w:p>
    <w:bookmarkEnd w:id="142"/>
    <w:bookmarkStart w:id="144"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43">
        <w:r>
          <w:rPr>
            <w:rStyle w:val="Hyperlink"/>
          </w:rPr>
          <w:t xml:space="preserve">https://doi.org/10.1007/s11099-007-0084-3</w:t>
        </w:r>
      </w:hyperlink>
    </w:p>
    <w:bookmarkEnd w:id="144"/>
    <w:bookmarkStart w:id="145"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5"/>
    <w:bookmarkStart w:id="14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6">
        <w:r>
          <w:rPr>
            <w:rStyle w:val="Hyperlink"/>
          </w:rPr>
          <w:t xml:space="preserve">https://doi.org/10.1038/s43247-024-01543-z</w:t>
        </w:r>
      </w:hyperlink>
    </w:p>
    <w:bookmarkEnd w:id="147"/>
    <w:bookmarkStart w:id="14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8">
        <w:r>
          <w:rPr>
            <w:rStyle w:val="Hyperlink"/>
          </w:rPr>
          <w:t xml:space="preserve">https://doi.org/10.1016/j.rse.2024.114340</w:t>
        </w:r>
      </w:hyperlink>
    </w:p>
    <w:bookmarkEnd w:id="149"/>
    <w:bookmarkStart w:id="150" w:name="ref-deguette2022physiological"/>
    <w:p>
      <w:pPr>
        <w:pStyle w:val="Bibliography"/>
      </w:pPr>
      <w:r>
        <w:t xml:space="preserve">Deguette, A., Barrote, I., Silva, J., 2022. Physiological and morphological effects of a marine heatwave on the seagrass cymodocea nodosa. Scientific Reports 12, 7950.</w:t>
      </w:r>
    </w:p>
    <w:bookmarkEnd w:id="150"/>
    <w:bookmarkStart w:id="151" w:name="ref-douay2022new"/>
    <w:p>
      <w:pPr>
        <w:pStyle w:val="Bibliography"/>
      </w:pPr>
      <w:r>
        <w:t xml:space="preserve">Douay, F., Verpoorter, C., Duong, G., Spilmont, N., Gevaert, F., 2022. New hyperspectral procedure to discriminate intertidal macroalgae. Remote Sensing 14, 346.</w:t>
      </w:r>
    </w:p>
    <w:bookmarkEnd w:id="151"/>
    <w:bookmarkStart w:id="152" w:name="ref-duarte1991allometric"/>
    <w:p>
      <w:pPr>
        <w:pStyle w:val="Bibliography"/>
      </w:pPr>
      <w:r>
        <w:t xml:space="preserve">Duarte, C.M., 1991. Allometric scaling of seagrass form and productivity. Marine ecology progress series. Oldendorf 77, 289–300.</w:t>
      </w:r>
    </w:p>
    <w:bookmarkEnd w:id="152"/>
    <w:bookmarkStart w:id="154" w:name="ref-electricblue_intertidal_chamber"/>
    <w:p>
      <w:pPr>
        <w:pStyle w:val="Bibliography"/>
      </w:pPr>
      <w:r>
        <w:t xml:space="preserve">Electric Blue, 2023.</w:t>
      </w:r>
      <w:r>
        <w:t xml:space="preserve"> </w:t>
      </w:r>
      <w:hyperlink r:id="rId153">
        <w:r>
          <w:rPr>
            <w:rStyle w:val="Hyperlink"/>
          </w:rPr>
          <w:t xml:space="preserve">Intertidal chamber</w:t>
        </w:r>
      </w:hyperlink>
      <w:r>
        <w:t xml:space="preserve">.</w:t>
      </w:r>
    </w:p>
    <w:bookmarkEnd w:id="154"/>
    <w:bookmarkStart w:id="155" w:name="ref-sen2cor"/>
    <w:p>
      <w:pPr>
        <w:pStyle w:val="Bibliography"/>
      </w:pPr>
      <w:r>
        <w:t xml:space="preserve">European Space Agency, 2024b. Sen2Cor: Sentinel-2 atmospheric correction processor.</w:t>
      </w:r>
    </w:p>
    <w:bookmarkEnd w:id="155"/>
    <w:bookmarkStart w:id="156" w:name="ref-copernicus_sentinel2"/>
    <w:p>
      <w:pPr>
        <w:pStyle w:val="Bibliography"/>
      </w:pPr>
      <w:r>
        <w:t xml:space="preserve">European Space Agency, 2024a. Copernicus open access hub.</w:t>
      </w:r>
    </w:p>
    <w:bookmarkEnd w:id="156"/>
    <w:bookmarkStart w:id="157"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7"/>
    <w:bookmarkStart w:id="158"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8"/>
    <w:bookmarkStart w:id="159"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9"/>
    <w:bookmarkStart w:id="160"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60"/>
    <w:bookmarkStart w:id="161" w:name="ref-gardner2018global"/>
    <w:p>
      <w:pPr>
        <w:pStyle w:val="Bibliography"/>
      </w:pPr>
      <w:r>
        <w:t xml:space="preserve">Gardner, R.C., Finlayson, C., 2018. Global wetland outlook: State of the world’s wetlands and their services to people, in: Ramsar Convention Secretariat. pp. 2020–5.</w:t>
      </w:r>
    </w:p>
    <w:bookmarkEnd w:id="161"/>
    <w:bookmarkStart w:id="162"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62"/>
    <w:bookmarkStart w:id="163" w:name="ref-green2021historical"/>
    <w:p>
      <w:pPr>
        <w:pStyle w:val="Bibliography"/>
      </w:pPr>
      <w:r>
        <w:t xml:space="preserve">Green, A.E., Unsworth, R.K., Chadwick, M.A., Jones, P.J., 2021. Historical analysis exposes catastrophic seagrass loss for the united kingdom. Frontiers in plant science 12, 629962.</w:t>
      </w:r>
    </w:p>
    <w:bookmarkEnd w:id="163"/>
    <w:bookmarkStart w:id="164"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4"/>
    <w:bookmarkStart w:id="165" w:name="ref-hemminga1998root"/>
    <w:p>
      <w:pPr>
        <w:pStyle w:val="Bibliography"/>
      </w:pPr>
      <w:r>
        <w:t xml:space="preserve">Hemminga, M., 1998. The root/rhizome system of seagrasses: An asset and a burden. Journal of Sea Research 39, 183–196.</w:t>
      </w:r>
    </w:p>
    <w:bookmarkEnd w:id="165"/>
    <w:bookmarkStart w:id="16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6"/>
    <w:bookmarkStart w:id="16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7"/>
    <w:bookmarkStart w:id="168"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8"/>
    <w:bookmarkStart w:id="170" w:name="ref-ioc_sea_level_lecy"/>
    <w:p>
      <w:pPr>
        <w:pStyle w:val="Bibliography"/>
      </w:pPr>
      <w:r>
        <w:t xml:space="preserve">IOC, 2024.</w:t>
      </w:r>
      <w:r>
        <w:t xml:space="preserve"> </w:t>
      </w:r>
      <w:hyperlink r:id="rId169">
        <w:r>
          <w:rPr>
            <w:rStyle w:val="Hyperlink"/>
          </w:rPr>
          <w:t xml:space="preserve">Intergovernmental oceanographic commission ; sea level monitoring station - le conquet, france (LECY)</w:t>
        </w:r>
      </w:hyperlink>
      <w:r>
        <w:t xml:space="preserve">.</w:t>
      </w:r>
    </w:p>
    <w:bookmarkEnd w:id="170"/>
    <w:bookmarkStart w:id="17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71"/>
    <w:bookmarkStart w:id="173"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72">
        <w:r>
          <w:rPr>
            <w:rStyle w:val="Hyperlink"/>
          </w:rPr>
          <w:t xml:space="preserve">https://doi.org/10.1016/S0304-4238(05)80016-0</w:t>
        </w:r>
      </w:hyperlink>
    </w:p>
    <w:bookmarkEnd w:id="173"/>
    <w:bookmarkStart w:id="17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4">
        <w:r>
          <w:rPr>
            <w:rStyle w:val="Hyperlink"/>
          </w:rPr>
          <w:t xml:space="preserve">https://doi.org/10.1016/S0034-4257(70)80021-9</w:t>
        </w:r>
      </w:hyperlink>
    </w:p>
    <w:bookmarkEnd w:id="175"/>
    <w:bookmarkStart w:id="176" w:name="ref-hsdar"/>
    <w:p>
      <w:pPr>
        <w:pStyle w:val="Bibliography"/>
      </w:pPr>
      <w:r>
        <w:t xml:space="preserve">Lehnert, L.W., Meyer, H., Bendix, J., 2017. Hsdar: Manage, analyse and simulate hyperspectral data in r.</w:t>
      </w:r>
    </w:p>
    <w:bookmarkEnd w:id="176"/>
    <w:bookmarkStart w:id="177" w:name="ref-loarie2009velocity"/>
    <w:p>
      <w:pPr>
        <w:pStyle w:val="Bibliography"/>
      </w:pPr>
      <w:r>
        <w:t xml:space="preserve">Loarie, S.R., Duffy, P.B., Hamilton, H., Asner, G.P., Field, C.B., Ackerly, D.D., 2009. The velocity of climate change. Nature 462, 1052–1055.</w:t>
      </w:r>
    </w:p>
    <w:bookmarkEnd w:id="177"/>
    <w:bookmarkStart w:id="178"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8"/>
    <w:bookmarkStart w:id="180" w:name="ref-malvern_panalytical_rs3"/>
    <w:p>
      <w:pPr>
        <w:pStyle w:val="Bibliography"/>
      </w:pPr>
      <w:r>
        <w:t xml:space="preserve">Malvern Panalytical, 2023.</w:t>
      </w:r>
      <w:r>
        <w:t xml:space="preserve"> </w:t>
      </w:r>
      <w:hyperlink r:id="rId179">
        <w:r>
          <w:rPr>
            <w:rStyle w:val="Hyperlink"/>
          </w:rPr>
          <w:t xml:space="preserve">RS3 software</w:t>
        </w:r>
      </w:hyperlink>
      <w:r>
        <w:t xml:space="preserve">.</w:t>
      </w:r>
    </w:p>
    <w:bookmarkEnd w:id="180"/>
    <w:bookmarkStart w:id="181" w:name="ref-marba2010mediterranean"/>
    <w:p>
      <w:pPr>
        <w:pStyle w:val="Bibliography"/>
      </w:pPr>
      <w:r>
        <w:t xml:space="preserve">Marbà, N., Duarte, C.M., 2010. Mediterranean warming triggers seagrass (posidonia oceanica) shoot mortality. Global change biology 16, 2366–2375.</w:t>
      </w:r>
    </w:p>
    <w:bookmarkEnd w:id="181"/>
    <w:bookmarkStart w:id="182"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82"/>
    <w:bookmarkStart w:id="18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3"/>
    <w:bookmarkStart w:id="184"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4"/>
    <w:bookmarkStart w:id="186"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5">
        <w:r>
          <w:rPr>
            <w:rStyle w:val="Hyperlink"/>
          </w:rPr>
          <w:t xml:space="preserve">https://doi.org/10.3390/rs16234383</w:t>
        </w:r>
      </w:hyperlink>
    </w:p>
    <w:bookmarkEnd w:id="186"/>
    <w:bookmarkStart w:id="187"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7"/>
    <w:bookmarkStart w:id="18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8"/>
    <w:bookmarkStart w:id="189" w:name="ref-perkins2013measurement"/>
    <w:p>
      <w:pPr>
        <w:pStyle w:val="Bibliography"/>
      </w:pPr>
      <w:r>
        <w:t xml:space="preserve">Perkins, S.E., Alexander, L.V., 2013. On the measurement of heat waves. Journal of climate 26, 4500–4517.</w:t>
      </w:r>
    </w:p>
    <w:bookmarkEnd w:id="189"/>
    <w:bookmarkStart w:id="191" w:name="ref-Rbase"/>
    <w:p>
      <w:pPr>
        <w:pStyle w:val="Bibliography"/>
      </w:pPr>
      <w:r>
        <w:t xml:space="preserve">R Core Team, 2023.</w:t>
      </w:r>
      <w:r>
        <w:t xml:space="preserve"> </w:t>
      </w:r>
      <w:hyperlink r:id="rId190">
        <w:r>
          <w:rPr>
            <w:rStyle w:val="Hyperlink"/>
          </w:rPr>
          <w:t xml:space="preserve">R: A language and environment for statistical computing</w:t>
        </w:r>
      </w:hyperlink>
      <w:r>
        <w:t xml:space="preserve">. R Foundation for Statistical Computing, Vienna, Austria.</w:t>
      </w:r>
    </w:p>
    <w:bookmarkEnd w:id="191"/>
    <w:bookmarkStart w:id="192" w:name="ref-ramesh2020seagrass"/>
    <w:p>
      <w:pPr>
        <w:pStyle w:val="Bibliography"/>
      </w:pPr>
      <w:r>
        <w:t xml:space="preserve">Ramesh, C., Mohanraju, R., 2020. Seagrass ecosystems of andaman and nicobar islands: Status and future perspective. Environmental &amp; Earth Sciences Research Journal 7.</w:t>
      </w:r>
    </w:p>
    <w:bookmarkEnd w:id="192"/>
    <w:bookmarkStart w:id="193"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93"/>
    <w:bookmarkStart w:id="194" w:name="ref-roman2021using"/>
    <w:p>
      <w:pPr>
        <w:pStyle w:val="Bibliography"/>
      </w:pPr>
      <w:r>
        <w:t xml:space="preserve">Román, A., Tovar-Sánchez, A., Olivé, I., Navarro, G., 2021. Using a UAV-mounted multispectral camera for the monitoring of marine macrophytes. Frontiers in Marine Science 8, 722698.</w:t>
      </w:r>
    </w:p>
    <w:bookmarkEnd w:id="194"/>
    <w:bookmarkStart w:id="195"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5"/>
    <w:bookmarkStart w:id="196"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6"/>
    <w:bookmarkStart w:id="197" w:name="ref-rouse1974monitoring"/>
    <w:p>
      <w:pPr>
        <w:pStyle w:val="Bibliography"/>
      </w:pPr>
      <w:r>
        <w:t xml:space="preserve">Rouse, J.W., Haas, R.H., Schell, J.A., Deering, D.W., others, 1974. Monitoring vegetation systems in the great plains with ERTS. NASA Spec. Publ 351, 309.</w:t>
      </w:r>
    </w:p>
    <w:bookmarkEnd w:id="197"/>
    <w:bookmarkStart w:id="198"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8"/>
    <w:bookmarkStart w:id="199"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9"/>
    <w:bookmarkStart w:id="20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0">
        <w:r>
          <w:rPr>
            <w:rStyle w:val="Hyperlink"/>
          </w:rPr>
          <w:t xml:space="preserve">https://doi.org/10.21105/joss.00821</w:t>
        </w:r>
      </w:hyperlink>
    </w:p>
    <w:bookmarkEnd w:id="201"/>
    <w:bookmarkStart w:id="20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2"/>
    <w:bookmarkStart w:id="204" w:name="ref-shom_ram_2022"/>
    <w:p>
      <w:pPr>
        <w:pStyle w:val="Bibliography"/>
      </w:pPr>
      <w:r>
        <w:t xml:space="preserve">SHOM, 2022.</w:t>
      </w:r>
      <w:r>
        <w:t xml:space="preserve"> </w:t>
      </w:r>
      <w:hyperlink r:id="rId20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4"/>
    <w:bookmarkStart w:id="206" w:name="Xbef41143b4d4042e58f11cfc27e216202646012"/>
    <w:p>
      <w:pPr>
        <w:pStyle w:val="Bibliography"/>
      </w:pPr>
      <w:r>
        <w:t xml:space="preserve">SHOM, 2021.</w:t>
      </w:r>
      <w:r>
        <w:t xml:space="preserve"> </w:t>
      </w:r>
      <w:hyperlink r:id="rId205">
        <w:r>
          <w:rPr>
            <w:rStyle w:val="Hyperlink"/>
          </w:rPr>
          <w:t xml:space="preserve">Service hydrographique et océanographique de la marine ; bathymétrie Litto3D® bretagne 2018-2021</w:t>
        </w:r>
      </w:hyperlink>
      <w:r>
        <w:t xml:space="preserve">.</w:t>
      </w:r>
    </w:p>
    <w:bookmarkEnd w:id="206"/>
    <w:bookmarkStart w:id="207"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7"/>
    <w:bookmarkStart w:id="20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8"/>
    <w:bookmarkStart w:id="209" w:name="ref-stan2020rstan"/>
    <w:p>
      <w:pPr>
        <w:pStyle w:val="Bibliography"/>
      </w:pPr>
      <w:r>
        <w:t xml:space="preserve">Stan Development Team, C., others, 2020. RStan: The r interface to stan. R package version 2.21. 2.</w:t>
      </w:r>
    </w:p>
    <w:bookmarkEnd w:id="209"/>
    <w:bookmarkStart w:id="210" w:name="ref-stillman2019heat"/>
    <w:p>
      <w:pPr>
        <w:pStyle w:val="Bibliography"/>
      </w:pPr>
      <w:r>
        <w:t xml:space="preserve">Stillman, J.H., 2019. Heat waves, the new normal: Summertime temperature extremes will impact animals, ecosystems, and human communities. Physiology 34, 86–100.</w:t>
      </w:r>
    </w:p>
    <w:bookmarkEnd w:id="210"/>
    <w:bookmarkStart w:id="211"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11"/>
    <w:bookmarkStart w:id="21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2"/>
    <w:bookmarkStart w:id="213"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13"/>
    <w:bookmarkStart w:id="214" w:name="ref-unsworth2014biodiversity"/>
    <w:p>
      <w:pPr>
        <w:pStyle w:val="Bibliography"/>
      </w:pPr>
      <w:r>
        <w:t xml:space="preserve">Unsworth, R., Cullen-Unsworth, L.C., 2014. Biodiversity, ecosystem services, and the conservation of seagrass meadows. Coast. Conserv 19, 95.</w:t>
      </w:r>
    </w:p>
    <w:bookmarkEnd w:id="214"/>
    <w:bookmarkStart w:id="215" w:name="ref-unsworth2021seagrass"/>
    <w:p>
      <w:pPr>
        <w:pStyle w:val="Bibliography"/>
      </w:pPr>
      <w:r>
        <w:t xml:space="preserve">Unsworth, R.K., Butterworth, E.G., 2021. Seagrass meadows provide a significant resource in support of avifauna. Diversity 13, 363.</w:t>
      </w:r>
    </w:p>
    <w:bookmarkEnd w:id="215"/>
    <w:bookmarkStart w:id="216" w:name="ref-unsworth2022planetary"/>
    <w:p>
      <w:pPr>
        <w:pStyle w:val="Bibliography"/>
      </w:pPr>
      <w:r>
        <w:t xml:space="preserve">Unsworth, R.K., Cullen-Unsworth, L.C., Jones, B.L., Lilley, R.J., 2022. The planetary role of seagrass conservation. Science 377, 609–613.</w:t>
      </w:r>
    </w:p>
    <w:bookmarkEnd w:id="216"/>
    <w:bookmarkStart w:id="217"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7"/>
    <w:bookmarkStart w:id="21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8"/>
    <w:bookmarkStart w:id="21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9"/>
    <w:bookmarkStart w:id="220" w:name="ref-zahoor2023water"/>
    <w:p>
      <w:pPr>
        <w:pStyle w:val="Bibliography"/>
      </w:pPr>
      <w:r>
        <w:t xml:space="preserve">Zahoor, I., Mushtaq, A., 2023. Water pollution from agricultural activities: A critical global review. Int. J. Chem. Biochem. Sci 23, 164–176.</w:t>
      </w:r>
    </w:p>
    <w:bookmarkEnd w:id="220"/>
    <w:bookmarkStart w:id="22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1"/>
    <w:bookmarkStart w:id="223"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2">
        <w:r>
          <w:rPr>
            <w:rStyle w:val="Hyperlink"/>
          </w:rPr>
          <w:t xml:space="preserve">https://doi.org/10.1002/rse2.319</w:t>
        </w:r>
      </w:hyperlink>
    </w:p>
    <w:bookmarkEnd w:id="223"/>
    <w:bookmarkStart w:id="224"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4"/>
    <w:bookmarkEnd w:id="225"/>
    <w:bookmarkEnd w:id="226"/>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6" Target="media/rId116.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203" Target="https://diffusion.shom.fr/references-altimetriques-maritimes-ram.html" TargetMode="External" /><Relationship Type="http://schemas.openxmlformats.org/officeDocument/2006/relationships/hyperlink" Id="rId222" Target="https://doi.org/10.1002/rse2.319" TargetMode="External" /><Relationship Type="http://schemas.openxmlformats.org/officeDocument/2006/relationships/hyperlink" Id="rId143" Target="https://doi.org/10.1007/s11099-007-0084-3" TargetMode="External" /><Relationship Type="http://schemas.openxmlformats.org/officeDocument/2006/relationships/hyperlink" Id="rId174" Target="https://doi.org/10.1016/S0034-4257(70)80021-9" TargetMode="External" /><Relationship Type="http://schemas.openxmlformats.org/officeDocument/2006/relationships/hyperlink" Id="rId172" Target="https://doi.org/10.1016/S0304-4238(05)80016-0" TargetMode="External" /><Relationship Type="http://schemas.openxmlformats.org/officeDocument/2006/relationships/hyperlink" Id="rId148" Target="https://doi.org/10.1016/j.rse.2024.114340" TargetMode="External" /><Relationship Type="http://schemas.openxmlformats.org/officeDocument/2006/relationships/hyperlink" Id="rId146" Target="https://doi.org/10.1038/s43247-024-01543-z" TargetMode="External" /><Relationship Type="http://schemas.openxmlformats.org/officeDocument/2006/relationships/hyperlink" Id="rId137" Target="https://doi.org/10.18637/jss.v076.i01" TargetMode="External" /><Relationship Type="http://schemas.openxmlformats.org/officeDocument/2006/relationships/hyperlink" Id="rId132" Target="https://doi.org/10.18637/jss.v100.i05" TargetMode="External" /><Relationship Type="http://schemas.openxmlformats.org/officeDocument/2006/relationships/hyperlink" Id="rId200" Target="https://doi.org/10.21105/joss.00821" TargetMode="External" /><Relationship Type="http://schemas.openxmlformats.org/officeDocument/2006/relationships/hyperlink" Id="rId185" Target="https://doi.org/10.3390/rs16234383" TargetMode="External" /><Relationship Type="http://schemas.openxmlformats.org/officeDocument/2006/relationships/hyperlink" Id="rId141" Target="https://doi.org/10.48670/moi-00311" TargetMode="External" /><Relationship Type="http://schemas.openxmlformats.org/officeDocument/2006/relationships/hyperlink" Id="rId139" Target="https://doi.org/10.59327/IPCC/AR6-9789291691647.001" TargetMode="External" /><Relationship Type="http://schemas.openxmlformats.org/officeDocument/2006/relationships/hyperlink" Id="rId153" Target="https://electricblue.eu/intertidal-chamber"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9" Target="https://www.ioc-sealevelmonitoring.org/station.php?code=lecy" TargetMode="External" /><Relationship Type="http://schemas.openxmlformats.org/officeDocument/2006/relationships/hyperlink" Id="rId179"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3" Target="https://diffusion.shom.fr/references-altimetriques-maritimes-ram.html" TargetMode="External" /><Relationship Type="http://schemas.openxmlformats.org/officeDocument/2006/relationships/hyperlink" Id="rId222" Target="https://doi.org/10.1002/rse2.319" TargetMode="External" /><Relationship Type="http://schemas.openxmlformats.org/officeDocument/2006/relationships/hyperlink" Id="rId143" Target="https://doi.org/10.1007/s11099-007-0084-3" TargetMode="External" /><Relationship Type="http://schemas.openxmlformats.org/officeDocument/2006/relationships/hyperlink" Id="rId174" Target="https://doi.org/10.1016/S0034-4257(70)80021-9" TargetMode="External" /><Relationship Type="http://schemas.openxmlformats.org/officeDocument/2006/relationships/hyperlink" Id="rId172" Target="https://doi.org/10.1016/S0304-4238(05)80016-0" TargetMode="External" /><Relationship Type="http://schemas.openxmlformats.org/officeDocument/2006/relationships/hyperlink" Id="rId148" Target="https://doi.org/10.1016/j.rse.2024.114340" TargetMode="External" /><Relationship Type="http://schemas.openxmlformats.org/officeDocument/2006/relationships/hyperlink" Id="rId146" Target="https://doi.org/10.1038/s43247-024-01543-z" TargetMode="External" /><Relationship Type="http://schemas.openxmlformats.org/officeDocument/2006/relationships/hyperlink" Id="rId137" Target="https://doi.org/10.18637/jss.v076.i01" TargetMode="External" /><Relationship Type="http://schemas.openxmlformats.org/officeDocument/2006/relationships/hyperlink" Id="rId132" Target="https://doi.org/10.18637/jss.v100.i05" TargetMode="External" /><Relationship Type="http://schemas.openxmlformats.org/officeDocument/2006/relationships/hyperlink" Id="rId200" Target="https://doi.org/10.21105/joss.00821" TargetMode="External" /><Relationship Type="http://schemas.openxmlformats.org/officeDocument/2006/relationships/hyperlink" Id="rId185" Target="https://doi.org/10.3390/rs16234383" TargetMode="External" /><Relationship Type="http://schemas.openxmlformats.org/officeDocument/2006/relationships/hyperlink" Id="rId141" Target="https://doi.org/10.48670/moi-00311" TargetMode="External" /><Relationship Type="http://schemas.openxmlformats.org/officeDocument/2006/relationships/hyperlink" Id="rId139" Target="https://doi.org/10.59327/IPCC/AR6-9789291691647.001" TargetMode="External" /><Relationship Type="http://schemas.openxmlformats.org/officeDocument/2006/relationships/hyperlink" Id="rId153" Target="https://electricblue.eu/intertidal-chamber"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9" Target="https://www.ioc-sealevelmonitoring.org/station.php?code=lecy" TargetMode="External" /><Relationship Type="http://schemas.openxmlformats.org/officeDocument/2006/relationships/hyperlink" Id="rId179"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2025-02-28T13:39:11Z</dcterms:created>
  <dcterms:modified xsi:type="dcterms:W3CDTF">2025-02-28T13:39:11Z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2025-02-28</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