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9.png" ContentType="image/png"/>
  <Override PartName="/word/media/rId112.png" ContentType="image/png"/>
  <Override PartName="/word/media/rId84.png" ContentType="image/png"/>
  <Override PartName="/word/media/rId24.png" ContentType="image/png"/>
  <Override PartName="/word/media/rId95.png" ContentType="image/png"/>
  <Override PartName="/word/media/rId78.png" ContentType="image/png"/>
  <Override PartName="/word/media/rId90.png" ContentType="image/png"/>
  <Override PartName="/word/media/rId38.png" ContentType="image/png"/>
  <Override PartName="/word/media/rId71.png" ContentType="image/png"/>
  <Override PartName="/word/media/rId43.png" ContentType="image/png"/>
  <Override PartName="/word/media/rId66.png" ContentType="image/png"/>
  <Override PartName="/word/media/rId60.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Effects of Marine and Atmospheric Heatwaves on Intertidal Seagrass: Insights from Experimental Spectroradiometry and Satellite Observations</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Pierre Gernez¹</w:t>
      </w:r>
    </w:p>
    <w:p>
      <w:pPr>
        <w:pStyle w:val="Author"/>
      </w:pPr>
      <w:r>
        <w:t xml:space="preserve">Laurent Barillé¹</w:t>
      </w:r>
    </w:p>
    <w:p>
      <w:pPr>
        <w:pStyle w:val="Date"/>
      </w:pPr>
      <w:r>
        <w:t xml:space="preserve">2024-11-29</w:t>
      </w:r>
    </w:p>
    <w:p>
      <w:pPr>
        <w:pStyle w:val="AbstractTitle"/>
      </w:pPr>
      <w:r>
        <w:t xml:space="preserve">Abstract</w:t>
      </w:r>
    </w:p>
    <w:p>
      <w:pPr>
        <w:pStyle w:val="Abstract"/>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reflectance of the intertidal seagrass</w:t>
      </w:r>
      <w:r>
        <w:t xml:space="preserve"> </w:t>
      </w:r>
      <w:r>
        <w:rPr>
          <w:i/>
          <w:iCs/>
        </w:rPr>
        <w:t xml:space="preserve">Zostera noltei</w:t>
      </w:r>
      <w:r>
        <w:t xml:space="preserve">. We performed laboratory experiments, exposing seagrass samples to controlled heatwave conditions while measuring hyperspectral reflectance to assess impact over time. We found that heatwaves induced significant declines in seagrass reflectance, particularly in the green and near-infrared regions This corresponded to green leaves turning brown. Furthemore, key vegetation indices, such as the Normalized Difference Vegetation Index (NDVI) and Green Leaf Index (GLI), displayed marked reductions under heatwave stress, with NDVI values decreasing by up to 34% and GLI by 57%. A novel Seagrass Heat Shock Index (SHSI) was developed to identify leaves fading from green to brown color, showing a higher ability to quantify the effect of heatwave exposure on seagrass coloration. This research suggests that changes in spectral reflectance can effectively be used to detect the early impacts of heatwaves on seagrasses, providing a valuable tool for remote sensing-based habitat assessment. Multispectral satellite observations confirmed these findings, showing widespread seagrass leaves turning brown during atmospheric and marine heatwave events in South Brittany, France. Darkened seagrasses were observed in areas within the intertidal zone that were exposed to maximum temperatures of 32°C for more than 13.5 hours a day. This work highlights the need for continuous monitoring of seagrass meadows under the current and future climate regimes, underscoring the potential of remote sensing to capture rapid environmental changes in intertidal zones.</w:t>
      </w:r>
    </w:p>
    <w:bookmarkStart w:id="23" w:name="introduction"/>
    <w:p>
      <w:pPr>
        <w:pStyle w:val="Heading1"/>
      </w:pPr>
      <w:r>
        <w:t xml:space="preserve">1. Introduction</w:t>
      </w:r>
    </w:p>
    <w:p>
      <w:pPr>
        <w:pStyle w:val="FirstParagraph"/>
      </w:pPr>
      <w:r>
        <w:t xml:space="preserve">Intertidal seagrasses play a crucial role in coastal ecosystems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for several ecological functions, such as sediment stabilization or reducing the risk of eutrophication by consuming nutrients (</w:t>
      </w:r>
      <w:r>
        <w:rPr>
          <w:b/>
          <w:bCs/>
        </w:rPr>
        <w:t xml:space="preserve">REF</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agricultural and urban runoff nutrient enrichment, leading to eutrophication. This condition promotes the rapid growth of algale causing blooms that compete with seagrasses for light and nutrients, further stressing these important plants</w:t>
      </w:r>
      <w:r>
        <w:t xml:space="preserve"> </w:t>
      </w:r>
      <w:r>
        <w:t xml:space="preserve">(Oiry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Zahoor and Mushtaq, 2023)</w:t>
      </w:r>
      <w:r>
        <w:t xml:space="preserve">. These pollutants can affect the physiological processes of seagrasses, reducing their growth and survival rates</w:t>
      </w:r>
      <w:r>
        <w:t xml:space="preserve"> </w:t>
      </w:r>
      <w:r>
        <w:t xml:space="preserve">(Sevgi and Leblebici, 2022)</w:t>
      </w:r>
      <w:r>
        <w:t xml:space="preserve">. Among these anthropogenic stressors, heatwaves, exacerbated by climate change, pose a growing threat to seagrasses</w:t>
      </w:r>
      <w:r>
        <w:t xml:space="preserve"> </w:t>
      </w:r>
      <w:r>
        <w:t xml:space="preserve">(Deguette et al., 2022; Sawall et al., 2021)</w:t>
      </w:r>
      <w:r>
        <w:t xml:space="preserve">.</w:t>
      </w:r>
      <w:r>
        <w:t xml:space="preserve"> </w:t>
      </w:r>
      <w:r>
        <w:rPr>
          <w:b/>
          <w:bCs/>
        </w:rPr>
        <w:t xml:space="preserve">However, their impact on seagrass spectral reflectance has not yet been investigated.</w:t>
      </w:r>
      <w:r>
        <w:t xml:space="preserve"> </w:t>
      </w:r>
      <w:r>
        <w:t xml:space="preserve">Marine Heatwaves (MHW)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Intertidal seagrasses are exposed to both MHWs and AHWs at the interface between the land and oceans. Heatwaves profoundly impact the physiology of seagrasses, with their effects varying based on species and geographic location. The widespread species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Structural impacts on leaf coloration were also observed: in September 2021, a seagrass meadow in South Brittany (France) exhibited browning of the leaves just a few days after the start of a heatwave characterized by both water and atmospheric temperature anomalies (Barillé A-L &amp; Harin N., pers. comm.).</w:t>
      </w:r>
    </w:p>
    <w:p>
      <w:pPr>
        <w:pStyle w:val="BodyText"/>
      </w:pPr>
      <w:r>
        <w:t xml:space="preserve">Remote sensing is increasingly employed to monitor marine ecosystems, including intertidal seagrass meadows</w:t>
      </w:r>
      <w:r>
        <w:t xml:space="preserve"> </w:t>
      </w:r>
      <w:r>
        <w:t xml:space="preserve">(Davies et al., 2024a, 2024b; Oiry et al., 2024; Román et al., 2021)</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senescence,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changes associated with senescence and stress in intertidal marine vegetation, subjected to a combination of aquatic and aerial conditions, remain poorly studied.</w:t>
      </w:r>
    </w:p>
    <w:p>
      <w:pPr>
        <w:pStyle w:val="BodyText"/>
      </w:pPr>
      <w:r>
        <w:t xml:space="preserve">This study aims to experimentally test the hypothesis that warm events, such as atmospheric heatwaves, alter the reflectance of the intertidal seagrass</w:t>
      </w:r>
      <w:r>
        <w:t xml:space="preserve"> </w:t>
      </w:r>
      <w:r>
        <w:rPr>
          <w:i/>
          <w:iCs/>
        </w:rPr>
        <w:t xml:space="preserve">Zostera noltei</w:t>
      </w:r>
      <w:r>
        <w:t xml:space="preserve">. By linking these changes with satellite remote sensing data, the study seeks to provide insights into how heatwaves affect seagrass meadows and to assess the potential of remote sensing in monitoring these impacts</w:t>
      </w:r>
    </w:p>
    <w:bookmarkEnd w:id="23"/>
    <w:bookmarkStart w:id="59" w:name="material-methods"/>
    <w:p>
      <w:pPr>
        <w:pStyle w:val="Heading1"/>
      </w:pPr>
      <w:r>
        <w:t xml:space="preserve">2. Material &amp; Methods</w:t>
      </w:r>
    </w:p>
    <w:bookmarkStart w:id="37" w:name="laboratory-experiment"/>
    <w:p>
      <w:pPr>
        <w:pStyle w:val="Heading2"/>
      </w:pPr>
      <w:r>
        <w:t xml:space="preserve">2.1 Laboratory Experiment</w:t>
      </w:r>
    </w:p>
    <w:bookmarkStart w:id="29" w:name="sampling-and-acclimation-of-seagrasses"/>
    <w:p>
      <w:pPr>
        <w:pStyle w:val="Heading3"/>
      </w:pPr>
      <w:r>
        <w:t xml:space="preserve">2.1.1 Sampling and acclimation of seagrasses</w:t>
      </w:r>
    </w:p>
    <w:p>
      <w:pPr>
        <w:pStyle w:val="FirstParagraph"/>
      </w:pPr>
      <w:r>
        <w:t xml:space="preserve">Seagrass samples were taken from a</w:t>
      </w:r>
      <w:r>
        <w:t xml:space="preserve"> </w:t>
      </w:r>
      <w:r>
        <w:rPr>
          <w:i/>
          <w:iCs/>
        </w:rPr>
        <w:t xml:space="preserve">Zostera noltei</w:t>
      </w:r>
      <w:r>
        <w:t xml:space="preserve"> </w:t>
      </w:r>
      <w:r>
        <w:t xml:space="preserve">(dwarf eelgrass) meadow on Noirmoutier Island, France (46°57’32.0”N, 2°10’37.0”W) at low tide in June 2024. A metal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limitated variability between replicates. The entire system, including seagrass, sediment, meiofauna, and macrofauna, was placed in plastic trays together. Keeping the entire system allowed for the natural interactions between components to be maintained and reduced stress to the seagrass. To avoid hydric stress, caused by insufficient moisture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w:t>
      </w:r>
      <w:r>
        <w:t xml:space="preserve"> </w:t>
      </w:r>
      <w:r>
        <w:rPr>
          <w:i/>
          <w:iCs/>
        </w:rPr>
        <w:t xml:space="preserve">in situ</w:t>
      </w:r>
      <w:r>
        <w:t xml:space="preserve"> </w:t>
      </w:r>
      <w:r>
        <w:t xml:space="preserve">temperature during sampling, and with light of 150 µmol.s-1.m-2 of PAR photons</w:t>
      </w:r>
      <w:r>
        <w:t xml:space="preserve"> </w:t>
      </w:r>
      <w:r>
        <w:t xml:space="preserve">(Akbar et al., 2020)</w:t>
      </w:r>
      <w:r>
        <w:t xml:space="preserve">. During high tide, a pump allowed the water to circulate and to re-oxygenate.</w:t>
      </w:r>
    </w:p>
    <w:bookmarkStart w:id="28" w:name="cell-fig-design"/>
    <w:tbl>
      <w:tblPr>
        <w:tblStyle w:val="Table"/>
        <w:tblW w:type="pct" w:w="5000"/>
        <w:tblLayout w:type="fixed"/>
        <w:tblLook w:firstRow="0" w:lastRow="0" w:firstColumn="0" w:lastColumn="0" w:noHBand="0" w:noVBand="0" w:val="0000"/>
      </w:tblPr>
      <w:tblGrid>
        <w:gridCol w:w="7920"/>
      </w:tblGrid>
      <w:tr>
        <w:tc>
          <w:tcPr/>
          <w:bookmarkStart w:id="27" w:name="fig-design"/>
          <w:p>
            <w:pPr>
              <w:pStyle w:val="Compact"/>
              <w:jc w:val="center"/>
            </w:pPr>
            <w:r>
              <w:drawing>
                <wp:inline>
                  <wp:extent cx="5646420" cy="5554024"/>
                  <wp:effectExtent b="0" l="0" r="0" t="0"/>
                  <wp:docPr descr="" title="" id="25" name="Picture"/>
                  <a:graphic>
                    <a:graphicData uri="http://schemas.openxmlformats.org/drawingml/2006/picture">
                      <pic:pic>
                        <pic:nvPicPr>
                          <pic:cNvPr descr="Figs/Low_res/Experimental_design.png" id="26" name="Picture"/>
                          <pic:cNvPicPr>
                            <a:picLocks noChangeArrowheads="1" noChangeAspect="1"/>
                          </pic:cNvPicPr>
                        </pic:nvPicPr>
                        <pic:blipFill>
                          <a:blip r:embed="rId24"/>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Example of the various steps of the experiment. A: Field sampling of seagrass using a sampling box; B: Intertidal chambers used during the experiment; C: Seagrass sample inside a chamber during the experiment at high tide; D: Photo of the treatment sample at the start of the experiment; E: Photo of the treatment sample at the end of the experiment.</w:t>
            </w:r>
          </w:p>
          <w:bookmarkEnd w:id="27"/>
        </w:tc>
      </w:tr>
    </w:tbl>
    <w:bookmarkEnd w:id="28"/>
    <w:bookmarkEnd w:id="29"/>
    <w:bookmarkStart w:id="30" w:name="experimental-design"/>
    <w:p>
      <w:pPr>
        <w:pStyle w:val="Heading3"/>
      </w:pPr>
      <w:r>
        <w:t xml:space="preserve">2.1.2 Experimental design</w:t>
      </w:r>
    </w:p>
    <w:p>
      <w:pPr>
        <w:pStyle w:val="FirstParagraph"/>
      </w:pPr>
      <w:r>
        <w:t xml:space="preserve">Two intertidal chambers were used to simulate tidal cycles and control water temperature during high tide and air temperature during low tide , </w:t>
      </w:r>
      <w:hyperlink w:anchor="fig-design">
        <w:r>
          <w:rPr>
            <w:rStyle w:val="Hyperlink"/>
          </w:rPr>
          <w:t xml:space="preserve">Figure 1</w:t>
        </w:r>
      </w:hyperlink>
      <w:r>
        <w:t xml:space="preserve">. Chambers were utilized in parallel with one chamber serving as the control, while the other was used for the experimental treatment.</w:t>
      </w:r>
    </w:p>
    <w:p>
      <w:pPr>
        <w:pStyle w:val="BodyText"/>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(Annexe A1,</w:t>
      </w:r>
      <w:r>
        <w:t xml:space="preserve"> </w:t>
      </w:r>
      <w:hyperlink w:anchor="sec-AnnexeA">
        <w:r>
          <w:rPr>
            <w:rStyle w:val="Hyperlink"/>
          </w:rPr>
          <w:t xml:space="preserve">Section 6.1</w:t>
        </w:r>
      </w:hyperlink>
      <w:r>
        <w:t xml:space="preserve">).</w:t>
      </w:r>
      <w:r>
        <w:t xml:space="preserve"> </w:t>
      </w:r>
      <w:r>
        <w:t xml:space="preserve">The control chamber was kept at temperatures representing typical seasonal conditions, with water temperatures at 18°C and air temperatures from 19°C to 23°C, following natural daily temperature fluctuations (Annexe A2,</w:t>
      </w:r>
      <w:r>
        <w:t xml:space="preserve"> </w:t>
      </w:r>
      <w:hyperlink w:anchor="sec-AnnexeA">
        <w:r>
          <w:rPr>
            <w:rStyle w:val="Hyperlink"/>
          </w:rPr>
          <w:t xml:space="preserve">Section 6.1</w:t>
        </w:r>
      </w:hyperlink>
      <w:r>
        <w:t xml:space="preserve">).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aimed to replicate the thermal stress experienced by the seagrass meadow during the actual heatwave event (Annexe A2,</w:t>
      </w:r>
      <w:r>
        <w:t xml:space="preserve"> </w:t>
      </w:r>
      <w:hyperlink w:anchor="sec-AnnexeA">
        <w:r>
          <w:rPr>
            <w:rStyle w:val="Hyperlink"/>
          </w:rPr>
          <w:t xml:space="preserve">Section 6.1</w:t>
        </w:r>
      </w:hyperlink>
      <w:r>
        <w:t xml:space="preserve">).</w:t>
      </w:r>
    </w:p>
    <w:bookmarkEnd w:id="30"/>
    <w:bookmarkStart w:id="36" w:name="optical-measurements"/>
    <w:p>
      <w:pPr>
        <w:pStyle w:val="Heading3"/>
      </w:pPr>
      <w:r>
        <w:t xml:space="preserve">2.1.3 Optical measurements</w:t>
      </w:r>
    </w:p>
    <w:bookmarkStart w:id="31" w:name="hyperspectral-measurements"/>
    <w:p>
      <w:pPr>
        <w:pStyle w:val="Heading4"/>
      </w:pPr>
      <w:r>
        <w:t xml:space="preserve">2.1.3.1 Hyperspectral measurements</w:t>
      </w:r>
    </w:p>
    <w:p>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where automatic spectra acquisition was carried out</w:t>
      </w:r>
      <w:r>
        <w:t xml:space="preserve"> </w:t>
      </w:r>
      <w:r>
        <w:t xml:space="preserve">(Malvern Panalytical, 2023)</w:t>
      </w:r>
      <w:r>
        <w:t xml:space="preserve">. An average of five reflectance spectra (</w:t>
      </w:r>
      <m:oMath>
        <m:r>
          <m:t>R</m:t>
        </m:r>
        <m:d>
          <m:dPr>
            <m:begChr m:val="("/>
            <m:endChr m:val=")"/>
            <m:sepChr m:val=""/>
            <m:grow/>
          </m:dPr>
          <m:e>
            <m:r>
              <m:t>λ</m:t>
            </m:r>
          </m:e>
        </m:d>
      </m:oMath>
      <w:r>
        <w:t xml:space="preserve">), each with an integration time of 544 ms, was taken every minute during daytime. Every 10 minutes, the fiber optic was switched from one intertidal chamber to the other, in order to measure reflectance in both treatment and control. Light conditions were controlled inside of the chambers so reflectance calibration of the instrument was performed each morning at the very first moment of low tide using a Spectralon white reference with 99% Lambertian reflectivity.</w:t>
      </w:r>
    </w:p>
    <w:bookmarkEnd w:id="31"/>
    <w:bookmarkStart w:id="35" w:name="spectrum-post-processing"/>
    <w:p>
      <w:pPr>
        <w:pStyle w:val="Heading4"/>
      </w:pPr>
      <w:r>
        <w:t xml:space="preserve">2.1.3.2 Spectrum post-processing</w:t>
      </w:r>
    </w:p>
    <w:p>
      <w:pPr>
        <w:pStyle w:val="FirstParagraph"/>
      </w:pPr>
      <w:r>
        <w:t xml:space="preserve">A Savitzky-Golay smoothing function with a 5 nm moving window was applied to each spectrum prior to computing the second derivative of</w:t>
      </w:r>
      <w:r>
        <w:t xml:space="preserve"> </w:t>
      </w:r>
      <m:oMath>
        <m:r>
          <m:t>R</m:t>
        </m:r>
        <m:d>
          <m:dPr>
            <m:begChr m:val="("/>
            <m:endChr m:val=")"/>
            <m:sepChr m:val=""/>
            <m:grow/>
          </m:dPr>
          <m:e>
            <m:r>
              <m:t>λ</m:t>
            </m:r>
          </m:e>
        </m:d>
      </m:oMath>
      <w:r>
        <w:t xml:space="preserve"> </w:t>
      </w:r>
      <w:r>
        <w:t xml:space="preserve">used to estimate absorption features and compare their variability over time. This analysis was performed using the</w:t>
      </w:r>
      <w:r>
        <w:t xml:space="preserve"> </w:t>
      </w:r>
      <w:r>
        <w:t xml:space="preserve">“hsdar”</w:t>
      </w:r>
      <w:r>
        <w:t xml:space="preserve"> </w:t>
      </w:r>
      <w:r>
        <w:t xml:space="preserve">package in R</w:t>
      </w:r>
      <w:r>
        <w:t xml:space="preserve"> </w:t>
      </w:r>
      <w:r>
        <w:t xml:space="preserve">(Lehnert et al., 2017)</w:t>
      </w:r>
      <w:r>
        <w:t xml:space="preserve">.</w:t>
      </w:r>
    </w:p>
    <w:p>
      <w:pPr>
        <w:pStyle w:val="BodyText"/>
      </w:pPr>
      <w:r>
        <w:t xml:space="preserve">Two well established radiometric indices were also calculated throughout the experiment :</w:t>
      </w:r>
    </w:p>
    <w:p>
      <w:pPr>
        <w:pStyle w:val="Compact"/>
        <w:numPr>
          <w:ilvl w:val="0"/>
          <w:numId w:val="1001"/>
        </w:numPr>
      </w:pPr>
      <w:r>
        <w:t xml:space="preserve">Normalized Difference Vegetation Index (NDVI,</w:t>
      </w:r>
      <w:r>
        <w:t xml:space="preserve"> </w:t>
      </w:r>
      <w:r>
        <w:t xml:space="preserve">Rouse et al. (1974)</w:t>
      </w:r>
      <w:r>
        <w:t xml:space="preserve">), a proxy of the concentration of chlorophyll-a (</w:t>
      </w:r>
      <w:hyperlink w:anchor="eq-ndvi">
        <w:r>
          <w:rPr>
            <w:rStyle w:val="Hyperlink"/>
          </w:rPr>
          <w:t xml:space="preserve">Equation 1</w:t>
        </w:r>
      </w:hyperlink>
      <w:r>
        <w:t xml:space="preserve">)</w:t>
      </w:r>
    </w:p>
    <w:p>
      <w:pPr>
        <w:pStyle w:val="FirstParagraph"/>
      </w:pPr>
      <w:bookmarkStart w:id="32"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2"/>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Green Leaf Index (GLI,</w:t>
      </w:r>
      <w:r>
        <w:t xml:space="preserve"> </w:t>
      </w:r>
      <w:r>
        <w:t xml:space="preserve">Louhaichi et al. (2001)</w:t>
      </w:r>
      <w:r>
        <w:t xml:space="preserve">), a measurement of the greenness of seagrass leafs (</w:t>
      </w:r>
      <w:hyperlink w:anchor="eq-gli">
        <w:r>
          <w:rPr>
            <w:rStyle w:val="Hyperlink"/>
          </w:rPr>
          <w:t xml:space="preserve">Equation 2</w:t>
        </w:r>
      </w:hyperlink>
      <w:r>
        <w:t xml:space="preserve">)</w:t>
      </w:r>
    </w:p>
    <w:p>
      <w:pPr>
        <w:pStyle w:val="FirstParagraph"/>
      </w:pPr>
      <w:bookmarkStart w:id="33"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3"/>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‘baseline’</w:t>
      </w:r>
      <w:r>
        <w:t xml:space="preserve"> </w:t>
      </w:r>
      <w:r>
        <w:t xml:space="preserve">and 740 nm represents the central peak. The SDI can be mathematically expressed as:</w:t>
      </w:r>
    </w:p>
    <w:p>
      <w:pPr>
        <w:pStyle w:val="BodyText"/>
      </w:pPr>
      <w:bookmarkStart w:id="34" w:name="eq-SDI"/>
      <m:oMathPara>
        <m:oMathParaPr>
          <m:jc m:val="center"/>
        </m:oMathParaPr>
        <m:oMath>
          <m:r>
            <m:rPr>
              <m:nor/>
              <m:sty m:val="p"/>
            </m:rPr>
            <m:t>SDI</m:t>
          </m:r>
          <m:r>
            <m:rPr>
              <m:sty m:val="p"/>
            </m:rPr>
            <m:t>=</m:t>
          </m:r>
          <m:sSub>
            <m:e>
              <m:r>
                <m:t>I</m:t>
              </m:r>
            </m:e>
            <m:sub>
              <m:r>
                <m:t>S</m:t>
              </m:r>
              <m:r>
                <m:t>D</m:t>
              </m:r>
              <m:r>
                <m:t>I</m:t>
              </m:r>
            </m:sub>
          </m:sSub>
          <m:r>
            <m:rPr>
              <m:sty m:val="p"/>
            </m:rPr>
            <m:t>−</m:t>
          </m:r>
          <m:r>
            <m:t>R</m:t>
          </m:r>
          <m:d>
            <m:dPr>
              <m:begChr m:val="("/>
              <m:endChr m:val=")"/>
              <m:sepChr m:val=""/>
              <m:grow/>
            </m:dPr>
            <m:e>
              <m:r>
                <m:t>740</m:t>
              </m:r>
            </m:e>
          </m:d>
          <m:r>
            <m:t>  </m:t>
          </m:r>
          <m:d>
            <m:dPr>
              <m:begChr m:val="("/>
              <m:endChr m:val=")"/>
              <m:sepChr m:val=""/>
              <m:grow/>
            </m:dPr>
            <m:e>
              <m:r>
                <m:t>3</m:t>
              </m:r>
            </m:e>
          </m:d>
        </m:oMath>
      </m:oMathPara>
      <w:bookmarkEnd w:id="34"/>
    </w:p>
    <w:p>
      <w:pPr>
        <w:pStyle w:val="FirstParagraph"/>
      </w:pPr>
      <w:r>
        <w:t xml:space="preserve">where :</w:t>
      </w:r>
    </w:p>
    <w:p>
      <w:pPr>
        <w:pStyle w:val="BodyText"/>
      </w:pPr>
      <m:oMathPara>
        <m:oMathParaPr>
          <m:jc m:val="center"/>
        </m:oMathParaPr>
        <m:oMath>
          <m:sSub>
            <m:e>
              <m:r>
                <m:t>I</m:t>
              </m:r>
            </m:e>
            <m:sub>
              <m:r>
                <m:t>S</m:t>
              </m:r>
              <m:r>
                <m:t>D</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End w:id="35"/>
    <w:bookmarkEnd w:id="36"/>
    <w:bookmarkEnd w:id="37"/>
    <w:bookmarkStart w:id="57" w:name="in-situ-seagrass-darkening."/>
    <w:p>
      <w:pPr>
        <w:pStyle w:val="Heading2"/>
      </w:pPr>
      <w:r>
        <w:t xml:space="preserve">2.2</w:t>
      </w:r>
      <w:r>
        <w:t xml:space="preserve"> </w:t>
      </w:r>
      <w:r>
        <w:rPr>
          <w:i/>
          <w:iCs/>
        </w:rPr>
        <w:t xml:space="preserve">In situ</w:t>
      </w:r>
      <w:r>
        <w:t xml:space="preserve"> </w:t>
      </w:r>
      <w:r>
        <w:t xml:space="preserve">seagrass darkening.</w:t>
      </w:r>
    </w:p>
    <w:bookmarkStart w:id="48" w:name="field-observation"/>
    <w:p>
      <w:pPr>
        <w:pStyle w:val="Heading3"/>
      </w:pPr>
      <w:r>
        <w:t xml:space="preserve">2.2.1 Field Observation</w:t>
      </w:r>
    </w:p>
    <w:bookmarkStart w:id="42" w:name="cell-fig-quiberonMap"/>
    <w:tbl>
      <w:tblPr>
        <w:tblStyle w:val="Table"/>
        <w:tblW w:type="pct" w:w="5000"/>
        <w:tblLayout w:type="fixed"/>
        <w:tblLook w:firstRow="0" w:lastRow="0" w:firstColumn="0" w:lastColumn="0" w:noHBand="0" w:noVBand="0" w:val="0000"/>
      </w:tblPr>
      <w:tblGrid>
        <w:gridCol w:w="7920"/>
      </w:tblGrid>
      <w:tr>
        <w:tc>
          <w:tcPr/>
          <w:bookmarkStart w:id="41" w:name="fig-quiberonMap"/>
          <w:p>
            <w:pPr>
              <w:pStyle w:val="Compact"/>
              <w:jc w:val="center"/>
            </w:pPr>
            <w:r>
              <w:drawing>
                <wp:inline>
                  <wp:extent cx="5646420" cy="5646420"/>
                  <wp:effectExtent b="0" l="0" r="0" t="0"/>
                  <wp:docPr descr="" title="" id="39" name="Picture"/>
                  <a:graphic>
                    <a:graphicData uri="http://schemas.openxmlformats.org/drawingml/2006/picture">
                      <pic:pic>
                        <pic:nvPicPr>
                          <pic:cNvPr descr="Figs/Low_res/Quiberon_map.png" id="40" name="Picture"/>
                          <pic:cNvPicPr>
                            <a:picLocks noChangeArrowheads="1" noChangeAspect="1"/>
                          </pic:cNvPicPr>
                        </pic:nvPicPr>
                        <pic:blipFill>
                          <a:blip r:embed="rId38"/>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Location of the field campaign that occurred in the 10th of September 2021. The red line surround the intertidal zone (Zone between High tide and low tide, that is totally emerged at low tide) and the dark green polygon indicate the extent of the seagrass meadow. Green dots indicate location of quadrat picture over unimpacted seagrasses (i.e. showing a green color on the field) while red dots indicate location of quadrat took over impacted seagrasses (i.e. showing a dark color on the field).</w:t>
            </w:r>
          </w:p>
          <w:bookmarkEnd w:id="41"/>
        </w:tc>
      </w:tr>
    </w:tbl>
    <w:bookmarkEnd w:id="42"/>
    <w:p>
      <w:pPr>
        <w:pStyle w:val="BodyText"/>
      </w:pPr>
      <w:r>
        <w:t xml:space="preserve">A field campaign, aiming to map a seagrass meadow near Quiberon (France : 46°57’32.0”N, 2°10’37.0”W), occurred on the 10th of September 2021 (</w:t>
      </w:r>
      <w:hyperlink w:anchor="fig-quiberonMap">
        <w:r>
          <w:rPr>
            <w:rStyle w:val="Hyperlink"/>
          </w:rPr>
          <w:t xml:space="preserve">Figure 2</w:t>
        </w:r>
      </w:hyperlink>
      <w:r>
        <w:t xml:space="preserve">). During this field campaign, significant darkening of seagrass leaves was observed over large areas of the meadow alongside normal green seagrass (</w:t>
      </w:r>
      <w:hyperlink w:anchor="fig-QuiberonImg">
        <w:r>
          <w:rPr>
            <w:rStyle w:val="Hyperlink"/>
          </w:rPr>
          <w:t xml:space="preserve">Figure 3</w:t>
        </w:r>
      </w:hyperlink>
      <w:r>
        <w:t xml:space="preserve">). A total of 96 Quadrat Points (QPs) were collected in the form of georeferenced quadrat images across the meadow. These images allow for visual assessment of vegetation type, density, and coloration. The images were then divided into two categories: green seagrasses (henceforth: QPs unimpacted) and darkened seagrasses (henceforth: QPs impacted), based on a visual estimation of the leaf coloration (</w:t>
      </w:r>
      <w:hyperlink w:anchor="fig-quiberonMap">
        <w:r>
          <w:rPr>
            <w:rStyle w:val="Hyperlink"/>
          </w:rPr>
          <w:t xml:space="preserve">Figure 2</w:t>
        </w:r>
      </w:hyperlink>
      <w:r>
        <w:t xml:space="preserve">).</w:t>
      </w:r>
    </w:p>
    <w:bookmarkStart w:id="47" w:name="cell-fig-QuiberonImg"/>
    <w:tbl>
      <w:tblPr>
        <w:tblStyle w:val="Table"/>
        <w:tblW w:type="pct" w:w="5000"/>
        <w:tblLayout w:type="fixed"/>
        <w:tblLook w:firstRow="0" w:lastRow="0" w:firstColumn="0" w:lastColumn="0" w:noHBand="0" w:noVBand="0" w:val="0000"/>
      </w:tblPr>
      <w:tblGrid>
        <w:gridCol w:w="7920"/>
      </w:tblGrid>
      <w:tr>
        <w:tc>
          <w:tcPr/>
          <w:bookmarkStart w:id="46" w:name="fig-QuiberonImg"/>
          <w:p>
            <w:pPr>
              <w:pStyle w:val="Compact"/>
              <w:jc w:val="center"/>
            </w:pPr>
            <w:r>
              <w:drawing>
                <wp:inline>
                  <wp:extent cx="5646420" cy="3733115"/>
                  <wp:effectExtent b="0" l="0" r="0" t="0"/>
                  <wp:docPr descr="" title="" id="44" name="Picture"/>
                  <a:graphic>
                    <a:graphicData uri="http://schemas.openxmlformats.org/drawingml/2006/picture">
                      <pic:pic>
                        <pic:nvPicPr>
                          <pic:cNvPr descr="Figs/Low_res/img_Quiberon.png" id="45" name="Picture"/>
                          <pic:cNvPicPr>
                            <a:picLocks noChangeArrowheads="1" noChangeAspect="1"/>
                          </pic:cNvPicPr>
                        </pic:nvPicPr>
                        <pic:blipFill>
                          <a:blip r:embed="rId43"/>
                          <a:stretch>
                            <a:fillRect/>
                          </a:stretch>
                        </pic:blipFill>
                        <pic:spPr bwMode="auto">
                          <a:xfrm>
                            <a:off x="0" y="0"/>
                            <a:ext cx="5646420" cy="37331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Illustrations of the two coloration of seagrasses observed in the field. A: View of a green meadow; B: Quadrat images of green seagrasses; C: Quadrat images of darkened seagrasses; D: View of darkened area of the meadow. All images were taken on September 10th, 2021, in Quiberon.</w:t>
            </w:r>
          </w:p>
          <w:bookmarkEnd w:id="46"/>
        </w:tc>
      </w:tr>
    </w:tbl>
    <w:bookmarkEnd w:id="47"/>
    <w:bookmarkEnd w:id="48"/>
    <w:bookmarkStart w:id="53" w:name="Xf8a39f1f3d5cbc00f14159fcb612e83e416b551"/>
    <w:p>
      <w:pPr>
        <w:pStyle w:val="Heading3"/>
      </w:pPr>
      <w:r>
        <w:t xml:space="preserve">2.2.2 Temperature Data and identification of heatwaves</w:t>
      </w:r>
    </w:p>
    <w:bookmarkStart w:id="50" w:name="air-temperature"/>
    <w:p>
      <w:pPr>
        <w:pStyle w:val="Heading4"/>
      </w:pPr>
      <w:r>
        <w:t xml:space="preserve">2.2.2.1 Air temperature</w:t>
      </w:r>
    </w:p>
    <w:p>
      <w:pPr>
        <w:pStyle w:val="FirstParagraph"/>
      </w:pPr>
      <w:r>
        <w:t xml:space="preserve">Since January 1, 2024, Meteo France weather data has been freely and openly accessible. Hourly air temperature data (°C) was retrieved using a</w:t>
      </w:r>
      <w:r>
        <w:t xml:space="preserve"> </w:t>
      </w:r>
      <w:hyperlink r:id="rId49">
        <w:r>
          <w:rPr>
            <w:rStyle w:val="Hyperlink"/>
          </w:rPr>
          <w:t xml:space="preserve">custom script</w:t>
        </w:r>
      </w:hyperlink>
      <w:r>
        <w:t xml:space="preserve"> </w:t>
      </w:r>
      <w:r>
        <w:t xml:space="preserve">as no API was available at the time of this study. Data form the nearest weather station of our study site (Lorient-Lann Bihoue, 47°45’46”N 3°26’11”W) were downloaded. For this station more than 395000 observation since the 1st of February 1952 were available.</w:t>
      </w:r>
    </w:p>
    <w:bookmarkEnd w:id="50"/>
    <w:bookmarkStart w:id="51" w:name="water-temperature"/>
    <w:p>
      <w:pPr>
        <w:pStyle w:val="Heading4"/>
      </w:pPr>
      <w:r>
        <w:t xml:space="preserve">2.2.2.2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w:t>
      </w:r>
    </w:p>
    <w:bookmarkEnd w:id="51"/>
    <w:bookmarkStart w:id="52" w:name="heatwave-detection-and-characterization"/>
    <w:p>
      <w:pPr>
        <w:pStyle w:val="Heading4"/>
      </w:pPr>
      <w:r>
        <w:t xml:space="preserve">2.2.2.3 Heatwave Detection and Characterization</w:t>
      </w:r>
    </w:p>
    <w:p>
      <w:pPr>
        <w:pStyle w:val="FirstParagraph"/>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w:t>
      </w:r>
    </w:p>
    <w:bookmarkEnd w:id="52"/>
    <w:bookmarkEnd w:id="53"/>
    <w:bookmarkStart w:id="55" w:name="satellite-observation"/>
    <w:p>
      <w:pPr>
        <w:pStyle w:val="Heading3"/>
      </w:pPr>
      <w:r>
        <w:t xml:space="preserve">2.2.3 Satellite Observation</w:t>
      </w:r>
    </w:p>
    <w:p>
      <w:pPr>
        <w:pStyle w:val="FirstParagraph"/>
      </w:pPr>
      <w:r>
        <w:t xml:space="preserve">Three Sentinel-2 images covering the field campaign site (</w:t>
      </w:r>
      <w:hyperlink w:anchor="fig-quiberonMap">
        <w:r>
          <w:rPr>
            <w:rStyle w:val="Hyperlink"/>
          </w:rPr>
          <w:t xml:space="preserve">Figure 2</w:t>
        </w:r>
      </w:hyperlink>
      <w:r>
        <w:t xml:space="preserve">) were downloaded from the Copernicus platform</w:t>
      </w:r>
      <w:r>
        <w:t xml:space="preserve"> </w:t>
      </w:r>
      <w:r>
        <w:t xml:space="preserve">(European Space Agency, 2024a)</w:t>
      </w:r>
      <w:r>
        <w:t xml:space="preserve">. The first image was taken before the heatwave event on September 1, 2021, the second image during the event on September 6, 2021 and the last one, one month after the events on the 8th of October 2021. Images were acquired as Level-2 product,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of each QPs (</w:t>
      </w:r>
      <w:hyperlink w:anchor="fig-quiberonMap">
        <w:r>
          <w:rPr>
            <w:rStyle w:val="Hyperlink"/>
          </w:rPr>
          <w:t xml:space="preserve">Figure 2</w:t>
        </w:r>
      </w:hyperlink>
      <w:r>
        <w:t xml:space="preserve">) were extracted and compared before and after the heatwave event.</w:t>
      </w:r>
    </w:p>
    <w:p>
      <w:pPr>
        <w:pStyle w:val="BodyText"/>
      </w:pPr>
      <w:r>
        <w:t xml:space="preserve">A remote sensing based seagrass covers estimation equation, the SC developed by</w:t>
      </w:r>
      <w:r>
        <w:t xml:space="preserve"> </w:t>
      </w:r>
      <w:r>
        <w:t xml:space="preserve">Zoffoli et al. (2020)</w:t>
      </w:r>
      <w:r>
        <w:t xml:space="preserve">, were used to retrieve the proportion of seagrass of Sentinel-2 pixel (</w:t>
      </w:r>
      <w:hyperlink w:anchor="eq-spc">
        <w:r>
          <w:rPr>
            <w:rStyle w:val="Hyperlink"/>
          </w:rPr>
          <w:t xml:space="preserve">Equation 4</w:t>
        </w:r>
      </w:hyperlink>
      <w:r>
        <w:t xml:space="preserve">):</w:t>
      </w:r>
    </w:p>
    <w:p>
      <w:pPr>
        <w:pStyle w:val="BodyText"/>
      </w:pPr>
      <w:bookmarkStart w:id="54" w:name="eq-spc"/>
      <m:oMathPara>
        <m:oMathParaPr>
          <m:jc m:val="center"/>
        </m:oMathParaPr>
        <m:oMath>
          <m:r>
            <m:t>S</m:t>
          </m:r>
          <m:r>
            <m:t>C</m:t>
          </m:r>
          <m:r>
            <m:rPr>
              <m:sty m:val="p"/>
            </m:rPr>
            <m:t>=</m:t>
          </m:r>
          <m:r>
            <m:t>172.06</m:t>
          </m:r>
          <m:r>
            <m:rPr>
              <m:sty m:val="p"/>
            </m:rPr>
            <m:t>×</m:t>
          </m:r>
          <m:r>
            <m:t>N</m:t>
          </m:r>
          <m:r>
            <m:t>D</m:t>
          </m:r>
          <m:r>
            <m:t>V</m:t>
          </m:r>
          <m:r>
            <m:t>I</m:t>
          </m:r>
          <m:r>
            <m:rPr>
              <m:sty m:val="p"/>
            </m:rPr>
            <m:t>−</m:t>
          </m:r>
          <m:r>
            <m:t>22.18</m:t>
          </m:r>
          <m:r>
            <m:t>  </m:t>
          </m:r>
          <m:d>
            <m:dPr>
              <m:begChr m:val="("/>
              <m:endChr m:val=")"/>
              <m:sepChr m:val=""/>
              <m:grow/>
            </m:dPr>
            <m:e>
              <m:r>
                <m:t>4</m:t>
              </m:r>
            </m:e>
          </m:d>
        </m:oMath>
      </m:oMathPara>
      <w:bookmarkEnd w:id="54"/>
    </w:p>
    <w:bookmarkEnd w:id="55"/>
    <w:bookmarkStart w:id="56"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“Service Hydrographique et Océanographique de la Marine”</w:t>
      </w:r>
      <w:r>
        <w:t xml:space="preserve"> </w:t>
      </w:r>
      <w:r>
        <w:t xml:space="preserve">(SHOM, 2021)</w:t>
      </w:r>
      <w:r>
        <w:t xml:space="preserve">. It corresponds to the Litto3D® product, which is a three-dimensional land-sea elevation database, accurately depicting the coastal terrain along certain regions of the French shores. It uses the NGF/IGN69 reference</w:t>
      </w:r>
      <w:r>
        <w:t xml:space="preserve"> </w:t>
      </w:r>
      <w:r>
        <w:t xml:space="preserve">“zero”</w:t>
      </w:r>
      <w:r>
        <w:t xml:space="preserve">, which corresponds to the mean sea level recorded at the Marseille tide gauge between 1885 and 1897, commonly known as the</w:t>
      </w:r>
      <w:r>
        <w:t xml:space="preserve"> </w:t>
      </w:r>
      <w:r>
        <w:t xml:space="preserve">“Terrestrial Altimetric Zero”</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“zero”</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“Références Altimétriques Marines”</w:t>
      </w:r>
      <w:r>
        <w:t xml:space="preserve"> </w:t>
      </w:r>
      <w:r>
        <w:t xml:space="preserve">(RAM, Shom, 2022)</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56"/>
    <w:bookmarkEnd w:id="57"/>
    <w:bookmarkStart w:id="58" w:name="statistics"/>
    <w:p>
      <w:pPr>
        <w:pStyle w:val="Heading2"/>
      </w:pPr>
      <w:r>
        <w:t xml:space="preserve">2.3 Statistics</w:t>
      </w:r>
    </w:p>
    <w:p>
      <w:pPr>
        <w:pStyle w:val="FirstParagraph"/>
      </w:pPr>
      <w:r>
        <w:t xml:space="preserve">General Linear Models (GLMs) were used to assess relative differences over time in response variables (Spectral Indices) with different treatments. For analysis of relative changes in indices calculated from experimental spectra the relative change in index was modelled as function of Days (1-3: Discrete) with Run (1-3: Factor) and Timestep within Run (1-6: Factor) as cross random factors. Satellite derived indices were modelled as function of Date (1-3: Discrete) and Treatment (Impacted vs Unimpacted: Categorical). A General Additive Model (GAM) was used to assess the relationship between relative SDI change with emersion time. SDI was modelled as function of emersion time with a basis spline. All model parameters were estimated with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modelled assuming a Gaussian distribution, with weakly informative priors (Student-T(3,0,2.5)). Model parameters were estimated using Markov Chain Monte Carlo (MCMC) sampling, with 4 chains of 5000 iterations and a warm-up of 500.</w:t>
      </w:r>
    </w:p>
    <w:bookmarkEnd w:id="58"/>
    <w:bookmarkEnd w:id="59"/>
    <w:bookmarkStart w:id="102" w:name="results"/>
    <w:p>
      <w:pPr>
        <w:pStyle w:val="Heading1"/>
      </w:pPr>
      <w:r>
        <w:t xml:space="preserve">3. Results</w:t>
      </w:r>
    </w:p>
    <w:bookmarkStart w:id="77" w:name="laboratory-experiment-1"/>
    <w:p>
      <w:pPr>
        <w:pStyle w:val="Heading2"/>
      </w:pPr>
      <w:r>
        <w:t xml:space="preserve">3.1 Laboratory Experiment</w:t>
      </w:r>
    </w:p>
    <w:bookmarkStart w:id="65" w:name="spectral-inspection"/>
    <w:p>
      <w:pPr>
        <w:pStyle w:val="Heading3"/>
      </w:pPr>
      <w:r>
        <w:t xml:space="preserve">3.1.1 Spectral inspection</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4</w:t>
        </w:r>
      </w:hyperlink>
      <w:r>
        <w:t xml:space="preserve">).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4</w:t>
        </w:r>
      </w:hyperlink>
      <w:r>
        <w:t xml:space="preserve">, left).</w:t>
      </w:r>
    </w:p>
    <w:p>
      <w:pPr>
        <w:pStyle w:val="BodyText"/>
      </w:pPr>
      <w:r>
        <w:t xml:space="preserve">In contrast, the Treatment group showed more pronounced changes in reflectance throughout the experiment (</w:t>
      </w:r>
      <w:hyperlink w:anchor="fig-Exp_Spectra">
        <w:r>
          <w:rPr>
            <w:rStyle w:val="Hyperlink"/>
          </w:rPr>
          <w:t xml:space="preserve">Figure 4</w:t>
        </w:r>
      </w:hyperlink>
      <w:r>
        <w:t xml:space="preserve">, right). At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w:t>
      </w:r>
    </w:p>
    <w:bookmarkStart w:id="64" w:name="cell-fig-Exp_Spectra"/>
    <w:tbl>
      <w:tblPr>
        <w:tblStyle w:val="Table"/>
        <w:tblW w:type="pct" w:w="5000"/>
        <w:tblLayout w:type="fixed"/>
        <w:tblLook w:firstRow="0" w:lastRow="0" w:firstColumn="0" w:lastColumn="0" w:noHBand="0" w:noVBand="0" w:val="0000"/>
      </w:tblPr>
      <w:tblGrid>
        <w:gridCol w:w="7920"/>
      </w:tblGrid>
      <w:tr>
        <w:tc>
          <w:tcPr/>
          <w:bookmarkStart w:id="63" w:name="fig-Exp_Spectra"/>
          <w:p>
            <w:pPr>
              <w:pStyle w:val="Compact"/>
              <w:jc w:val="center"/>
            </w:pPr>
            <w:r>
              <w:drawing>
                <wp:inline>
                  <wp:extent cx="5646420" cy="2823210"/>
                  <wp:effectExtent b="0" l="0" r="0" t="0"/>
                  <wp:docPr descr="" title="" id="61" name="Picture"/>
                  <a:graphic>
                    <a:graphicData uri="http://schemas.openxmlformats.org/drawingml/2006/picture">
                      <pic:pic>
                        <pic:nvPicPr>
                          <pic:cNvPr descr="Figs/Low_res/plot_Spectra_exp.png" id="62" name="Picture"/>
                          <pic:cNvPicPr>
                            <a:picLocks noChangeArrowheads="1" noChangeAspect="1"/>
                          </pic:cNvPicPr>
                        </pic:nvPicPr>
                        <pic:blipFill>
                          <a:blip r:embed="rId60"/>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Standardized Hyperspectral Reflectance signature collected during the experiment for both the Control (Left) and the Treatment (Right). Color denotes the progression along the experiment from the beginning (Day 1: green), middle (Day 2: Yellow) and end (Day 3: Brown). A min-max standardization has been applied to each individual spectrum.</w:t>
            </w:r>
          </w:p>
          <w:bookmarkEnd w:id="63"/>
        </w:tc>
      </w:tr>
    </w:tbl>
    <w:bookmarkEnd w:id="64"/>
    <w:bookmarkEnd w:id="65"/>
    <w:bookmarkStart w:id="76" w:name="evolution-of-spectral-metrics"/>
    <w:p>
      <w:pPr>
        <w:pStyle w:val="Heading3"/>
      </w:pPr>
      <w:r>
        <w:t xml:space="preserve">3.1.2 Evolution of spectral metrics</w:t>
      </w:r>
    </w:p>
    <w:p>
      <w:pPr>
        <w:pStyle w:val="FirstParagraph"/>
      </w:pPr>
      <w:r>
        <w:t xml:space="preserve">The maximum difference of</w:t>
      </w:r>
      <w:r>
        <w:t xml:space="preserve"> </w:t>
      </w:r>
      <m:oMath>
        <m:r>
          <m:t>R</m:t>
        </m:r>
        <m:r>
          <m:rPr>
            <m:sty m:val="p"/>
          </m:rPr>
          <m:t>″</m:t>
        </m:r>
        <m:d>
          <m:dPr>
            <m:begChr m:val="("/>
            <m:endChr m:val=")"/>
            <m:sepChr m:val=""/>
            <m:grow/>
          </m:dPr>
          <m:e>
            <m:r>
              <m:t>λ</m:t>
            </m:r>
          </m:e>
        </m:d>
      </m:oMath>
      <w:r>
        <w:t xml:space="preserve"> </w:t>
      </w:r>
      <w:r>
        <w:t xml:space="preserve">was observed at 665 nm where the control was</w:t>
      </w:r>
      <w:r>
        <w:t xml:space="preserve"> </w:t>
      </w:r>
      <m:oMath>
        <m:r>
          <m:t>0.95</m:t>
        </m:r>
        <m:r>
          <m:rPr>
            <m:sty m:val="p"/>
          </m:rPr>
          <m:t>×</m:t>
        </m:r>
        <m:sSup>
          <m:e>
            <m:r>
              <m:t>10</m:t>
            </m:r>
          </m:e>
          <m:sup>
            <m:r>
              <m:rPr>
                <m:sty m:val="p"/>
              </m:rPr>
              <m:t>−</m:t>
            </m:r>
            <m:r>
              <m:t>4</m:t>
            </m:r>
          </m:sup>
        </m:sSup>
      </m:oMath>
      <w:r>
        <w:t xml:space="preserve"> </w:t>
      </w:r>
      <w:r>
        <w:t xml:space="preserve">higher than the treatment groups (</w:t>
      </w:r>
      <w:hyperlink w:anchor="fig-Exp_Spectral_indices">
        <w:r>
          <w:rPr>
            <w:rStyle w:val="Hyperlink"/>
          </w:rPr>
          <w:t xml:space="preserve">Figure 5</w:t>
        </w:r>
      </w:hyperlink>
      <w:r>
        <w:t xml:space="preserve"> </w:t>
      </w:r>
      <w:r>
        <w:t xml:space="preserve">A).</w:t>
      </w:r>
    </w:p>
    <w:p>
      <w:pPr>
        <w:pStyle w:val="BodyText"/>
      </w:pPr>
      <w:r>
        <w:t xml:space="preserve">Similar patterns were found for the (</w:t>
      </w:r>
      <m:oMath>
        <m:r>
          <m:t>R</m:t>
        </m:r>
        <m:sSub>
          <m:e>
            <m:r>
              <m:rPr>
                <m:sty m:val="p"/>
              </m:rPr>
              <m:t>″</m:t>
            </m:r>
          </m:e>
          <m:sub>
            <m:r>
              <m:t>665</m:t>
            </m:r>
            <m:r>
              <m:t> </m:t>
            </m:r>
            <m:r>
              <m:rPr>
                <m:nor/>
                <m:sty m:val="p"/>
              </m:rPr>
              <m:t>nm</m:t>
            </m:r>
          </m:sub>
        </m:sSub>
      </m:oMath>
      <w:r>
        <w:t xml:space="preserve">), NDVI and GLI, where the indices start similar to the control and consistently decline over the 3 days of experiment (</w:t>
      </w:r>
      <w:hyperlink w:anchor="fig-Exp_Spectral_indices">
        <w:r>
          <w:rPr>
            <w:rStyle w:val="Hyperlink"/>
          </w:rPr>
          <w:t xml:space="preserve">Figure 5</w:t>
        </w:r>
      </w:hyperlink>
      <w:r>
        <w:t xml:space="preserve"> </w:t>
      </w:r>
      <w:r>
        <w:t xml:space="preserve">B)</w:t>
      </w:r>
    </w:p>
    <w:p>
      <w:pPr>
        <w:pStyle w:val="BodyText"/>
      </w:pPr>
      <w:r>
        <w:t xml:space="preserve">At the start of the experiment (day 1)</w:t>
      </w:r>
      <w:r>
        <w:t xml:space="preserve"> </w:t>
      </w:r>
      <m:oMath>
        <m:r>
          <m:t>R</m:t>
        </m:r>
        <m:sSub>
          <m:e>
            <m:r>
              <m:rPr>
                <m:sty m:val="p"/>
              </m:rPr>
              <m:t>″</m:t>
            </m:r>
          </m:e>
          <m:sub>
            <m:r>
              <m:t>665</m:t>
            </m:r>
            <m:r>
              <m:t> </m:t>
            </m:r>
            <m:r>
              <m:rPr>
                <m:nor/>
                <m:sty m:val="p"/>
              </m:rPr>
              <m:t>nm</m:t>
            </m:r>
          </m:sub>
        </m:sSub>
      </m:oMath>
      <w:r>
        <w:t xml:space="preserve">, NDVI and GLI in the Treatment group were on average 13% greater, 3% lower and 2% lower, respectively, than that of the Control. However, by day 2, the Treatment showed a rapid decease of approximately 27%, 17% and 28%, eventually reaching a total decline of 68%, 31% and 54% by day 3.</w:t>
      </w:r>
    </w:p>
    <w:p>
      <w:pPr>
        <w:pStyle w:val="BodyText"/>
      </w:pPr>
      <w:r>
        <w:t xml:space="preserve">Unlike the other metrics, at the start of the experiment (day 1), the SDI for the Treatment group was on average 55 % greater than that of the Control. By day 2, the SDI for the Treatment exhibited a rapid decrease of approximately 241 %, eventually reaching a cumulative decline of 420 % by day 3 (</w:t>
      </w:r>
      <w:hyperlink w:anchor="fig-Exp_Spectral_indices">
        <w:r>
          <w:rPr>
            <w:rStyle w:val="Hyperlink"/>
          </w:rPr>
          <w:t xml:space="preserve">Figure 5</w:t>
        </w:r>
      </w:hyperlink>
      <w:r>
        <w:t xml:space="preserve"> </w:t>
      </w:r>
      <w:r>
        <w:t xml:space="preserve">E).</w:t>
      </w:r>
    </w:p>
    <w:bookmarkStart w:id="70" w:name="cell-fig-Exp_Spectral_indices"/>
    <w:tbl>
      <w:tblPr>
        <w:tblStyle w:val="Table"/>
        <w:tblW w:type="pct" w:w="5000"/>
        <w:tblLayout w:type="fixed"/>
        <w:tblLook w:firstRow="0" w:lastRow="0" w:firstColumn="0" w:lastColumn="0" w:noHBand="0" w:noVBand="0" w:val="0000"/>
      </w:tblPr>
      <w:tblGrid>
        <w:gridCol w:w="7920"/>
      </w:tblGrid>
      <w:tr>
        <w:tc>
          <w:tcPr/>
          <w:bookmarkStart w:id="69" w:name="fig-Exp_Spectral_indices"/>
          <w:p>
            <w:pPr>
              <w:pStyle w:val="Compact"/>
              <w:jc w:val="center"/>
            </w:pPr>
            <w:r>
              <w:drawing>
                <wp:inline>
                  <wp:extent cx="5646420" cy="6970888"/>
                  <wp:effectExtent b="0" l="0" r="0" t="0"/>
                  <wp:docPr descr="" title="" id="67" name="Picture"/>
                  <a:graphic>
                    <a:graphicData uri="http://schemas.openxmlformats.org/drawingml/2006/picture">
                      <pic:pic>
                        <pic:nvPicPr>
                          <pic:cNvPr descr="Figs/Low_res/merged_indices.png" id="68" name="Picture"/>
                          <pic:cNvPicPr>
                            <a:picLocks noChangeArrowheads="1" noChangeAspect="1"/>
                          </pic:cNvPicPr>
                        </pic:nvPicPr>
                        <pic:blipFill>
                          <a:blip r:embed="rId66"/>
                          <a:stretch>
                            <a:fillRect/>
                          </a:stretch>
                        </pic:blipFill>
                        <pic:spPr bwMode="auto">
                          <a:xfrm>
                            <a:off x="0" y="0"/>
                            <a:ext cx="5646420" cy="69708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Absolute difference in the second derivative of hyperspectral signature at the end of the experiment (A), and relative difference of the second derivative at 665 nm (B), the NDVI (C), the GLI (D) and the SDI (E) between the Control and the Treatment over time. Points indicate raw data, the line represents a generalized linear model, and the shaded area the model’s standard error.</w:t>
            </w:r>
          </w:p>
          <w:bookmarkEnd w:id="69"/>
        </w:tc>
      </w:tr>
    </w:tbl>
    <w:bookmarkEnd w:id="70"/>
    <w:p>
      <w:pPr>
        <w:pStyle w:val="BodyText"/>
      </w:pPr>
      <w:r>
        <w:t xml:space="preserve">The SDI revealed clear distinctions between the Control and Treatment groups (</w:t>
      </w:r>
      <w:hyperlink w:anchor="fig-SDI_over_Time">
        <w:r>
          <w:rPr>
            <w:rStyle w:val="Hyperlink"/>
          </w:rPr>
          <w:t xml:space="preserve">Figure 6</w:t>
        </w:r>
      </w:hyperlink>
      <w:r>
        <w:t xml:space="preserve">). At day 1, the SDI of the Control and Treatment groups are comparable, with value of -0.11 and -0.08, respectively. By the end of the experiment, seagrasses in the Treatment group exhibited an average SDI of 0.15, consistent with their visibly darkened appearance. In contrast, the Control group retained a green appearance throughout the experiment, with an average SDI of -0.07.</w:t>
      </w:r>
    </w:p>
    <w:bookmarkStart w:id="75" w:name="cell-fig-SDI_over_Time"/>
    <w:tbl>
      <w:tblPr>
        <w:tblStyle w:val="Table"/>
        <w:tblW w:type="pct" w:w="5000"/>
        <w:tblLayout w:type="fixed"/>
        <w:tblLook w:firstRow="0" w:lastRow="0" w:firstColumn="0" w:lastColumn="0" w:noHBand="0" w:noVBand="0" w:val="0000"/>
      </w:tblPr>
      <w:tblGrid>
        <w:gridCol w:w="7920"/>
      </w:tblGrid>
      <w:tr>
        <w:tc>
          <w:tcPr/>
          <w:bookmarkStart w:id="74" w:name="fig-SDI_over_Time"/>
          <w:p>
            <w:pPr>
              <w:pStyle w:val="Compact"/>
              <w:jc w:val="center"/>
            </w:pPr>
            <w:r>
              <w:drawing>
                <wp:inline>
                  <wp:extent cx="5646420" cy="3387852"/>
                  <wp:effectExtent b="0" l="0" r="0" t="0"/>
                  <wp:docPr descr="" title="" id="72" name="Picture"/>
                  <a:graphic>
                    <a:graphicData uri="http://schemas.openxmlformats.org/drawingml/2006/picture">
                      <pic:pic>
                        <pic:nvPicPr>
                          <pic:cNvPr descr="Figs/Low_res/SDI_exp_overtime.png" id="73" name="Picture"/>
                          <pic:cNvPicPr>
                            <a:picLocks noChangeArrowheads="1" noChangeAspect="1"/>
                          </pic:cNvPicPr>
                        </pic:nvPicPr>
                        <pic:blipFill>
                          <a:blip r:embed="rId71"/>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Average and standard deviation of the Seagrass Darkening Index (SDI) across expimental runs, at each day of the experiment. Tge green line shows values of the Control group while the golden line indicates values of the Treatment group.</w:t>
            </w:r>
          </w:p>
          <w:bookmarkEnd w:id="74"/>
        </w:tc>
      </w:tr>
    </w:tbl>
    <w:bookmarkEnd w:id="75"/>
    <w:bookmarkEnd w:id="76"/>
    <w:bookmarkEnd w:id="77"/>
    <w:bookmarkStart w:id="101" w:name="heatwaves-of-quiberon"/>
    <w:p>
      <w:pPr>
        <w:pStyle w:val="Heading2"/>
      </w:pPr>
      <w:r>
        <w:t xml:space="preserve">3.2 Heatwaves of Quiberon</w:t>
      </w:r>
    </w:p>
    <w:bookmarkStart w:id="8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7</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7</w:t>
        </w:r>
      </w:hyperlink>
      <w:r>
        <w:t xml:space="preserve"> </w:t>
      </w:r>
      <w:r>
        <w:t xml:space="preserve">B). The AHW has been classified as a strong event, and the MHW was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7</w:t>
        </w:r>
      </w:hyperlink>
      <w:r>
        <w:t xml:space="preserve"> </w:t>
      </w:r>
      <w:r>
        <w:t xml:space="preserve">C). Before the event, all QPs appeared green on the images, with similar reflectance spectra, regardless of the class attributed to the QPs in the field after the events (</w:t>
      </w:r>
      <w:hyperlink w:anchor="fig-S2_comparison">
        <w:r>
          <w:rPr>
            <w:rStyle w:val="Hyperlink"/>
          </w:rPr>
          <w:t xml:space="preserve">Figure 7</w:t>
        </w:r>
      </w:hyperlink>
      <w:r>
        <w:t xml:space="preserve"> </w:t>
      </w:r>
      <w:r>
        <w:t xml:space="preserve">A and D left). Their reflectance spectra showed a peak at 560 nm (in the green part of the spectra), low values at 665 nm and a high infrared plateau (&gt; 705 nm). However, on the 6th of September, QPs classified as impacted during the field campaign, showed significant differences in reflectance spectral shape compared to QPs classified as unimpacted during the campaign, with corresponding differences in the true color composition (</w:t>
      </w:r>
      <w:hyperlink w:anchor="fig-S2_comparison">
        <w:r>
          <w:rPr>
            <w:rStyle w:val="Hyperlink"/>
          </w:rPr>
          <w:t xml:space="preserve">Figure 7</w:t>
        </w:r>
      </w:hyperlink>
      <w:r>
        <w:t xml:space="preserve"> </w:t>
      </w:r>
      <w:r>
        <w:t xml:space="preserve">C and D right). The reflectance spectra over dark seagrass were characterized by the loss of the reflectance peak at 560 nm and a decrease in the infrared plateau, which was observed as a steady increasing slope up to 940 nm.</w:t>
      </w:r>
    </w:p>
    <w:bookmarkStart w:id="82" w:name="cell-fig-S2_comparison"/>
    <w:tbl>
      <w:tblPr>
        <w:tblStyle w:val="Table"/>
        <w:tblW w:type="pct" w:w="5000"/>
        <w:tblLayout w:type="fixed"/>
        <w:tblLook w:firstRow="0" w:lastRow="0" w:firstColumn="0" w:lastColumn="0" w:noHBand="0" w:noVBand="0" w:val="0000"/>
      </w:tblPr>
      <w:tblGrid>
        <w:gridCol w:w="7920"/>
      </w:tblGrid>
      <w:tr>
        <w:tc>
          <w:tcPr/>
          <w:bookmarkStart w:id="81" w:name="fig-S2_comparison"/>
          <w:p>
            <w:pPr>
              <w:pStyle w:val="Compact"/>
              <w:jc w:val="center"/>
            </w:pPr>
            <w:r>
              <w:drawing>
                <wp:inline>
                  <wp:extent cx="5646420" cy="5392331"/>
                  <wp:effectExtent b="0" l="0" r="0" t="0"/>
                  <wp:docPr descr="" title="" id="79" name="Picture"/>
                  <a:graphic>
                    <a:graphicData uri="http://schemas.openxmlformats.org/drawingml/2006/picture">
                      <pic:pic>
                        <pic:nvPicPr>
                          <pic:cNvPr descr="Figs/Low_res/Heatwaves_S2_plot.png" id="80" name="Picture"/>
                          <pic:cNvPicPr>
                            <a:picLocks noChangeArrowheads="1" noChangeAspect="1"/>
                          </pic:cNvPicPr>
                        </pic:nvPicPr>
                        <pic:blipFill>
                          <a:blip r:embed="rId78"/>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Spectral Comparison of Sentinel-2 Reflectance (D) of Quadrats Points (QPs) Before (A) and During (C) Heatwave Events (B); A: RGB color composition of the Sentinel-2 image on the 1st of September 2021. The points correspond to QPs collected on September 10, 2021, with unimpacted seagrass in green and impacted seagrass in golden;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with unimpacted seagrass in green and impacted seagrass in golden; D : Average spectral signatures of QPs where dark and green seagrasses (gold and green lines, respectively) were identified during the field survey. The left plot shows the reflectance of these QPs before the heatwave impact, while the right plot shows the spectral signature during the heatwaves. The ribbons around the lines represent the standard deviation.</w:t>
            </w:r>
          </w:p>
          <w:bookmarkEnd w:id="81"/>
        </w:tc>
      </w:tr>
    </w:tbl>
    <w:bookmarkEnd w:id="82"/>
    <w:bookmarkEnd w:id="83"/>
    <w:bookmarkStart w:id="89" w:name="sentinel-2-derived-metrics-comparison"/>
    <w:p>
      <w:pPr>
        <w:pStyle w:val="Heading3"/>
      </w:pPr>
      <w:r>
        <w:t xml:space="preserve">3.2.2 Sentinel-2 derived metrics comparison</w:t>
      </w:r>
    </w:p>
    <w:p>
      <w:pPr>
        <w:pStyle w:val="FirstParagraph"/>
      </w:pPr>
      <w:r>
        <w:t xml:space="preserve">Using Sentinel-2 data, NDVI, Seagrass Cover (SC), GLI and SDI estimated for pixels unaffected by the heatwave showed minimal changes for all metrics of -1 %, -1 %, -10 and 3 %, respectively between the 1st of September and the 6th of September (</w:t>
      </w:r>
      <w:hyperlink w:anchor="fig-NDVI_GLI_SPC">
        <w:r>
          <w:rPr>
            <w:rStyle w:val="Hyperlink"/>
          </w:rPr>
          <w:t xml:space="preserve">Figure 8</w:t>
        </w:r>
      </w:hyperlink>
      <w:r>
        <w:t xml:space="preserve">). In contrast, seagrass impacted by the heatwave exhibited a significant changes in all metrics. Because the SC is linearly related to the NDVI, both metrics dropped of 35 %, however the drop in SC was not due to a loss of density of seagrass on the field (</w:t>
      </w:r>
      <w:hyperlink w:anchor="fig-QuiberonImg">
        <w:r>
          <w:rPr>
            <w:rStyle w:val="Hyperlink"/>
          </w:rPr>
          <w:t xml:space="preserve">Figure 3</w:t>
        </w:r>
      </w:hyperlink>
      <w:r>
        <w:t xml:space="preserve">). The GLI drops of about 85% at the 6th of September. The SDI was the most sensitive metric to the darkening of seagrasses, showing an increase of 97 % during heatwave exposure (</w:t>
      </w:r>
      <w:hyperlink w:anchor="fig-NDVI_GLI_SPC">
        <w:r>
          <w:rPr>
            <w:rStyle w:val="Hyperlink"/>
          </w:rPr>
          <w:t xml:space="preserve">Figure 8</w:t>
        </w:r>
      </w:hyperlink>
      <w:r>
        <w:t xml:space="preserve">).</w:t>
      </w:r>
    </w:p>
    <w:p>
      <w:pPr>
        <w:pStyle w:val="BodyText"/>
      </w:pPr>
      <w:r>
        <w:t xml:space="preserve">One month later the heatwaves events, on the 8th of October, all metrics of unimpacted QPs had increased compared to the 1st of September: The NDVI and SC by 21 %, The GLI by 15 % and the SDI 14 %. Concerning QPs impacted by the heatwaves, even though all the metrics were closer to the values they had prior to the heatwaves, they have not regained their level from before the events. By the 8th of October, the NDVI and the SC of these QPs were 5 % lower, The GLI was 16 % lower and the SDI 14 % higher than on the 1st of September.</w:t>
      </w:r>
    </w:p>
    <w:bookmarkStart w:id="88" w:name="cell-fig-NDVI_GLI_SPC"/>
    <w:tbl>
      <w:tblPr>
        <w:tblStyle w:val="Table"/>
        <w:tblW w:type="pct" w:w="5000"/>
        <w:tblLayout w:type="fixed"/>
        <w:tblLook w:firstRow="0" w:lastRow="0" w:firstColumn="0" w:lastColumn="0" w:noHBand="0" w:noVBand="0" w:val="0000"/>
      </w:tblPr>
      <w:tblGrid>
        <w:gridCol w:w="7920"/>
      </w:tblGrid>
      <w:tr>
        <w:tc>
          <w:tcPr/>
          <w:bookmarkStart w:id="87" w:name="fig-NDVI_GLI_SPC"/>
          <w:p>
            <w:pPr>
              <w:pStyle w:val="Compact"/>
              <w:jc w:val="center"/>
            </w:pPr>
            <w:r>
              <w:drawing>
                <wp:inline>
                  <wp:extent cx="5646420" cy="5646420"/>
                  <wp:effectExtent b="0" l="0" r="0" t="0"/>
                  <wp:docPr descr="" title="" id="85" name="Picture"/>
                  <a:graphic>
                    <a:graphicData uri="http://schemas.openxmlformats.org/drawingml/2006/picture">
                      <pic:pic>
                        <pic:nvPicPr>
                          <pic:cNvPr descr="Figs/Low_res/Compares_Indices_S2.png" id="86" name="Picture"/>
                          <pic:cNvPicPr>
                            <a:picLocks noChangeArrowheads="1" noChangeAspect="1"/>
                          </pic:cNvPicPr>
                        </pic:nvPicPr>
                        <pic:blipFill>
                          <a:blip r:embed="rId84"/>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Relative difference of the Normalized Difference Vegetation Index (NDVI: A); Seagrass Cover (SC: B); Green Leaf Index (GLI: C); and Seagrass Darkening Index (SDI: D) to the 1st of September 2021 of Sentinel-2 based metrics at two different dates : during (2021-09-06) and after the heatwave events (2021-10-08) of Quiberons, for the two category of QPs : Unimpacted seagrasses (green) and Impacted Seagrasses (golden). Points represent predicted value of the metric using a Generalized Linear Model (GLM) while error bar represent the 89% confidance interval of it.</w:t>
            </w:r>
          </w:p>
          <w:bookmarkEnd w:id="87"/>
        </w:tc>
      </w:tr>
    </w:tbl>
    <w:bookmarkEnd w:id="88"/>
    <w:bookmarkEnd w:id="89"/>
    <w:bookmarkStart w:id="100" w:name="mapping-of-the-seagrass-darkening"/>
    <w:p>
      <w:pPr>
        <w:pStyle w:val="Heading3"/>
      </w:pPr>
      <w:r>
        <w:t xml:space="preserve">3.2.3 Mapping of the seagrass darkening</w:t>
      </w:r>
    </w:p>
    <w:p>
      <w:pPr>
        <w:pStyle w:val="FirstParagraph"/>
      </w:pPr>
      <w:r>
        <w:t xml:space="preserve">Using the SDI (</w:t>
      </w:r>
      <w:hyperlink w:anchor="eq-SDI">
        <w:r>
          <w:rPr>
            <w:rStyle w:val="Hyperlink"/>
          </w:rPr>
          <w:t xml:space="preserve">Equation 3</w:t>
        </w:r>
      </w:hyperlink>
      <w:r>
        <w:t xml:space="preserve">), we detected seagrass patches that have darkened (</w:t>
      </w:r>
      <w:hyperlink w:anchor="fig-Map_darkening_Bathy">
        <w:r>
          <w:rPr>
            <w:rStyle w:val="Hyperlink"/>
          </w:rPr>
          <w:t xml:space="preserve">Figure 9</w:t>
        </w:r>
      </w:hyperlink>
      <w:r>
        <w:t xml:space="preserve">).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revealed that 94.6 % of darkened areas were located at above 3.9 meters of bathymetry (</w:t>
      </w:r>
      <w:hyperlink w:anchor="fig-Map_darkening_Bathy">
        <w:r>
          <w:rPr>
            <w:rStyle w:val="Hyperlink"/>
          </w:rPr>
          <w:t xml:space="preserve">Figure 9</w:t>
        </w:r>
      </w:hyperlink>
      <w:r>
        <w:t xml:space="preserve">, A and B).</w:t>
      </w:r>
      <w:r>
        <w:t xml:space="preserve"> </w:t>
      </w:r>
      <w:r>
        <w:t xml:space="preserve">One month later, on October 8th, areas that were previously darkened had regained their green color (</w:t>
      </w:r>
      <w:hyperlink w:anchor="fig-Map_darkening_Bathy">
        <w:r>
          <w:rPr>
            <w:rStyle w:val="Hyperlink"/>
          </w:rPr>
          <w:t xml:space="preserve">Figure 9</w:t>
        </w:r>
      </w:hyperlink>
      <w:r>
        <w:t xml:space="preserve">, C).</w:t>
      </w:r>
    </w:p>
    <w:bookmarkStart w:id="94" w:name="cell-fig-Map_darkening_Bathy"/>
    <w:tbl>
      <w:tblPr>
        <w:tblStyle w:val="Table"/>
        <w:tblW w:type="pct" w:w="5000"/>
        <w:tblLayout w:type="fixed"/>
        <w:tblLook w:firstRow="0" w:lastRow="0" w:firstColumn="0" w:lastColumn="0" w:noHBand="0" w:noVBand="0" w:val="0000"/>
      </w:tblPr>
      <w:tblGrid>
        <w:gridCol w:w="7920"/>
      </w:tblGrid>
      <w:tr>
        <w:tc>
          <w:tcPr/>
          <w:bookmarkStart w:id="93" w:name="fig-Map_darkening_Bathy"/>
          <w:p>
            <w:pPr>
              <w:pStyle w:val="Compact"/>
              <w:jc w:val="center"/>
            </w:pPr>
            <w:r>
              <w:drawing>
                <wp:inline>
                  <wp:extent cx="5646420" cy="3500780"/>
                  <wp:effectExtent b="0" l="0" r="0" t="0"/>
                  <wp:docPr descr="" title="" id="91" name="Picture"/>
                  <a:graphic>
                    <a:graphicData uri="http://schemas.openxmlformats.org/drawingml/2006/picture">
                      <pic:pic>
                        <pic:nvPicPr>
                          <pic:cNvPr descr="Figs/Low_res/Map_darkening_Bathy.png" id="92" name="Picture"/>
                          <pic:cNvPicPr>
                            <a:picLocks noChangeArrowheads="1" noChangeAspect="1"/>
                          </pic:cNvPicPr>
                        </pic:nvPicPr>
                        <pic:blipFill>
                          <a:blip r:embed="rId90"/>
                          <a:stretch>
                            <a:fillRect/>
                          </a:stretch>
                        </pic:blipFill>
                        <pic:spPr bwMode="auto">
                          <a:xfrm>
                            <a:off x="0" y="0"/>
                            <a:ext cx="5646420" cy="35007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Map of the Darkening of seagrasses during the heatwave events of September 2021 in Quiberon. A: 3.9 m bathymetry isobar (golden line); B: Result of the detection of darkened seagrass patches (Blue polygons); C: Sentinel-2 image one month after the end of the heatwaves (2021-10-08).</w:t>
            </w:r>
          </w:p>
          <w:bookmarkEnd w:id="93"/>
        </w:tc>
      </w:tr>
    </w:tbl>
    <w:bookmarkEnd w:id="94"/>
    <w:p>
      <w:pPr>
        <w:pStyle w:val="BodyText"/>
      </w:pPr>
      <w:r>
        <w:t xml:space="preserve">Additionally, seagrass emersion time revealed a clear relationship between the duration of air exposure and seagrass darkening (</w:t>
      </w:r>
      <w:hyperlink w:anchor="fig-GAM_Emersion">
        <w:r>
          <w:rPr>
            <w:rStyle w:val="Hyperlink"/>
          </w:rPr>
          <w:t xml:space="preserve">Figure 10</w:t>
        </w:r>
      </w:hyperlink>
      <w:r>
        <w:t xml:space="preserve">). During the heatwave, no significant darkening occurred with daily exposure less than 13 hours. However, above 13 hours, seagrasses began to darken, reaching peak darkening at around 14.5 hours of daily exposure.</w:t>
      </w:r>
    </w:p>
    <w:bookmarkStart w:id="99" w:name="cell-fig-GAM_Emersion"/>
    <w:tbl>
      <w:tblPr>
        <w:tblStyle w:val="Table"/>
        <w:tblW w:type="pct" w:w="5000"/>
        <w:tblLayout w:type="fixed"/>
        <w:tblLook w:firstRow="0" w:lastRow="0" w:firstColumn="0" w:lastColumn="0" w:noHBand="0" w:noVBand="0" w:val="0000"/>
      </w:tblPr>
      <w:tblGrid>
        <w:gridCol w:w="7920"/>
      </w:tblGrid>
      <w:tr>
        <w:tc>
          <w:tcPr/>
          <w:bookmarkStart w:id="98" w:name="fig-GAM_Emersion"/>
          <w:p>
            <w:pPr>
              <w:pStyle w:val="Compact"/>
              <w:jc w:val="center"/>
            </w:pPr>
            <w:r>
              <w:drawing>
                <wp:inline>
                  <wp:extent cx="5646420" cy="2823210"/>
                  <wp:effectExtent b="0" l="0" r="0" t="0"/>
                  <wp:docPr descr="" title="" id="96" name="Picture"/>
                  <a:graphic>
                    <a:graphicData uri="http://schemas.openxmlformats.org/drawingml/2006/picture">
                      <pic:pic>
                        <pic:nvPicPr>
                          <pic:cNvPr descr="Figs/Low_res/GAM_emersion.png" id="97" name="Picture"/>
                          <pic:cNvPicPr>
                            <a:picLocks noChangeArrowheads="1" noChangeAspect="1"/>
                          </pic:cNvPicPr>
                        </pic:nvPicPr>
                        <pic:blipFill>
                          <a:blip r:embed="rId95"/>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Relative change of the Seagrass Darkening Index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bookmarkEnd w:id="98"/>
        </w:tc>
      </w:tr>
    </w:tbl>
    <w:bookmarkEnd w:id="99"/>
    <w:bookmarkEnd w:id="100"/>
    <w:bookmarkEnd w:id="101"/>
    <w:bookmarkEnd w:id="102"/>
    <w:bookmarkStart w:id="107" w:name="discussion"/>
    <w:p>
      <w:pPr>
        <w:pStyle w:val="Heading1"/>
      </w:pPr>
      <w:r>
        <w:t xml:space="preserve">4. Discussion</w:t>
      </w:r>
    </w:p>
    <w:bookmarkStart w:id="103" w:name="Xd32f8be805d1b37672f96d647c22fdb6e508461"/>
    <w:p>
      <w:pPr>
        <w:pStyle w:val="Heading2"/>
      </w:pPr>
      <w:r>
        <w:t xml:space="preserve">4.1 Physiological impacts of heatwaves on seagrasses</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w:t>
      </w:r>
      <w:hyperlink w:anchor="fig-Exp_Spectral_indices">
        <w:r>
          <w:rPr>
            <w:rStyle w:val="Hyperlink"/>
          </w:rPr>
          <w:t xml:space="preserve">Figure 5</w:t>
        </w:r>
      </w:hyperlink>
      <w:r>
        <w:t xml:space="preserve">). The second derivative at 665 nm (R’’665), NDVI, and GLI (</w:t>
      </w:r>
      <w:hyperlink w:anchor="fig-Exp_Spectral_indices">
        <w:r>
          <w:rPr>
            <w:rStyle w:val="Hyperlink"/>
          </w:rPr>
          <w:t xml:space="preserve">Figure 5</w:t>
        </w:r>
      </w:hyperlink>
      <w:r>
        <w:t xml:space="preserve"> </w:t>
      </w:r>
      <w:r>
        <w:t xml:space="preserve">B, C, and D) all demonstrated a clear decline over the experimental period (days 1-3), suggesting a progressive reduction in photosynthetic activity or pigment levels in the treatment group relative to the control. In contrast, SDI shows a marked increase, reaching up to 600% for some samples by day 3 (</w:t>
      </w:r>
      <w:hyperlink w:anchor="fig-Exp_Spectral_indices">
        <w:r>
          <w:rPr>
            <w:rStyle w:val="Hyperlink"/>
          </w:rPr>
          <w:t xml:space="preserve">Figure 5</w:t>
        </w:r>
      </w:hyperlink>
      <w:r>
        <w:t xml:space="preserve"> </w:t>
      </w:r>
      <w:r>
        <w:t xml:space="preserve">E). This positive trend in SDI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SDI than for the other indices. This suggests that while darkening is a consistent response, it may vary in intensity between individual samples or experimental runs. Furthermore, the contrasting magnitudes of change—especially the pronounced increases in SDI versus the declines in other indices—highlight the sensitivity of SDI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w:t>
      </w:r>
      <w:r>
        <w:t xml:space="preserve"> </w:t>
      </w:r>
      <w:r>
        <w:t xml:space="preserve">(Dascaliuc et al., 2007; Jones and Clayton-Greene, 1992)</w:t>
      </w:r>
      <w:r>
        <w:t xml:space="preserve">.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hyperlink w:anchor="fig-GAM_Emersion">
        <w:r>
          <w:rPr>
            <w:rStyle w:val="Hyperlink"/>
          </w:rPr>
          <w:t xml:space="preserve">Figure 10</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3</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103"/>
    <w:bookmarkStart w:id="104" w:name="climate-change-and-heatwaves"/>
    <w:p>
      <w:pPr>
        <w:pStyle w:val="Heading2"/>
      </w:pPr>
      <w:r>
        <w:t xml:space="preserve">4.2 Climate change and heatwaves</w:t>
      </w:r>
    </w:p>
    <w:p>
      <w:pPr>
        <w:pStyle w:val="FirstParagraph"/>
      </w:pPr>
      <w:r>
        <w:t xml:space="preserve">The rapid global escalation of heatwave frequency, intensity and duration is a defining characteristic of the current climate crisis, heavily influenced by anthropogenic activities and greenhouse gas emissions</w:t>
      </w:r>
      <w:r>
        <w:t xml:space="preserve"> </w:t>
      </w:r>
      <w:r>
        <w:t xml:space="preserve">(Devi et al., 2024; Russo and Domeisen, 2023)</w:t>
      </w:r>
      <w:r>
        <w:t xml:space="preserve">. Recent research suggests that the magnitude of these events has surged in the recent decades, with climate projections predicting a continuation of this trend. For example, heatwaves that were once considered rare are now up to ten times more likely to occur, with some regions experiencing events three times as intense as those in the early 20th century.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“Blob”</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104"/>
    <w:bookmarkStart w:id="105" w:name="seagrass-resilience-to-heatwaves"/>
    <w:p>
      <w:pPr>
        <w:pStyle w:val="Heading2"/>
      </w:pPr>
      <w:r>
        <w:t xml:space="preserve">4.3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experience prolonged immersion throughout the tidal cycle,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w:t>
      </w:r>
      <w:r>
        <w:t xml:space="preserve"> </w:t>
      </w:r>
      <w:r>
        <w:rPr>
          <w:i/>
          <w:iCs/>
        </w:rPr>
        <w:t xml:space="preserve">Z. noltei</w:t>
      </w:r>
      <w:r>
        <w:t xml:space="preserve"> </w:t>
      </w:r>
      <w:r>
        <w:t xml:space="preserve">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Zostera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w:t>
      </w:r>
      <w:r>
        <w:t xml:space="preserve"> </w:t>
      </w:r>
      <w:r>
        <w:t xml:space="preserve">(Franssen et al., 2014; Massa et al., 2009)</w:t>
      </w:r>
      <w:r>
        <w:t xml:space="preserve">. However, prolonged or more intense heat events posed a greater challenge, highlighting the species’ limited capacity to withstand chronic thermal stress. The long-term impact of heatwaves is especially evident in changes to seagrass cover (SC). Before the heatwave event on 1st September 2021, impacted seagrass patches exhibited higher SC than non-impacted areas. However, during the event on 6th September, SC in the impacted patch experienced a sharp decline. By 8th October, one month post-event, the SC of impacted seagrasses, initially higher, had fallen below that of non-impacted seagrasses (</w:t>
      </w:r>
      <w:hyperlink w:anchor="fig-NDVI_GLI_SPC">
        <w:r>
          <w:rPr>
            <w:rStyle w:val="Hyperlink"/>
          </w:rPr>
          <w:t xml:space="preserve">Figure 8</w:t>
        </w:r>
      </w:hyperlink>
      <w:r>
        <w:t xml:space="preserve">). The observed decrease in seagrass cover on 6th September was primarily due to leaf darkening, which influenced the NDVI measurements used to estimate SC. This darkening effect reduced the NDVI values, creating an apparent decrease in SC in the impacted patch when, in reality, the density of seagrass remained stable (</w:t>
      </w:r>
      <w:hyperlink w:anchor="fig-QuiberonImg">
        <w:r>
          <w:rPr>
            <w:rStyle w:val="Hyperlink"/>
          </w:rPr>
          <w:t xml:space="preserve">Figure 3</w:t>
        </w:r>
      </w:hyperlink>
      <w:r>
        <w:t xml:space="preserv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 xml:space="preserve">Figure 8</w:t>
        </w:r>
      </w:hyperlink>
      <w:r>
        <w:t xml:space="preserve">).</w:t>
      </w:r>
    </w:p>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bookmarkEnd w:id="105"/>
    <w:bookmarkStart w:id="106" w:name="big-picture"/>
    <w:p>
      <w:pPr>
        <w:pStyle w:val="Heading2"/>
      </w:pPr>
      <w:r>
        <w:t xml:space="preserve">4.4 Big picture</w:t>
      </w:r>
    </w:p>
    <w:p>
      <w:pPr>
        <w:pStyle w:val="FirstParagraph"/>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06"/>
    <w:bookmarkEnd w:id="107"/>
    <w:bookmarkStart w:id="108" w:name="conclusion"/>
    <w:p>
      <w:pPr>
        <w:pStyle w:val="Heading1"/>
      </w:pPr>
      <w:r>
        <w:t xml:space="preserve">5.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08"/>
    <w:bookmarkStart w:id="116" w:name="annexes"/>
    <w:p>
      <w:pPr>
        <w:pStyle w:val="Heading1"/>
      </w:pPr>
      <w:r>
        <w:t xml:space="preserve">6. Annexes</w:t>
      </w:r>
    </w:p>
    <w:bookmarkStart w:id="115" w:name="sec-AnnexeA"/>
    <w:p>
      <w:pPr>
        <w:pStyle w:val="Heading2"/>
      </w:pPr>
      <w:r>
        <w:t xml:space="preserve">6.1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0" name="Picture"/>
            <a:graphic>
              <a:graphicData uri="http://schemas.openxmlformats.org/drawingml/2006/picture">
                <pic:pic>
                  <pic:nvPicPr>
                    <pic:cNvPr descr="Figs/High_res/Temperature_compare.png" id="111" name="Picture"/>
                    <pic:cNvPicPr>
                      <a:picLocks noChangeArrowheads="1" noChangeAspect="1"/>
                    </pic:cNvPicPr>
                  </pic:nvPicPr>
                  <pic:blipFill>
                    <a:blip r:embed="rId109"/>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CaptionedFigure"/>
      </w:pPr>
      <w:r>
        <w:drawing>
          <wp:inline>
            <wp:extent cx="5943600" cy="2718555"/>
            <wp:effectExtent b="0" l="0" r="0" t="0"/>
            <wp:docPr descr="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 title="" id="113" name="Picture"/>
            <a:graphic>
              <a:graphicData uri="http://schemas.openxmlformats.org/drawingml/2006/picture">
                <pic:pic>
                  <pic:nvPicPr>
                    <pic:cNvPr descr="Figs/Low_res/Chamber_Profils.png" id="114" name="Picture"/>
                    <pic:cNvPicPr>
                      <a:picLocks noChangeArrowheads="1" noChangeAspect="1"/>
                    </pic:cNvPicPr>
                  </pic:nvPicPr>
                  <pic:blipFill>
                    <a:blip r:embed="rId112"/>
                    <a:stretch>
                      <a:fillRect/>
                    </a:stretch>
                  </pic:blipFill>
                  <pic:spPr bwMode="auto">
                    <a:xfrm>
                      <a:off x="0" y="0"/>
                      <a:ext cx="5943600" cy="2718555"/>
                    </a:xfrm>
                    <a:prstGeom prst="rect">
                      <a:avLst/>
                    </a:prstGeom>
                    <a:noFill/>
                    <a:ln w="9525">
                      <a:noFill/>
                      <a:headEnd/>
                      <a:tailEnd/>
                    </a:ln>
                  </pic:spPr>
                </pic:pic>
              </a:graphicData>
            </a:graphic>
          </wp:inline>
        </w:drawing>
      </w:r>
    </w:p>
    <w:p>
      <w:pPr>
        <w:pStyle w:val="ImageCaption"/>
      </w:pPr>
      <w:r>
        <w:t xml:space="preserve">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115"/>
    <w:bookmarkEnd w:id="116"/>
    <w:bookmarkStart w:id="223" w:name="references"/>
    <w:p>
      <w:pPr>
        <w:pStyle w:val="Heading1"/>
      </w:pPr>
      <w:r>
        <w:t xml:space="preserve">7. References</w:t>
      </w:r>
    </w:p>
    <w:bookmarkStart w:id="222" w:name="refs"/>
    <w:bookmarkStart w:id="117"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17"/>
    <w:bookmarkStart w:id="118" w:name="ref-armitage2016carbon"/>
    <w:p>
      <w:pPr>
        <w:pStyle w:val="Bibliography"/>
      </w:pPr>
      <w:r>
        <w:t xml:space="preserve">Armitage, A., Fourqurean, J.W., 2016. Carbon storage in seagrass soils: Long-term nutrient history exceeds the effects of near-term nutrient enrichment. Biogeosciences 13, 313–321.</w:t>
      </w:r>
    </w:p>
    <w:bookmarkEnd w:id="118"/>
    <w:bookmarkStart w:id="119"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19"/>
    <w:bookmarkStart w:id="121"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0">
        <w:r>
          <w:rPr>
            <w:rStyle w:val="Hyperlink"/>
          </w:rPr>
          <w:t xml:space="preserve">https://doi.org/10.3354/meps14588</w:t>
        </w:r>
      </w:hyperlink>
    </w:p>
    <w:bookmarkEnd w:id="121"/>
    <w:bookmarkStart w:id="122"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2"/>
    <w:bookmarkStart w:id="124" w:name="ref-JSSv100i05"/>
    <w:p>
      <w:pPr>
        <w:pStyle w:val="Bibliography"/>
      </w:pPr>
      <w:r>
        <w:t xml:space="preserve">Bürkner, P.-C., 2021. Bayesian item response modeling in r with brms and stan. Journal of Statistical Software 100, 1–54.</w:t>
      </w:r>
      <w:r>
        <w:t xml:space="preserve"> </w:t>
      </w:r>
      <w:hyperlink r:id="rId123">
        <w:r>
          <w:rPr>
            <w:rStyle w:val="Hyperlink"/>
          </w:rPr>
          <w:t xml:space="preserve">https://doi.org/10.18637/jss.v100.i05</w:t>
        </w:r>
      </w:hyperlink>
    </w:p>
    <w:bookmarkEnd w:id="124"/>
    <w:bookmarkStart w:id="125"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5"/>
    <w:bookmarkStart w:id="126"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26"/>
    <w:bookmarkStart w:id="127" w:name="ref-canadell2021ecosystem"/>
    <w:p>
      <w:pPr>
        <w:pStyle w:val="Bibliography"/>
      </w:pPr>
      <w:r>
        <w:t xml:space="preserve">Canadell, J.G., Jackson, R.B., 2021. Ecosystem collapse and climate change. Springer.</w:t>
      </w:r>
    </w:p>
    <w:bookmarkEnd w:id="127"/>
    <w:bookmarkStart w:id="129"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28">
        <w:r>
          <w:rPr>
            <w:rStyle w:val="Hyperlink"/>
          </w:rPr>
          <w:t xml:space="preserve">https://doi.org/10.18637/jss.v076.i01</w:t>
        </w:r>
      </w:hyperlink>
    </w:p>
    <w:bookmarkEnd w:id="129"/>
    <w:bookmarkStart w:id="131"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0">
        <w:r>
          <w:rPr>
            <w:rStyle w:val="Hyperlink"/>
          </w:rPr>
          <w:t xml:space="preserve">https://doi.org/10.48670/moi-00311</w:t>
        </w:r>
      </w:hyperlink>
    </w:p>
    <w:bookmarkEnd w:id="131"/>
    <w:bookmarkStart w:id="133"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2">
        <w:r>
          <w:rPr>
            <w:rStyle w:val="Hyperlink"/>
          </w:rPr>
          <w:t xml:space="preserve">https://doi.org/10.1007/s11099-007-0084-3</w:t>
        </w:r>
      </w:hyperlink>
    </w:p>
    <w:bookmarkEnd w:id="133"/>
    <w:bookmarkStart w:id="134"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34"/>
    <w:bookmarkStart w:id="136"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5">
        <w:r>
          <w:rPr>
            <w:rStyle w:val="Hyperlink"/>
          </w:rPr>
          <w:t xml:space="preserve">https://doi.org/10.1038/s43247-024-01543-z</w:t>
        </w:r>
      </w:hyperlink>
    </w:p>
    <w:bookmarkEnd w:id="136"/>
    <w:bookmarkStart w:id="138"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7">
        <w:r>
          <w:rPr>
            <w:rStyle w:val="Hyperlink"/>
          </w:rPr>
          <w:t xml:space="preserve">https://doi.org/10.1016/j.rse.2024.114340</w:t>
        </w:r>
      </w:hyperlink>
    </w:p>
    <w:bookmarkEnd w:id="138"/>
    <w:bookmarkStart w:id="139"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39"/>
    <w:bookmarkStart w:id="140" w:name="ref-deguette2022physiological"/>
    <w:p>
      <w:pPr>
        <w:pStyle w:val="Bibliography"/>
      </w:pPr>
      <w:r>
        <w:t xml:space="preserve">Deguette, A., Barrote, I., Silva, J., 2022. Physiological and morphological effects of a marine heatwave on the seagrass cymodocea nodosa. Scientific Reports 12, 7950.</w:t>
      </w:r>
    </w:p>
    <w:bookmarkEnd w:id="140"/>
    <w:bookmarkStart w:id="141" w:name="ref-devi2024intensity"/>
    <w:p>
      <w:pPr>
        <w:pStyle w:val="Bibliography"/>
      </w:pPr>
      <w:r>
        <w:t xml:space="preserve">Devi, R., Gouda, K., Lenka, S., 2024. Intensity duration and frequency of heat wave in different phases of MJO over india. Atmospheric Research 300, 107250.</w:t>
      </w:r>
    </w:p>
    <w:bookmarkEnd w:id="141"/>
    <w:bookmarkStart w:id="142" w:name="ref-douay2022new"/>
    <w:p>
      <w:pPr>
        <w:pStyle w:val="Bibliography"/>
      </w:pPr>
      <w:r>
        <w:t xml:space="preserve">Douay, F., Verpoorter, C., Duong, G., Spilmont, N., Gevaert, F., 2022. New hyperspectral procedure to discriminate intertidal macroalgae. Remote Sensing 14, 346.</w:t>
      </w:r>
    </w:p>
    <w:bookmarkEnd w:id="142"/>
    <w:bookmarkStart w:id="143" w:name="ref-sen2cor"/>
    <w:p>
      <w:pPr>
        <w:pStyle w:val="Bibliography"/>
      </w:pPr>
      <w:r>
        <w:t xml:space="preserve">European Space Agency, 2024b. Sen2Cor: Sentinel-2 atmospheric correction processor.</w:t>
      </w:r>
    </w:p>
    <w:bookmarkEnd w:id="143"/>
    <w:bookmarkStart w:id="144" w:name="ref-copernicus_sentinel2"/>
    <w:p>
      <w:pPr>
        <w:pStyle w:val="Bibliography"/>
      </w:pPr>
      <w:r>
        <w:t xml:space="preserve">European Space Agency, 2024a. Copernicus open access hub.</w:t>
      </w:r>
    </w:p>
    <w:bookmarkEnd w:id="144"/>
    <w:bookmarkStart w:id="145"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45"/>
    <w:bookmarkStart w:id="146"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6"/>
    <w:bookmarkStart w:id="147" w:name="ref-gacia1999approach"/>
    <w:p>
      <w:pPr>
        <w:pStyle w:val="Bibliography"/>
      </w:pPr>
      <w:r>
        <w:t xml:space="preserve">Gacia, E., Granata, T., Duarte, C., 1999. An approach to measurement of particle flux and sediment retention within seagrass (posidonia oceanica) meadows. Aquatic Botany 65, 255–268.</w:t>
      </w:r>
    </w:p>
    <w:bookmarkEnd w:id="147"/>
    <w:bookmarkStart w:id="148"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48"/>
    <w:bookmarkStart w:id="149" w:name="ref-gardner2018global"/>
    <w:p>
      <w:pPr>
        <w:pStyle w:val="Bibliography"/>
      </w:pPr>
      <w:r>
        <w:t xml:space="preserve">Gardner, R.C., Finlayson, C., 2018. Global wetland outlook: State of the world’s wetlands and their services to people, in: Ramsar Convention Secretariat. pp. 2020–5.</w:t>
      </w:r>
    </w:p>
    <w:bookmarkEnd w:id="149"/>
    <w:bookmarkStart w:id="150"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0"/>
    <w:bookmarkStart w:id="152"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1">
        <w:r>
          <w:rPr>
            <w:rStyle w:val="Hyperlink"/>
          </w:rPr>
          <w:t xml:space="preserve">https://doi.org/10.1002/aqc.4210</w:t>
        </w:r>
      </w:hyperlink>
    </w:p>
    <w:bookmarkEnd w:id="152"/>
    <w:bookmarkStart w:id="153"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53"/>
    <w:bookmarkStart w:id="154"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54"/>
    <w:bookmarkStart w:id="156"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55">
        <w:r>
          <w:rPr>
            <w:rStyle w:val="Hyperlink"/>
          </w:rPr>
          <w:t xml:space="preserve">https://doi.org/10.1073/pnas.0402642101</w:t>
        </w:r>
      </w:hyperlink>
    </w:p>
    <w:bookmarkEnd w:id="156"/>
    <w:bookmarkStart w:id="158" w:name="ref-ioc_sea_level_lecy"/>
    <w:p>
      <w:pPr>
        <w:pStyle w:val="Bibliography"/>
      </w:pPr>
      <w:r>
        <w:t xml:space="preserve">IOC, 2024.</w:t>
      </w:r>
      <w:r>
        <w:t xml:space="preserve"> </w:t>
      </w:r>
      <w:hyperlink r:id="rId157">
        <w:r>
          <w:rPr>
            <w:rStyle w:val="Hyperlink"/>
          </w:rPr>
          <w:t xml:space="preserve">Intergovernmental oceanographic commission ; sea level monitoring station - le conquet, france (LECY)</w:t>
        </w:r>
      </w:hyperlink>
      <w:r>
        <w:t xml:space="preserve">.</w:t>
      </w:r>
    </w:p>
    <w:bookmarkEnd w:id="158"/>
    <w:bookmarkStart w:id="159"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9"/>
    <w:bookmarkStart w:id="161"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0">
        <w:r>
          <w:rPr>
            <w:rStyle w:val="Hyperlink"/>
          </w:rPr>
          <w:t xml:space="preserve">https://doi.org/10.1016/S0304-4238(05)80016-0</w:t>
        </w:r>
      </w:hyperlink>
    </w:p>
    <w:bookmarkEnd w:id="161"/>
    <w:bookmarkStart w:id="163"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2">
        <w:r>
          <w:rPr>
            <w:rStyle w:val="Hyperlink"/>
          </w:rPr>
          <w:t xml:space="preserve">https://doi.org/10.1016/S0034-4257(70)80021-9</w:t>
        </w:r>
      </w:hyperlink>
    </w:p>
    <w:bookmarkEnd w:id="163"/>
    <w:bookmarkStart w:id="164" w:name="ref-hsdar"/>
    <w:p>
      <w:pPr>
        <w:pStyle w:val="Bibliography"/>
      </w:pPr>
      <w:r>
        <w:t xml:space="preserve">Lehnert, L.W., Meyer, H., Bendix, J., 2017. Hsdar: Manage, analyse and simulate hyperspectral data in r.</w:t>
      </w:r>
    </w:p>
    <w:bookmarkEnd w:id="164"/>
    <w:bookmarkStart w:id="165" w:name="ref-loarie2009velocity"/>
    <w:p>
      <w:pPr>
        <w:pStyle w:val="Bibliography"/>
      </w:pPr>
      <w:r>
        <w:t xml:space="preserve">Loarie, S.R., Duffy, P.B., Hamilton, H., Asner, G.P., Field, C.B., Ackerly, D.D., 2009. The velocity of climate change. Nature 462, 1052–1055.</w:t>
      </w:r>
    </w:p>
    <w:bookmarkEnd w:id="165"/>
    <w:bookmarkStart w:id="166"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66"/>
    <w:bookmarkStart w:id="168" w:name="ref-malvern_panalytical_rs3"/>
    <w:p>
      <w:pPr>
        <w:pStyle w:val="Bibliography"/>
      </w:pPr>
      <w:r>
        <w:t xml:space="preserve">Malvern Panalytical, 2023.</w:t>
      </w:r>
      <w:r>
        <w:t xml:space="preserve"> </w:t>
      </w:r>
      <w:hyperlink r:id="rId167">
        <w:r>
          <w:rPr>
            <w:rStyle w:val="Hyperlink"/>
          </w:rPr>
          <w:t xml:space="preserve">RS3 software</w:t>
        </w:r>
      </w:hyperlink>
      <w:r>
        <w:t xml:space="preserve">.</w:t>
      </w:r>
    </w:p>
    <w:bookmarkEnd w:id="168"/>
    <w:bookmarkStart w:id="169"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69"/>
    <w:bookmarkStart w:id="170"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0"/>
    <w:bookmarkStart w:id="172"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71">
        <w:r>
          <w:rPr>
            <w:rStyle w:val="Hyperlink"/>
          </w:rPr>
          <w:t xml:space="preserve">https://doi.org/10.1038/s41598-019-50643-w</w:t>
        </w:r>
      </w:hyperlink>
    </w:p>
    <w:bookmarkEnd w:id="172"/>
    <w:bookmarkStart w:id="173"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73"/>
    <w:bookmarkStart w:id="175"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74">
        <w:r>
          <w:rPr>
            <w:rStyle w:val="Hyperlink"/>
          </w:rPr>
          <w:t xml:space="preserve">https://doi.org/10.3390/rs16234383</w:t>
        </w:r>
      </w:hyperlink>
    </w:p>
    <w:bookmarkEnd w:id="175"/>
    <w:bookmarkStart w:id="177"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76">
        <w:r>
          <w:rPr>
            <w:rStyle w:val="Hyperlink"/>
          </w:rPr>
          <w:t xml:space="preserve">https://doi.org/10.3389/fmars.2019.00734</w:t>
        </w:r>
      </w:hyperlink>
    </w:p>
    <w:bookmarkEnd w:id="177"/>
    <w:bookmarkStart w:id="178"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78"/>
    <w:bookmarkStart w:id="180"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79">
        <w:r>
          <w:rPr>
            <w:rStyle w:val="Hyperlink"/>
          </w:rPr>
          <w:t xml:space="preserve">https://doi.org/10.1111/gcb.14282</w:t>
        </w:r>
      </w:hyperlink>
    </w:p>
    <w:bookmarkEnd w:id="180"/>
    <w:bookmarkStart w:id="181"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1"/>
    <w:bookmarkStart w:id="182" w:name="ref-perkins2013measurement"/>
    <w:p>
      <w:pPr>
        <w:pStyle w:val="Bibliography"/>
      </w:pPr>
      <w:r>
        <w:t xml:space="preserve">Perkins, S.E., Alexander, L.V., 2013. On the measurement of heat waves. Journal of climate 26, 4500–4517.</w:t>
      </w:r>
    </w:p>
    <w:bookmarkEnd w:id="182"/>
    <w:bookmarkStart w:id="184" w:name="ref-Rbase"/>
    <w:p>
      <w:pPr>
        <w:pStyle w:val="Bibliography"/>
      </w:pPr>
      <w:r>
        <w:t xml:space="preserve">R Core Team, 2023.</w:t>
      </w:r>
      <w:r>
        <w:t xml:space="preserve"> </w:t>
      </w:r>
      <w:hyperlink r:id="rId183">
        <w:r>
          <w:rPr>
            <w:rStyle w:val="Hyperlink"/>
          </w:rPr>
          <w:t xml:space="preserve">R: A language and environment for statistical computing</w:t>
        </w:r>
      </w:hyperlink>
      <w:r>
        <w:t xml:space="preserve">. R Foundation for Statistical Computing, Vienna, Austria.</w:t>
      </w:r>
    </w:p>
    <w:bookmarkEnd w:id="184"/>
    <w:bookmarkStart w:id="185" w:name="ref-ramesh2020seagrass"/>
    <w:p>
      <w:pPr>
        <w:pStyle w:val="Bibliography"/>
      </w:pPr>
      <w:r>
        <w:t xml:space="preserve">Ramesh, C., Mohanraju, R., 2020. Seagrass ecosystems of andaman and nicobar islands: Status and future perspective. Environmental &amp; Earth Sciences Research Journal 7.</w:t>
      </w:r>
    </w:p>
    <w:bookmarkEnd w:id="185"/>
    <w:bookmarkStart w:id="187"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86">
        <w:r>
          <w:rPr>
            <w:rStyle w:val="Hyperlink"/>
          </w:rPr>
          <w:t xml:space="preserve">https://doi.org/10.1073/pnas.0500008102</w:t>
        </w:r>
      </w:hyperlink>
    </w:p>
    <w:bookmarkEnd w:id="187"/>
    <w:bookmarkStart w:id="188" w:name="ref-roman2021using"/>
    <w:p>
      <w:pPr>
        <w:pStyle w:val="Bibliography"/>
      </w:pPr>
      <w:r>
        <w:t xml:space="preserve">Román, A., Tovar-Sánchez, A., Olivé, I., Navarro, G., 2021. Using a UAV-mounted multispectral camera for the monitoring of marine macrophytes. Frontiers in Marine Science 8, 722698.</w:t>
      </w:r>
    </w:p>
    <w:bookmarkEnd w:id="188"/>
    <w:bookmarkStart w:id="189" w:name="ref-rouse1974monitoring"/>
    <w:p>
      <w:pPr>
        <w:pStyle w:val="Bibliography"/>
      </w:pPr>
      <w:r>
        <w:t xml:space="preserve">Rouse, J.W., Haas, R.H., Schell, J.A., Deering, D.W., others, 1974. Monitoring vegetation systems in the great plains with ERTS. NASA Spec. Publ 351, 309.</w:t>
      </w:r>
    </w:p>
    <w:bookmarkEnd w:id="189"/>
    <w:bookmarkStart w:id="191"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90">
        <w:r>
          <w:rPr>
            <w:rStyle w:val="Hyperlink"/>
          </w:rPr>
          <w:t xml:space="preserve">https://doi.org/10.1029/2023GL103540</w:t>
        </w:r>
      </w:hyperlink>
    </w:p>
    <w:bookmarkEnd w:id="191"/>
    <w:bookmarkStart w:id="192"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92"/>
    <w:bookmarkStart w:id="193"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93"/>
    <w:bookmarkStart w:id="195"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94">
        <w:r>
          <w:rPr>
            <w:rStyle w:val="Hyperlink"/>
          </w:rPr>
          <w:t xml:space="preserve">https://doi.org/10.21105/joss.00821</w:t>
        </w:r>
      </w:hyperlink>
    </w:p>
    <w:bookmarkEnd w:id="195"/>
    <w:bookmarkStart w:id="196"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96"/>
    <w:bookmarkStart w:id="197"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97"/>
    <w:bookmarkStart w:id="199" w:name="ref-shom_ram_2022"/>
    <w:p>
      <w:pPr>
        <w:pStyle w:val="Bibliography"/>
      </w:pPr>
      <w:r>
        <w:t xml:space="preserve">Shom, 2022.</w:t>
      </w:r>
      <w:r>
        <w:t xml:space="preserve"> </w:t>
      </w:r>
      <w:hyperlink r:id="rId198">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99"/>
    <w:bookmarkStart w:id="201" w:name="Xbef41143b4d4042e58f11cfc27e216202646012"/>
    <w:p>
      <w:pPr>
        <w:pStyle w:val="Bibliography"/>
      </w:pPr>
      <w:r>
        <w:t xml:space="preserve">SHOM, 2021.</w:t>
      </w:r>
      <w:r>
        <w:t xml:space="preserve"> </w:t>
      </w:r>
      <w:hyperlink r:id="rId200">
        <w:r>
          <w:rPr>
            <w:rStyle w:val="Hyperlink"/>
          </w:rPr>
          <w:t xml:space="preserve">Service hydrographique et océanographique de la marine ; bathymétrie Litto3D® bretagne 2018-2021</w:t>
        </w:r>
      </w:hyperlink>
      <w:r>
        <w:t xml:space="preserve">.</w:t>
      </w:r>
    </w:p>
    <w:bookmarkEnd w:id="201"/>
    <w:bookmarkStart w:id="203" w:name="ref-simolo2022quantifying"/>
    <w:p>
      <w:pPr>
        <w:pStyle w:val="Bibliography"/>
      </w:pPr>
      <w:r>
        <w:t xml:space="preserve">Simolo, C., Corti, S., 2022. Quantifying the role of variability in future intensification of heat extremes. Nature Communications 13.</w:t>
      </w:r>
      <w:r>
        <w:t xml:space="preserve"> </w:t>
      </w:r>
      <w:hyperlink r:id="rId202">
        <w:r>
          <w:rPr>
            <w:rStyle w:val="Hyperlink"/>
          </w:rPr>
          <w:t xml:space="preserve">https://doi.org/10.1038/s41467-022-35571-0</w:t>
        </w:r>
      </w:hyperlink>
    </w:p>
    <w:bookmarkEnd w:id="203"/>
    <w:bookmarkStart w:id="204"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04"/>
    <w:bookmarkStart w:id="206"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205">
        <w:r>
          <w:rPr>
            <w:rStyle w:val="Hyperlink"/>
          </w:rPr>
          <w:t xml:space="preserve">https://doi.org/10.1038/s41558-019-0412-1</w:t>
        </w:r>
      </w:hyperlink>
    </w:p>
    <w:bookmarkEnd w:id="206"/>
    <w:bookmarkStart w:id="207"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07"/>
    <w:bookmarkStart w:id="208" w:name="ref-stan2020rstan"/>
    <w:p>
      <w:pPr>
        <w:pStyle w:val="Bibliography"/>
      </w:pPr>
      <w:r>
        <w:t xml:space="preserve">Stan Development Team, C., others, 2020. RStan: The r interface to stan. R package version 2.21. 2.</w:t>
      </w:r>
    </w:p>
    <w:bookmarkEnd w:id="208"/>
    <w:bookmarkStart w:id="210"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09">
        <w:r>
          <w:rPr>
            <w:rStyle w:val="Hyperlink"/>
          </w:rPr>
          <w:t xml:space="preserve">https://doi.org/10.1152/physiol.00040.2018</w:t>
        </w:r>
      </w:hyperlink>
    </w:p>
    <w:bookmarkEnd w:id="210"/>
    <w:bookmarkStart w:id="211"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11"/>
    <w:bookmarkStart w:id="212" w:name="ref-unsworth2014biodiversity"/>
    <w:p>
      <w:pPr>
        <w:pStyle w:val="Bibliography"/>
      </w:pPr>
      <w:r>
        <w:t xml:space="preserve">Unsworth, R., Cullen-Unsworth, L.C., 2014. Biodiversity, ecosystem services, and the conservation of seagrass meadows. Coast. Conserv 19, 95.</w:t>
      </w:r>
    </w:p>
    <w:bookmarkEnd w:id="212"/>
    <w:bookmarkStart w:id="213" w:name="ref-unsworth2022planetary"/>
    <w:p>
      <w:pPr>
        <w:pStyle w:val="Bibliography"/>
      </w:pPr>
      <w:r>
        <w:t xml:space="preserve">Unsworth, R.K., Cullen-Unsworth, L.C., Jones, B.L., Lilley, R.J., 2022. The planetary role of seagrass conservation. Science 377, 609–613.</w:t>
      </w:r>
    </w:p>
    <w:bookmarkEnd w:id="213"/>
    <w:bookmarkStart w:id="214"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14"/>
    <w:bookmarkStart w:id="215"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15"/>
    <w:bookmarkStart w:id="216"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16"/>
    <w:bookmarkStart w:id="217" w:name="ref-zahoor2023water"/>
    <w:p>
      <w:pPr>
        <w:pStyle w:val="Bibliography"/>
      </w:pPr>
      <w:r>
        <w:t xml:space="preserve">Zahoor, I., Mushtaq, A., 2023. Water pollution from agricultural activities: A critical global review. Int. J. Chem. Biochem. Sci 23, 164–176.</w:t>
      </w:r>
    </w:p>
    <w:bookmarkEnd w:id="217"/>
    <w:bookmarkStart w:id="218"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18"/>
    <w:bookmarkStart w:id="220"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19">
        <w:r>
          <w:rPr>
            <w:rStyle w:val="Hyperlink"/>
          </w:rPr>
          <w:t xml:space="preserve">https://doi.org/10.1002/rse2.319</w:t>
        </w:r>
      </w:hyperlink>
    </w:p>
    <w:bookmarkEnd w:id="220"/>
    <w:bookmarkStart w:id="221"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21"/>
    <w:bookmarkEnd w:id="222"/>
    <w:bookmarkEnd w:id="223"/>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84" Target="media/rId84.png" /><Relationship Type="http://schemas.openxmlformats.org/officeDocument/2006/relationships/image" Id="rId24" Target="media/rId24.png" /><Relationship Type="http://schemas.openxmlformats.org/officeDocument/2006/relationships/image" Id="rId95" Target="media/rId95.png" /><Relationship Type="http://schemas.openxmlformats.org/officeDocument/2006/relationships/image" Id="rId78" Target="media/rId78.png" /><Relationship Type="http://schemas.openxmlformats.org/officeDocument/2006/relationships/image" Id="rId90" Target="media/rId90.png" /><Relationship Type="http://schemas.openxmlformats.org/officeDocument/2006/relationships/image" Id="rId38" Target="media/rId38.png" /><Relationship Type="http://schemas.openxmlformats.org/officeDocument/2006/relationships/image" Id="rId71" Target="media/rId71.png" /><Relationship Type="http://schemas.openxmlformats.org/officeDocument/2006/relationships/image" Id="rId43" Target="media/rId43.png" /><Relationship Type="http://schemas.openxmlformats.org/officeDocument/2006/relationships/image" Id="rId66" Target="media/rId66.png" /><Relationship Type="http://schemas.openxmlformats.org/officeDocument/2006/relationships/image" Id="rId60" Target="media/rId60.png" /><Relationship Type="http://schemas.openxmlformats.org/officeDocument/2006/relationships/hyperlink" Id="rId198" Target="https://diffusion.shom.fr/references-altimetriques-maritimes-ram.html" TargetMode="External" /><Relationship Type="http://schemas.openxmlformats.org/officeDocument/2006/relationships/hyperlink" Id="rId151" Target="https://doi.org/10.1002/aqc.4210" TargetMode="External" /><Relationship Type="http://schemas.openxmlformats.org/officeDocument/2006/relationships/hyperlink" Id="rId219" Target="https://doi.org/10.1002/rse2.319" TargetMode="External" /><Relationship Type="http://schemas.openxmlformats.org/officeDocument/2006/relationships/hyperlink" Id="rId132" Target="https://doi.org/10.1007/s11099-007-0084-3" TargetMode="External" /><Relationship Type="http://schemas.openxmlformats.org/officeDocument/2006/relationships/hyperlink" Id="rId162" Target="https://doi.org/10.1016/S0034-4257(70)80021-9" TargetMode="External" /><Relationship Type="http://schemas.openxmlformats.org/officeDocument/2006/relationships/hyperlink" Id="rId160" Target="https://doi.org/10.1016/S0304-4238(05)80016-0" TargetMode="External" /><Relationship Type="http://schemas.openxmlformats.org/officeDocument/2006/relationships/hyperlink" Id="rId137" Target="https://doi.org/10.1016/j.rse.2024.114340" TargetMode="External" /><Relationship Type="http://schemas.openxmlformats.org/officeDocument/2006/relationships/hyperlink" Id="rId190" Target="https://doi.org/10.1029/2023GL103540" TargetMode="External" /><Relationship Type="http://schemas.openxmlformats.org/officeDocument/2006/relationships/hyperlink" Id="rId202" Target="https://doi.org/10.1038/s41467-022-35571-0" TargetMode="External" /><Relationship Type="http://schemas.openxmlformats.org/officeDocument/2006/relationships/hyperlink" Id="rId205" Target="https://doi.org/10.1038/s41558-019-0412-1" TargetMode="External" /><Relationship Type="http://schemas.openxmlformats.org/officeDocument/2006/relationships/hyperlink" Id="rId171" Target="https://doi.org/10.1038/s41598-019-50643-w" TargetMode="External" /><Relationship Type="http://schemas.openxmlformats.org/officeDocument/2006/relationships/hyperlink" Id="rId135" Target="https://doi.org/10.1038/s43247-024-01543-z" TargetMode="External" /><Relationship Type="http://schemas.openxmlformats.org/officeDocument/2006/relationships/hyperlink" Id="rId155" Target="https://doi.org/10.1073/pnas.0402642101" TargetMode="External" /><Relationship Type="http://schemas.openxmlformats.org/officeDocument/2006/relationships/hyperlink" Id="rId186" Target="https://doi.org/10.1073/pnas.0500008102" TargetMode="External" /><Relationship Type="http://schemas.openxmlformats.org/officeDocument/2006/relationships/hyperlink" Id="rId179" Target="https://doi.org/10.1111/gcb.14282" TargetMode="External" /><Relationship Type="http://schemas.openxmlformats.org/officeDocument/2006/relationships/hyperlink" Id="rId209" Target="https://doi.org/10.1152/physiol.00040.2018" TargetMode="External" /><Relationship Type="http://schemas.openxmlformats.org/officeDocument/2006/relationships/hyperlink" Id="rId128" Target="https://doi.org/10.18637/jss.v076.i01" TargetMode="External" /><Relationship Type="http://schemas.openxmlformats.org/officeDocument/2006/relationships/hyperlink" Id="rId123" Target="https://doi.org/10.18637/jss.v100.i05" TargetMode="External" /><Relationship Type="http://schemas.openxmlformats.org/officeDocument/2006/relationships/hyperlink" Id="rId194" Target="https://doi.org/10.21105/joss.00821" TargetMode="External" /><Relationship Type="http://schemas.openxmlformats.org/officeDocument/2006/relationships/hyperlink" Id="rId120" Target="https://doi.org/10.3354/meps14588" TargetMode="External" /><Relationship Type="http://schemas.openxmlformats.org/officeDocument/2006/relationships/hyperlink" Id="rId176" Target="https://doi.org/10.3389/fmars.2019.00734" TargetMode="External" /><Relationship Type="http://schemas.openxmlformats.org/officeDocument/2006/relationships/hyperlink" Id="rId174" Target="https://doi.org/10.3390/rs16234383" TargetMode="External" /><Relationship Type="http://schemas.openxmlformats.org/officeDocument/2006/relationships/hyperlink" Id="rId130" Target="https://doi.org/10.48670/moi-00311" TargetMode="External" /><Relationship Type="http://schemas.openxmlformats.org/officeDocument/2006/relationships/hyperlink" Id="rId49" Target="https://github.com/SigOiry/HeatWave_Seagrasses/blob/main/Scripts/MeteoFrance_Extraction.qmd" TargetMode="External" /><Relationship Type="http://schemas.openxmlformats.org/officeDocument/2006/relationships/hyperlink" Id="rId200" Target="https://services.data.shom.fr/geonetwork/srv/fre/catalog.search#/metadata/BATHYMETRIE_LITTO3D_BZH_2018_2021.xml" TargetMode="External" /><Relationship Type="http://schemas.openxmlformats.org/officeDocument/2006/relationships/hyperlink" Id="rId183" Target="https://www.R-project.org/" TargetMode="External" /><Relationship Type="http://schemas.openxmlformats.org/officeDocument/2006/relationships/hyperlink" Id="rId157" Target="https://www.ioc-sealevelmonitoring.org/station.php?code=lecy" TargetMode="External" /><Relationship Type="http://schemas.openxmlformats.org/officeDocument/2006/relationships/hyperlink" Id="rId167"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198" Target="https://diffusion.shom.fr/references-altimetriques-maritimes-ram.html" TargetMode="External" /><Relationship Type="http://schemas.openxmlformats.org/officeDocument/2006/relationships/hyperlink" Id="rId151" Target="https://doi.org/10.1002/aqc.4210" TargetMode="External" /><Relationship Type="http://schemas.openxmlformats.org/officeDocument/2006/relationships/hyperlink" Id="rId219" Target="https://doi.org/10.1002/rse2.319" TargetMode="External" /><Relationship Type="http://schemas.openxmlformats.org/officeDocument/2006/relationships/hyperlink" Id="rId132" Target="https://doi.org/10.1007/s11099-007-0084-3" TargetMode="External" /><Relationship Type="http://schemas.openxmlformats.org/officeDocument/2006/relationships/hyperlink" Id="rId162" Target="https://doi.org/10.1016/S0034-4257(70)80021-9" TargetMode="External" /><Relationship Type="http://schemas.openxmlformats.org/officeDocument/2006/relationships/hyperlink" Id="rId160" Target="https://doi.org/10.1016/S0304-4238(05)80016-0" TargetMode="External" /><Relationship Type="http://schemas.openxmlformats.org/officeDocument/2006/relationships/hyperlink" Id="rId137" Target="https://doi.org/10.1016/j.rse.2024.114340" TargetMode="External" /><Relationship Type="http://schemas.openxmlformats.org/officeDocument/2006/relationships/hyperlink" Id="rId190" Target="https://doi.org/10.1029/2023GL103540" TargetMode="External" /><Relationship Type="http://schemas.openxmlformats.org/officeDocument/2006/relationships/hyperlink" Id="rId202" Target="https://doi.org/10.1038/s41467-022-35571-0" TargetMode="External" /><Relationship Type="http://schemas.openxmlformats.org/officeDocument/2006/relationships/hyperlink" Id="rId205" Target="https://doi.org/10.1038/s41558-019-0412-1" TargetMode="External" /><Relationship Type="http://schemas.openxmlformats.org/officeDocument/2006/relationships/hyperlink" Id="rId171" Target="https://doi.org/10.1038/s41598-019-50643-w" TargetMode="External" /><Relationship Type="http://schemas.openxmlformats.org/officeDocument/2006/relationships/hyperlink" Id="rId135" Target="https://doi.org/10.1038/s43247-024-01543-z" TargetMode="External" /><Relationship Type="http://schemas.openxmlformats.org/officeDocument/2006/relationships/hyperlink" Id="rId155" Target="https://doi.org/10.1073/pnas.0402642101" TargetMode="External" /><Relationship Type="http://schemas.openxmlformats.org/officeDocument/2006/relationships/hyperlink" Id="rId186" Target="https://doi.org/10.1073/pnas.0500008102" TargetMode="External" /><Relationship Type="http://schemas.openxmlformats.org/officeDocument/2006/relationships/hyperlink" Id="rId179" Target="https://doi.org/10.1111/gcb.14282" TargetMode="External" /><Relationship Type="http://schemas.openxmlformats.org/officeDocument/2006/relationships/hyperlink" Id="rId209" Target="https://doi.org/10.1152/physiol.00040.2018" TargetMode="External" /><Relationship Type="http://schemas.openxmlformats.org/officeDocument/2006/relationships/hyperlink" Id="rId128" Target="https://doi.org/10.18637/jss.v076.i01" TargetMode="External" /><Relationship Type="http://schemas.openxmlformats.org/officeDocument/2006/relationships/hyperlink" Id="rId123" Target="https://doi.org/10.18637/jss.v100.i05" TargetMode="External" /><Relationship Type="http://schemas.openxmlformats.org/officeDocument/2006/relationships/hyperlink" Id="rId194" Target="https://doi.org/10.21105/joss.00821" TargetMode="External" /><Relationship Type="http://schemas.openxmlformats.org/officeDocument/2006/relationships/hyperlink" Id="rId120" Target="https://doi.org/10.3354/meps14588" TargetMode="External" /><Relationship Type="http://schemas.openxmlformats.org/officeDocument/2006/relationships/hyperlink" Id="rId176" Target="https://doi.org/10.3389/fmars.2019.00734" TargetMode="External" /><Relationship Type="http://schemas.openxmlformats.org/officeDocument/2006/relationships/hyperlink" Id="rId174" Target="https://doi.org/10.3390/rs16234383" TargetMode="External" /><Relationship Type="http://schemas.openxmlformats.org/officeDocument/2006/relationships/hyperlink" Id="rId130" Target="https://doi.org/10.48670/moi-00311" TargetMode="External" /><Relationship Type="http://schemas.openxmlformats.org/officeDocument/2006/relationships/hyperlink" Id="rId49" Target="https://github.com/SigOiry/HeatWave_Seagrasses/blob/main/Scripts/MeteoFrance_Extraction.qmd" TargetMode="External" /><Relationship Type="http://schemas.openxmlformats.org/officeDocument/2006/relationships/hyperlink" Id="rId200" Target="https://services.data.shom.fr/geonetwork/srv/fre/catalog.search#/metadata/BATHYMETRIE_LITTO3D_BZH_2018_2021.xml" TargetMode="External" /><Relationship Type="http://schemas.openxmlformats.org/officeDocument/2006/relationships/hyperlink" Id="rId183" Target="https://www.R-project.org/" TargetMode="External" /><Relationship Type="http://schemas.openxmlformats.org/officeDocument/2006/relationships/hyperlink" Id="rId157" Target="https://www.ioc-sealevelmonitoring.org/station.php?code=lecy" TargetMode="External" /><Relationship Type="http://schemas.openxmlformats.org/officeDocument/2006/relationships/hyperlink" Id="rId167"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Effects of Marine and Atmospheric Heatwaves on Intertidal Seagrass: Insights from Experimental Spectroradiometry and Satellite Observations</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2024-11-29T13:33:09Z</dcterms:created>
  <dcterms:modified xsi:type="dcterms:W3CDTF">2024-11-29T13:33:09Z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reflectance of the intertidal seagrass Zostera noltei. We performed laboratory experiments, exposing seagrass samples to controlled heatwave conditions while measuring hyperspectral reflectance to assess impact over time. We found that heatwaves induced significant declines in seagrass reflectance, particularly in the green and near-infrared regions This corresponded to green leaves turning brown. Furthemore, key vegetation indices, such as the Normalized Difference Vegetation Index (NDVI) and Green Leaf Index (GLI), displayed marked reductions under heatwave stress, with NDVI values decreasing by up to 34% and GLI by 57%. A novel Seagrass Heat Shock Index (SHSI) was developed to identify leaves fading from green to brown color, showing a higher ability to quantify the effect of heatwave exposure on seagrass coloration. This research suggests that changes in spectral reflectance can effectively be used to detect the early impacts of heatwaves on seagrasses, providing a valuable tool for remote sensing-based habitat assessment. Multispectral satellite observations confirmed these findings, showing widespread seagrass leaves turning brown during atmospheric and marine heatwave events in South Brittany, France. Darkened seagrasses were observed in areas within the intertidal zone that were exposed to maximum temperatures of 32°C for more than 13.5 hours a day. This work highlights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2024-11-29</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