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94.png" ContentType="image/png"/>
  <Override PartName="/word/media/rId25.png" ContentType="image/png"/>
  <Override PartName="/word/media/rId105.png" ContentType="image/png"/>
  <Override PartName="/word/media/rId88.png" ContentType="image/png"/>
  <Override PartName="/word/media/rId100.png" ContentType="image/png"/>
  <Override PartName="/word/media/rId80.png" ContentType="image/png"/>
  <Override PartName="/word/media/rId50.png" ContentType="image/png"/>
  <Override PartName="/word/media/rId55.png" ContentType="image/png"/>
  <Override PartName="/word/media/rId73.png" ContentType="image/png"/>
  <Override PartName="/word/media/rId113.png" ContentType="image/png"/>
  <Override PartName="/word/media/rId67.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Effect of Marine and Atmospheric Heatwaves on Reflectance and Pigment Composition of Intertidal</w:t>
      </w:r>
      <w:r>
        <w:t xml:space="preserve"> </w:t>
      </w:r>
      <w:r>
        <w:rPr>
          <w:i/>
          <w:iCs/>
        </w:rPr>
        <w:t xml:space="preserve">Nanozostera noltei</w:t>
      </w:r>
    </w:p>
    <w:p>
      <w:pPr>
        <w:pStyle w:val="Author"/>
      </w:pPr>
      <w:r>
        <w:t xml:space="preserve"> </w:t>
      </w:r>
    </w:p>
    <w:p>
      <w:pPr>
        <w:pStyle w:val="Author"/>
      </w:pPr>
      <w:r>
        <w:t xml:space="preserve">Simon Oiry</w:t>
      </w:r>
      <w:r>
        <w:rPr>
          <w:vertAlign w:val="superscript"/>
        </w:rPr>
        <w:t xml:space="preserve">1</w:t>
      </w:r>
      <w:r>
        <w:t xml:space="preserve">, Bede Ffinian Rowe Davies</w:t>
      </w:r>
      <w:r>
        <w:rPr>
          <w:vertAlign w:val="superscript"/>
        </w:rPr>
        <w:t xml:space="preserve">1</w:t>
      </w:r>
      <w:r>
        <w:t xml:space="preserve">, Philippe Rosa</w:t>
      </w:r>
      <w:r>
        <w:rPr>
          <w:vertAlign w:val="superscript"/>
        </w:rPr>
        <w:t xml:space="preserve">1</w:t>
      </w:r>
      <w:r>
        <w:t xml:space="preserve">, Augustin Debly</w:t>
      </w:r>
      <w:r>
        <w:rPr>
          <w:vertAlign w:val="superscript"/>
        </w:rPr>
        <w:t xml:space="preserve">1</w:t>
      </w:r>
      <w:r>
        <w:t xml:space="preserve">, Maria Laura Zoffoli</w:t>
      </w:r>
      <w:r>
        <w:rPr>
          <w:vertAlign w:val="superscript"/>
        </w:rPr>
        <w:t xml:space="preserve">2</w:t>
      </w:r>
      <w:r>
        <w:t xml:space="preserve">, Anne-Laure Barillé</w:t>
      </w:r>
      <w:r>
        <w:rPr>
          <w:vertAlign w:val="superscript"/>
        </w:rPr>
        <w:t xml:space="preserve">3</w:t>
      </w:r>
      <w:r>
        <w:t xml:space="preserve">, Nicolas Harin</w:t>
      </w:r>
      <w:r>
        <w:rPr>
          <w:vertAlign w:val="superscript"/>
        </w:rPr>
        <w:t xml:space="preserve">3</w:t>
      </w:r>
      <w:r>
        <w:t xml:space="preserve">, Pierre Gernez</w:t>
      </w:r>
      <w:r>
        <w:rPr>
          <w:vertAlign w:val="superscript"/>
        </w:rPr>
        <w:t xml:space="preserve">1</w:t>
      </w:r>
      <w:r>
        <w:t xml:space="preserve">, and Laurent Barillé</w:t>
      </w:r>
      <w:r>
        <w:rPr>
          <w:vertAlign w:val="superscript"/>
        </w:rPr>
        <w:t xml:space="preserve">1</w:t>
      </w:r>
    </w:p>
    <w:p>
      <w:pPr>
        <w:pStyle w:val="Author"/>
      </w:pPr>
      <w:r>
        <w:rPr>
          <w:vertAlign w:val="superscript"/>
        </w:rPr>
        <w:t xml:space="preserve">1</w:t>
      </w:r>
      <w:r>
        <w:t xml:space="preserve">Institut des Substances et Organismes de la Mer, ISOMer, Nantes Université, UR 2160, F-44000 Nantes, France</w:t>
      </w:r>
    </w:p>
    <w:p>
      <w:pPr>
        <w:pStyle w:val="Author"/>
      </w:pPr>
      <w:r>
        <w:rPr>
          <w:vertAlign w:val="superscript"/>
        </w:rPr>
        <w:t xml:space="preserve">2</w:t>
      </w:r>
      <w:r>
        <w:t xml:space="preserve">Consiglio Nazionale delle Ricerche, Istituto di Scienze Marine (CNR-ISMAR), 00133 Rome, Italy</w:t>
      </w:r>
    </w:p>
    <w:p>
      <w:pPr>
        <w:pStyle w:val="Author"/>
      </w:pPr>
      <w:r>
        <w:rPr>
          <w:vertAlign w:val="superscript"/>
        </w:rPr>
        <w:t xml:space="preserve">3</w:t>
      </w:r>
      <w:r>
        <w:t xml:space="preserve">Bio-littoral, Immeuble Le Nevada, 2 Rue du Château de l’Eraudière, 44300 Nantes, France</w:t>
      </w:r>
    </w:p>
    <w:bookmarkEnd w:id="20"/>
    <w:bookmarkStart w:id="21" w:name="author-note"/>
    <w:p>
      <w:pPr>
        <w:pStyle w:val="Heading1"/>
      </w:pPr>
      <w:r>
        <w:t xml:space="preserve">Author Note</w:t>
      </w:r>
    </w:p>
    <w:p>
      <w:r>
        <w:br w:type="page"/>
      </w:r>
    </w:p>
    <w:bookmarkEnd w:id="21"/>
    <w:bookmarkStart w:id="22" w:name="abstract"/>
    <w:p>
      <w:pPr>
        <w:pStyle w:val="Heading1"/>
      </w:pPr>
      <w:r>
        <w:t xml:space="preserve">Abstract</w:t>
      </w:r>
    </w:p>
    <w:p>
      <w:pPr>
        <w:pStyle w:val="AbstractFirstParagraph"/>
      </w:pPr>
      <w:r>
        <w:t xml:space="preserve">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Nanozostera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w:t>
      </w:r>
    </w:p>
    <w:p>
      <w:pPr>
        <w:pStyle w:val="BodyText"/>
      </w:pPr>
      <w:r>
        <w:rPr>
          <w:i/>
          <w:iCs/>
        </w:rPr>
        <w:t xml:space="preserve">Keywords</w:t>
      </w:r>
      <w:r>
        <w:t xml:space="preserve">: Remote Sensing, Pigment Composition, Seagrass, Coastal Ecosystems, Heatwaves</w:t>
      </w:r>
    </w:p>
    <w:p>
      <w:r>
        <w:br w:type="page"/>
      </w:r>
    </w:p>
    <w:bookmarkEnd w:id="22"/>
    <w:bookmarkStart w:id="23" w:name="firstheader"/>
    <w:p>
      <w:pPr>
        <w:pStyle w:val="Heading1"/>
      </w:pPr>
      <w:r>
        <w:t xml:space="preserve">Effect of Marine and Atmospheric Heatwaves on Reflectance and Pigment Composition of Intertidal</w:t>
      </w:r>
      <w:r>
        <w:t xml:space="preserve"> </w:t>
      </w:r>
      <w:r>
        <w:rPr>
          <w:i/>
          <w:iCs/>
        </w:rPr>
        <w:t xml:space="preserve">Nanozostera noltei</w:t>
      </w:r>
    </w:p>
    <w:bookmarkEnd w:id="23"/>
    <w:bookmarkStart w:id="24"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w:t>
      </w:r>
      <w:hyperlink w:anchor="ref-sousa2019blue">
        <w:r>
          <w:rPr>
            <w:rStyle w:val="Hyperlink"/>
          </w:rPr>
          <w:t xml:space="preserve">Sousa et al., 2019</w:t>
        </w:r>
      </w:hyperlink>
      <w:r>
        <w:t xml:space="preserve">;</w:t>
      </w:r>
      <w:r>
        <w:t xml:space="preserve"> </w:t>
      </w:r>
      <w:hyperlink w:anchor="ref-unsworth2022planetary">
        <w:r>
          <w:rPr>
            <w:rStyle w:val="Hyperlink"/>
          </w:rPr>
          <w:t xml:space="preserve">Unsworth et al., 2022</w:t>
        </w:r>
      </w:hyperlink>
      <w:r>
        <w:t xml:space="preserve">)</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w:t>
      </w:r>
      <w:hyperlink w:anchor="ref-zoffoli2021decadal">
        <w:r>
          <w:rPr>
            <w:rStyle w:val="Hyperlink"/>
          </w:rPr>
          <w:t xml:space="preserve">Zoffoli et al., 2021</w:t>
        </w:r>
      </w:hyperlink>
      <w:r>
        <w:t xml:space="preserve">)</w:t>
      </w:r>
      <w:r>
        <w:t xml:space="preserve">. The interactions between seagrass meadows and their associated herbivores further enhance the delivery of ecosystem services, including coastal protection and fisheries support</w:t>
      </w:r>
      <w:r>
        <w:t xml:space="preserve"> </w:t>
      </w:r>
      <w:r>
        <w:t xml:space="preserve">(</w:t>
      </w:r>
      <w:hyperlink w:anchor="ref-gardner2018global">
        <w:r>
          <w:rPr>
            <w:rStyle w:val="Hyperlink"/>
          </w:rPr>
          <w:t xml:space="preserve">Gardner and Finlayson, 2018</w:t>
        </w:r>
      </w:hyperlink>
      <w:r>
        <w:t xml:space="preserve">;</w:t>
      </w:r>
      <w:r>
        <w:t xml:space="preserve"> </w:t>
      </w:r>
      <w:hyperlink w:anchor="ref-jankowska2019stabilizing">
        <w:r>
          <w:rPr>
            <w:rStyle w:val="Hyperlink"/>
          </w:rPr>
          <w:t xml:space="preserve">Jankowska et al., 2019</w:t>
        </w:r>
      </w:hyperlink>
      <w:r>
        <w:t xml:space="preserve">;</w:t>
      </w:r>
      <w:r>
        <w:t xml:space="preserve"> </w:t>
      </w:r>
      <w:hyperlink w:anchor="ref-zoffoli2023remote">
        <w:r>
          <w:rPr>
            <w:rStyle w:val="Hyperlink"/>
          </w:rPr>
          <w:t xml:space="preserve">Zoffoli et al., 2023</w:t>
        </w:r>
      </w:hyperlink>
      <w:r>
        <w:t xml:space="preserve">)</w:t>
      </w:r>
      <w:r>
        <w:t xml:space="preserve">. Understanding and preserving these ecosystems are vital for maintaining the biodiversity and productivity of coastal regions</w:t>
      </w:r>
      <w:r>
        <w:t xml:space="preserve"> </w:t>
      </w:r>
      <w:r>
        <w:t xml:space="preserve">(</w:t>
      </w:r>
      <w:hyperlink w:anchor="ref-ramesh2020seagrass">
        <w:r>
          <w:rPr>
            <w:rStyle w:val="Hyperlink"/>
          </w:rPr>
          <w:t xml:space="preserve">Ramesh and Mohanraju, 2020</w:t>
        </w:r>
      </w:hyperlink>
      <w:r>
        <w:t xml:space="preserve">;</w:t>
      </w:r>
      <w:r>
        <w:t xml:space="preserve"> </w:t>
      </w:r>
      <w:hyperlink w:anchor="ref-scott2018role">
        <w:r>
          <w:rPr>
            <w:rStyle w:val="Hyperlink"/>
          </w:rPr>
          <w:t xml:space="preserve">Scott et al., 2018</w:t>
        </w:r>
      </w:hyperlink>
      <w:r>
        <w:t xml:space="preserve">)</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These activities not only reduce the available habitat for seagrasses but also increase water turbidity, which limits light penetration and hampers photosynthesis</w:t>
      </w:r>
      <w:r>
        <w:t xml:space="preserve"> </w:t>
      </w:r>
      <w:r>
        <w:t xml:space="preserve">(</w:t>
      </w:r>
      <w:hyperlink w:anchor="ref-waycott2009accelerating">
        <w:r>
          <w:rPr>
            <w:rStyle w:val="Hyperlink"/>
          </w:rPr>
          <w:t xml:space="preserve">Waycott et al., 2009</w:t>
        </w:r>
      </w:hyperlink>
      <w:r>
        <w:t xml:space="preserve">)</w:t>
      </w:r>
      <w:r>
        <w:t xml:space="preserve">. Seagrasses are also threatened by nutrient enrichment from agricultural and urban runoff, which can lead to eutrophication. This condition promotes the overgrowth of algal blooms that compete with seagrasses for light and nutrients, further stressing these important plants</w:t>
      </w:r>
      <w:r>
        <w:t xml:space="preserve"> </w:t>
      </w:r>
      <w:r>
        <w:t xml:space="preserve">(</w:t>
      </w:r>
      <w:hyperlink w:anchor="ref-thomsen2023meadow">
        <w:r>
          <w:rPr>
            <w:rStyle w:val="Hyperlink"/>
          </w:rPr>
          <w:t xml:space="preserve">Thomsen et al., 2023</w:t>
        </w:r>
      </w:hyperlink>
      <w:r>
        <w:t xml:space="preserve">)</w:t>
      </w:r>
      <w:r>
        <w:t xml:space="preserve"> </w:t>
      </w:r>
      <w:r>
        <w:t xml:space="preserve">(Oiry et al. 2024). Pollution from industrial and agricultural fields sources introduces harmful chemicals and heavy metals into coastal waters, posing toxic risks to seagrass health. These pollutants can affect the physiological processes of seagrasses, reducing their growth and survival rates</w:t>
      </w:r>
      <w:r>
        <w:t xml:space="preserve"> </w:t>
      </w:r>
      <w:r>
        <w:t xml:space="preserve">(</w:t>
      </w:r>
      <w:hyperlink w:anchor="ref-sevgi2022bitkilerde">
        <w:r>
          <w:rPr>
            <w:rStyle w:val="Hyperlink"/>
          </w:rPr>
          <w:t xml:space="preserve">Sevgi and Leblebici, 2022</w:t>
        </w:r>
      </w:hyperlink>
      <w:r>
        <w:t xml:space="preserve">)</w:t>
      </w:r>
      <w:r>
        <w:t xml:space="preserve"> </w:t>
      </w:r>
      <w:r>
        <w:t xml:space="preserve">Additionally, invasive species can out compete native seagrasses for resources, altering community structure and function</w:t>
      </w:r>
      <w:r>
        <w:t xml:space="preserve"> </w:t>
      </w:r>
      <w:r>
        <w:t xml:space="preserve">(</w:t>
      </w:r>
      <w:hyperlink w:anchor="ref-simpson2016distribution">
        <w:r>
          <w:rPr>
            <w:rStyle w:val="Hyperlink"/>
          </w:rPr>
          <w:t xml:space="preserve">Simpson et al., 2016</w:t>
        </w:r>
      </w:hyperlink>
      <w:r>
        <w:t xml:space="preserve">)</w:t>
      </w:r>
      <w:r>
        <w:t xml:space="preserve">.</w:t>
      </w:r>
    </w:p>
    <w:p>
      <w:pPr>
        <w:pStyle w:val="BodyText"/>
      </w:pPr>
      <w:r>
        <w:t xml:space="preserve">Heatwaves, exacerbated by climate change, pose a growing threat to seagrasses. Marine Heatwaves (MHW), defined by</w:t>
      </w:r>
      <w:r>
        <w:t xml:space="preserve"> </w:t>
      </w:r>
      <w:r>
        <w:t xml:space="preserve">Hobday et al. (</w:t>
      </w:r>
      <w:hyperlink w:anchor="ref-hobday2016hierarchical">
        <w:r>
          <w:rPr>
            <w:rStyle w:val="Hyperlink"/>
          </w:rPr>
          <w:t xml:space="preserve">2016</w:t>
        </w:r>
      </w:hyperlink>
      <w:r>
        <w:t xml:space="preserve">)</w:t>
      </w:r>
      <w:r>
        <w:t xml:space="preserve"> </w:t>
      </w:r>
      <w:r>
        <w:t xml:space="preserve">as prolonged discrete anomalously warm water events, and Atmospheric Heatwaves (AHW), defined by</w:t>
      </w:r>
      <w:r>
        <w:t xml:space="preserve"> </w:t>
      </w:r>
      <w:r>
        <w:t xml:space="preserve">Perkins and Alexander (</w:t>
      </w:r>
      <w:hyperlink w:anchor="ref-perkins2013measurement">
        <w:r>
          <w:rPr>
            <w:rStyle w:val="Hyperlink"/>
          </w:rPr>
          <w:t xml:space="preserve">2013</w:t>
        </w:r>
      </w:hyperlink>
      <w:r>
        <w:t xml:space="preserve">)</w:t>
      </w:r>
      <w:r>
        <w:t xml:space="preserve"> </w:t>
      </w:r>
      <w:r>
        <w:t xml:space="preserve">as periods of at least three consecutive days with temperatures exceeding the 90th percentile, cause severe physiological stress on seagrasses</w:t>
      </w:r>
      <w:r>
        <w:t xml:space="preserve"> </w:t>
      </w:r>
      <w:r>
        <w:t xml:space="preserve">(</w:t>
      </w:r>
      <w:hyperlink w:anchor="ref-deguette2022physiological">
        <w:r>
          <w:rPr>
            <w:rStyle w:val="Hyperlink"/>
          </w:rPr>
          <w:t xml:space="preserve">Deguette et al., 2022</w:t>
        </w:r>
      </w:hyperlink>
      <w:r>
        <w:t xml:space="preserve">;</w:t>
      </w:r>
      <w:r>
        <w:t xml:space="preserve"> </w:t>
      </w:r>
      <w:hyperlink w:anchor="ref-sawall2021chronically">
        <w:r>
          <w:rPr>
            <w:rStyle w:val="Hyperlink"/>
          </w:rPr>
          <w:t xml:space="preserve">Sawall et al., 2021</w:t>
        </w:r>
      </w:hyperlink>
      <w:r>
        <w:t xml:space="preserve">)</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w:t>
      </w:r>
      <w:hyperlink w:anchor="ref-sawall2021chronically">
        <w:r>
          <w:rPr>
            <w:rStyle w:val="Hyperlink"/>
          </w:rPr>
          <w:t xml:space="preserve">Sawall et al., 2021</w:t>
        </w:r>
      </w:hyperlink>
      <w:r>
        <w:t xml:space="preserve">)</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w:t>
      </w:r>
      <w:hyperlink w:anchor="ref-deguette2022physiological">
        <w:r>
          <w:rPr>
            <w:rStyle w:val="Hyperlink"/>
          </w:rPr>
          <w:t xml:space="preserve">Deguette et al., 2022</w:t>
        </w:r>
      </w:hyperlink>
      <w:r>
        <w:t xml:space="preserve">)</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t>
      </w:r>
      <w:hyperlink w:anchor="ref-winters2011effects">
        <w:r>
          <w:rPr>
            <w:rStyle w:val="Hyperlink"/>
          </w:rPr>
          <w:t xml:space="preserve">Winters et al., 2011</w:t>
        </w:r>
      </w:hyperlink>
      <w:r>
        <w:t xml:space="preserve">)</w:t>
      </w:r>
      <w:r>
        <w:t xml:space="preserve">. These events intensify other stressors, such as overgrazing and seed burial, compromising sexual recruitment</w:t>
      </w:r>
      <w:r>
        <w:t xml:space="preserve"> </w:t>
      </w:r>
      <w:r>
        <w:t xml:space="preserve">(</w:t>
      </w:r>
      <w:hyperlink w:anchor="ref-guerrero2020heat">
        <w:r>
          <w:rPr>
            <w:rStyle w:val="Hyperlink"/>
          </w:rPr>
          <w:t xml:space="preserve">Guerrero-Meseguer et al., 2020</w:t>
        </w:r>
      </w:hyperlink>
      <w:r>
        <w:t xml:space="preserve">)</w:t>
      </w:r>
      <w:r>
        <w:t xml:space="preserve">.</w:t>
      </w:r>
    </w:p>
    <w:p>
      <w:pPr>
        <w:pStyle w:val="BodyText"/>
      </w:pPr>
      <w:r>
        <w:t xml:space="preserve">Remote sensing is increasingly being used to monitor marine ecosystems, including seagrass meadows. Spectral indices such as the Normalized Difference Vegetation Index (NDVI) and the Soil-Adjusted Vegetation Index (SAVI) are effective for quantifying vegetation health over time</w:t>
      </w:r>
      <w:r>
        <w:t xml:space="preserve"> </w:t>
      </w:r>
      <w:r>
        <w:t xml:space="preserve">(</w:t>
      </w:r>
      <w:hyperlink w:anchor="ref-akbar2020mangrove">
        <w:r>
          <w:rPr>
            <w:rStyle w:val="Hyperlink"/>
          </w:rPr>
          <w:t xml:space="preserve">Akbar et al., 2020</w:t>
        </w:r>
      </w:hyperlink>
      <w:r>
        <w:t xml:space="preserve">;</w:t>
      </w:r>
      <w:r>
        <w:t xml:space="preserve"> </w:t>
      </w:r>
      <w:hyperlink w:anchor="ref-carlan2020identifying">
        <w:r>
          <w:rPr>
            <w:rStyle w:val="Hyperlink"/>
          </w:rPr>
          <w:t xml:space="preserve">Cârlan et al., 2020</w:t>
        </w:r>
      </w:hyperlink>
      <w:r>
        <w:t xml:space="preserve">;</w:t>
      </w:r>
      <w:r>
        <w:t xml:space="preserve"> </w:t>
      </w:r>
      <w:hyperlink w:anchor="ref-huete2012vegetation">
        <w:r>
          <w:rPr>
            <w:rStyle w:val="Hyperlink"/>
          </w:rPr>
          <w:t xml:space="preserve">Huete, 2012</w:t>
        </w:r>
      </w:hyperlink>
      <w:r>
        <w:t xml:space="preserve">;</w:t>
      </w:r>
      <w:r>
        <w:t xml:space="preserve"> </w:t>
      </w:r>
      <w:hyperlink w:anchor="ref-kloos2021agricultural">
        <w:r>
          <w:rPr>
            <w:rStyle w:val="Hyperlink"/>
          </w:rPr>
          <w:t xml:space="preserve">Kloos et al., 2021</w:t>
        </w:r>
      </w:hyperlink>
      <w:r>
        <w:t xml:space="preserve">)</w:t>
      </w:r>
      <w:r>
        <w:t xml:space="preserve">. By analyzing specific spectral patterns, remote sensing can track changes in seagrass meadows with high temporal and spatial resolution. Europe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w:t>
      </w:r>
      <w:hyperlink w:anchor="ref-papathanasopoulou2019satellite">
        <w:r>
          <w:rPr>
            <w:rStyle w:val="Hyperlink"/>
          </w:rPr>
          <w:t xml:space="preserve">Papathanasopoulou et al., 2019</w:t>
        </w:r>
      </w:hyperlink>
      <w:r>
        <w:t xml:space="preserve">)</w:t>
      </w:r>
      <w:r>
        <w:t xml:space="preserve">.</w:t>
      </w:r>
    </w:p>
    <w:p>
      <w:pPr>
        <w:pStyle w:val="BodyText"/>
      </w:pPr>
      <w:r>
        <w:t xml:space="preserve">This study aims to experimentally test the hypothesis that warm events, such as atmospheric heatwaves, alter the pigment composition and reflectance of the intertidal seagrass Nanozostera noltei. By linking these changes with satellite remote sensing data, the study seeks to provide insights into how heatwaves affect seagrass meadows and to assess the potential of remote sensing in monitoring these impacts</w:t>
      </w:r>
    </w:p>
    <w:bookmarkEnd w:id="24"/>
    <w:bookmarkStart w:id="66" w:name="material-methods"/>
    <w:p>
      <w:pPr>
        <w:pStyle w:val="Heading1"/>
      </w:pPr>
      <w:r>
        <w:t xml:space="preserve">2. Material &amp; Methods</w:t>
      </w:r>
    </w:p>
    <w:bookmarkStart w:id="49" w:name="laboratory-experiment"/>
    <w:p>
      <w:pPr>
        <w:pStyle w:val="Heading2"/>
      </w:pPr>
      <w:r>
        <w:t xml:space="preserve">2.1 Laboratory Experiment</w:t>
      </w:r>
    </w:p>
    <w:bookmarkStart w:id="30" w:name="sampling-and-acclimation-of-seagrasses"/>
    <w:p>
      <w:pPr>
        <w:pStyle w:val="Heading3"/>
      </w:pPr>
      <w:r>
        <w:t xml:space="preserve">2.1.1 Sampling and acclimation of seagrasses</w:t>
      </w:r>
    </w:p>
    <w:p>
      <w:pPr>
        <w:pStyle w:val="FirstParagraph"/>
      </w:pPr>
      <w:r>
        <w:t xml:space="preserve">Seagrass was sampled from a</w:t>
      </w:r>
      <w:r>
        <w:t xml:space="preserve"> </w:t>
      </w:r>
      <w:r>
        <w:rPr>
          <w:i/>
          <w:iCs/>
        </w:rPr>
        <w:t xml:space="preserve">Nanozostera noltei</w:t>
      </w:r>
      <w:r>
        <w:t xml:space="preserve"> </w:t>
      </w:r>
      <w:r>
        <w:t xml:space="preserve">(dwarf eelgrass, syn.</w:t>
      </w:r>
      <w:r>
        <w:t xml:space="preserve"> </w:t>
      </w:r>
      <w:r>
        <w:rPr>
          <w:i/>
          <w:iCs/>
        </w:rPr>
        <w:t xml:space="preserve">Zostera noltei</w:t>
      </w:r>
      <w:r>
        <w:t xml:space="preserve">) meadow on Noirmoutier Island, France (46°57’32.0”N, 2°10’37.0”W) at low tide in June 2024. A home-made inox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allowed to limitate sampling variability between replicates. The entire system, including seagrass, sediment, meiofauna, and macrofauna, was placed in plastic trays together. Keeping the entire mesocosm allowed for the natural interactions between components to be maintained and reduced stress on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w:t>
      </w:r>
      <w:r>
        <w:t xml:space="preserve"> </w:t>
      </w:r>
      <w:r>
        <w:t xml:space="preserve">(</w:t>
      </w:r>
      <w:hyperlink w:anchor="ref-akbar2020mangrove">
        <w:r>
          <w:rPr>
            <w:rStyle w:val="Hyperlink"/>
          </w:rPr>
          <w:t xml:space="preserve">Akbar et al., 2020</w:t>
        </w:r>
      </w:hyperlink>
      <w:r>
        <w:t xml:space="preserve">)</w:t>
      </w:r>
      <w:r>
        <w:t xml:space="preserve">. A wave generator was used in the tank to circulate and reoxygenate the water.</w:t>
      </w:r>
    </w:p>
    <w:bookmarkStart w:id="29" w:name="cell-fig-design"/>
    <w:bookmarkStart w:id="28" w:name="fig-design"/>
    <w:p>
      <w:pPr>
        <w:pStyle w:val="FigureTitle"/>
      </w:pPr>
      <w:r>
        <w:t xml:space="preserve">Figure 1</w:t>
      </w:r>
    </w:p>
    <w:p>
      <w:pPr>
        <w:pStyle w:val="Caption"/>
      </w:pPr>
      <w:r>
        <w:t xml:space="preserve">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p>
      <w:pPr>
        <w:pStyle w:val="FigureWithoutNote"/>
      </w:pPr>
      <w:r>
        <w:drawing>
          <wp:inline>
            <wp:extent cx="5943600" cy="5846341"/>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943600" cy="5846341"/>
                    </a:xfrm>
                    <a:prstGeom prst="rect">
                      <a:avLst/>
                    </a:prstGeom>
                    <a:noFill/>
                    <a:ln w="9525">
                      <a:noFill/>
                      <a:headEnd/>
                      <a:tailEnd/>
                    </a:ln>
                  </pic:spPr>
                </pic:pic>
              </a:graphicData>
            </a:graphic>
          </wp:inline>
        </w:drawing>
      </w:r>
    </w:p>
    <w:bookmarkEnd w:id="28"/>
    <w:bookmarkEnd w:id="29"/>
    <w:bookmarkEnd w:id="30"/>
    <w:bookmarkStart w:id="42" w:name="experimental-design"/>
    <w:p>
      <w:pPr>
        <w:pStyle w:val="Heading3"/>
      </w:pPr>
      <w:r>
        <w:t xml:space="preserve">2.1.2 Experimental design</w:t>
      </w:r>
    </w:p>
    <w:p>
      <w:pPr>
        <w:pStyle w:val="FirstParagraph"/>
      </w:pPr>
      <w:r>
        <w:t xml:space="preserve">Two intertidal chambers from</w:t>
      </w:r>
      <w:r>
        <w:t xml:space="preserve"> </w:t>
      </w:r>
      <w:hyperlink r:id="rId31">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One chamber served as the control, while the other was used for the experimental treatment.</w:t>
      </w:r>
    </w:p>
    <w:bookmarkStart w:id="36" w:name="cell-fig-Temperature_Bourgneuf"/>
    <w:bookmarkStart w:id="35" w:name="fig-Temperature_Bourgneuf"/>
    <w:p>
      <w:pPr>
        <w:pStyle w:val="FigureTitle"/>
      </w:pPr>
      <w:r>
        <w:t xml:space="preserve">Figure 2</w:t>
      </w:r>
    </w:p>
    <w:p>
      <w:pPr>
        <w:pStyle w:val="Caption"/>
      </w:pPr>
      <w:r>
        <w:t xml:space="preserve">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FigureWithoutNote"/>
      </w:pPr>
      <w:r>
        <w:drawing>
          <wp:inline>
            <wp:extent cx="4754880" cy="4754880"/>
            <wp:effectExtent b="0" l="0" r="0" t="0"/>
            <wp:docPr descr="" title="" id="33" name="Picture"/>
            <a:graphic>
              <a:graphicData uri="http://schemas.openxmlformats.org/drawingml/2006/picture">
                <pic:pic>
                  <pic:nvPicPr>
                    <pic:cNvPr descr="Figs/High_res/Temperature_compare.png" id="34" name="Picture"/>
                    <pic:cNvPicPr>
                      <a:picLocks noChangeArrowheads="1" noChangeAspect="1"/>
                    </pic:cNvPicPr>
                  </pic:nvPicPr>
                  <pic:blipFill>
                    <a:blip r:embed="rId32"/>
                    <a:stretch>
                      <a:fillRect/>
                    </a:stretch>
                  </pic:blipFill>
                  <pic:spPr bwMode="auto">
                    <a:xfrm>
                      <a:off x="0" y="0"/>
                      <a:ext cx="4754880" cy="4754880"/>
                    </a:xfrm>
                    <a:prstGeom prst="rect">
                      <a:avLst/>
                    </a:prstGeom>
                    <a:noFill/>
                    <a:ln w="9525">
                      <a:noFill/>
                      <a:headEnd/>
                      <a:tailEnd/>
                    </a:ln>
                  </pic:spPr>
                </pic:pic>
              </a:graphicData>
            </a:graphic>
          </wp:inline>
        </w:drawing>
      </w:r>
    </w:p>
    <w:bookmarkEnd w:id="35"/>
    <w:bookmarkEnd w:id="36"/>
    <w:p>
      <w:pPr>
        <w:pStyle w:val="AfterWithoutNote"/>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w:t>
      </w:r>
      <w:hyperlink w:anchor="fig-Temperature_Bourgneuf">
        <w:r>
          <w:rPr>
            <w:rStyle w:val="Hyperlink"/>
          </w:rPr>
          <w:t xml:space="preserve">Figure 2</w:t>
        </w:r>
      </w:hyperlink>
      <w:r>
        <w:t xml:space="preserve">). 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BodyText"/>
      </w:pPr>
      <w:r>
        <w:t xml:space="preserve">The control chamber was kept at temperatures representing typical seasonal conditions, with water temperatures ranging from 18°C to 19°C and air temperatures from 18°C to 23°C, following natural circadian temperature fluctuations (</w:t>
      </w:r>
      <w:hyperlink w:anchor="fig-Profile">
        <w:r>
          <w:rPr>
            <w:rStyle w:val="Hyperlink"/>
          </w:rPr>
          <w:t xml:space="preserve">Figure 3</w:t>
        </w:r>
      </w:hyperlink>
      <w:r>
        <w:t xml:space="preserve"> </w:t>
      </w:r>
      <w:r>
        <w:t xml:space="preserve">left).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setup aimed to replicate the thermal stress experienced by the seagrass meadow during the actual heatwave event (</w:t>
      </w:r>
      <w:hyperlink w:anchor="fig-Profile">
        <w:r>
          <w:rPr>
            <w:rStyle w:val="Hyperlink"/>
          </w:rPr>
          <w:t xml:space="preserve">Figure 3</w:t>
        </w:r>
      </w:hyperlink>
      <w:r>
        <w:t xml:space="preserve"> </w:t>
      </w:r>
      <w:r>
        <w:t xml:space="preserve">right). The experiment concluded only when no changes in the reflectance of the treatment were observed for two consecutive days.</w:t>
      </w:r>
    </w:p>
    <w:bookmarkStart w:id="41" w:name="cell-fig-Profile"/>
    <w:bookmarkStart w:id="40" w:name="fig-Profile"/>
    <w:p>
      <w:pPr>
        <w:pStyle w:val="FigureTitle"/>
      </w:pPr>
      <w:r>
        <w:t xml:space="preserve">Figure 3</w:t>
      </w:r>
    </w:p>
    <w:p>
      <w:pPr>
        <w:pStyle w:val="Caption"/>
      </w:pPr>
      <w:r>
        <w:t xml:space="preserve">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p>
      <w:pPr>
        <w:pStyle w:val="FigureWithoutNote"/>
      </w:pPr>
      <w:r>
        <w:drawing>
          <wp:inline>
            <wp:extent cx="5943600" cy="2718555"/>
            <wp:effectExtent b="0" l="0" r="0" t="0"/>
            <wp:docPr descr="" title="" id="38" name="Picture"/>
            <a:graphic>
              <a:graphicData uri="http://schemas.openxmlformats.org/drawingml/2006/picture">
                <pic:pic>
                  <pic:nvPicPr>
                    <pic:cNvPr descr="Figs/Low_res/Chamber_Profils.png" id="39" name="Picture"/>
                    <pic:cNvPicPr>
                      <a:picLocks noChangeArrowheads="1" noChangeAspect="1"/>
                    </pic:cNvPicPr>
                  </pic:nvPicPr>
                  <pic:blipFill>
                    <a:blip r:embed="rId37"/>
                    <a:stretch>
                      <a:fillRect/>
                    </a:stretch>
                  </pic:blipFill>
                  <pic:spPr bwMode="auto">
                    <a:xfrm>
                      <a:off x="0" y="0"/>
                      <a:ext cx="5943600" cy="2718555"/>
                    </a:xfrm>
                    <a:prstGeom prst="rect">
                      <a:avLst/>
                    </a:prstGeom>
                    <a:noFill/>
                    <a:ln w="9525">
                      <a:noFill/>
                      <a:headEnd/>
                      <a:tailEnd/>
                    </a:ln>
                  </pic:spPr>
                </pic:pic>
              </a:graphicData>
            </a:graphic>
          </wp:inline>
        </w:drawing>
      </w:r>
    </w:p>
    <w:bookmarkEnd w:id="40"/>
    <w:bookmarkEnd w:id="41"/>
    <w:bookmarkEnd w:id="42"/>
    <w:bookmarkStart w:id="48" w:name="Xace924ada36ed3f851fe125e1fb1311c1764a5d"/>
    <w:p>
      <w:pPr>
        <w:pStyle w:val="Heading3"/>
      </w:pPr>
      <w:r>
        <w:t xml:space="preserve">2.1.3 Bio-optical measurmenents over seagrass leaves</w:t>
      </w:r>
    </w:p>
    <w:p>
      <w:pPr>
        <w:pStyle w:val="Heading4"/>
        <w:rPr>
          <w:vanish/>
          <w:specVanish/>
        </w:rPr>
      </w:pPr>
      <w:r>
        <w:t>Hyperspectral measurements.</w:t>
      </w:r>
      <w:r>
        <w:t xml:space="preserve"> </w:t>
      </w:r>
    </w:p>
    <w:p>
      <w:pPr>
        <w:pStyle w:val="FirstParagraph"/>
      </w:pPr>
      <w:r>
        <w:t xml:space="preserve">Throughout the experiment, hyperspectral signatures of both the control and treatment seagrasses were taken using an ASD HandHeld 2 equipped with a fiber optic, allowing measurements to be taken directly inside the chamber without opening it. Automatic spectra acquisition has been done using the</w:t>
      </w:r>
      <w:r>
        <w:t xml:space="preserve"> </w:t>
      </w:r>
      <w:hyperlink r:id="rId43">
        <w:r>
          <w:rPr>
            <w:rStyle w:val="Hyperlink"/>
          </w:rPr>
          <w:t xml:space="preserve">RS3 softaware</w:t>
        </w:r>
      </w:hyperlink>
      <w:r>
        <w:t xml:space="preserve"> </w:t>
      </w:r>
      <w:r>
        <w:t xml:space="preserve">developed by the instrument manufacturer. An average of five reflectance spectrum (</w:t>
      </w:r>
      <m:oMath>
        <m:r>
          <m:t>R</m:t>
        </m:r>
        <m:d>
          <m:dPr>
            <m:begChr m:val="("/>
            <m:endChr m:val=")"/>
            <m:sepChr m:val=""/>
            <m:grow/>
          </m:dPr>
          <m:e>
            <m:r>
              <m:t>λ</m:t>
            </m:r>
          </m:e>
        </m:d>
      </m:oMath>
      <w:r>
        <w:t xml:space="preserve">), each with an integration time of 544 ms, was taken every minute. Every 10 minutes, the fiber optic was switched from one benthic chamber to the other, in order to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pPr>
        <w:pStyle w:val="BodyText"/>
      </w:pPr>
      <w:r>
        <w:t xml:space="preserve">The second derivative of</w:t>
      </w:r>
      <w:r>
        <w:t xml:space="preserve"> </w:t>
      </w:r>
      <m:oMath>
        <m:r>
          <m:t>R</m:t>
        </m:r>
      </m:oMath>
      <w:r>
        <w:t xml:space="preserve"> </w:t>
      </w:r>
      <w:r>
        <w:t xml:space="preserve">was calculated to retrieve absorption features and compare their variability over time. Two radiometric indices were also monitored throughout the experiment :</w:t>
      </w:r>
    </w:p>
    <w:p>
      <w:pPr>
        <w:pStyle w:val="Compact"/>
        <w:numPr>
          <w:ilvl w:val="0"/>
          <w:numId w:val="1001"/>
        </w:numPr>
      </w:pPr>
      <w:r>
        <w:t xml:space="preserve">The Normalized Difference Vegetation Index (NDVI,</w:t>
      </w:r>
      <w:r>
        <w:t xml:space="preserve"> </w:t>
      </w:r>
      <w:r>
        <w:t xml:space="preserve">Rouse et al. (</w:t>
      </w:r>
      <w:hyperlink w:anchor="ref-rouse1974monitoring">
        <w:r>
          <w:rPr>
            <w:rStyle w:val="Hyperlink"/>
          </w:rPr>
          <w:t xml:space="preserve">1974</w:t>
        </w:r>
      </w:hyperlink>
      <w:r>
        <w:t xml:space="preserve">)</w:t>
      </w:r>
      <w:r>
        <w:t xml:space="preserve">), as a proxy of the concentration of chlorophyll-a (</w:t>
      </w:r>
      <w:hyperlink w:anchor="eq-ndvi">
        <w:r>
          <w:rPr>
            <w:rStyle w:val="Hyperlink"/>
          </w:rPr>
          <w:t xml:space="preserve">Equation 1</w:t>
        </w:r>
      </w:hyperlink>
      <w:r>
        <w:t xml:space="preserve">)</w:t>
      </w:r>
    </w:p>
    <w:p>
      <w:pPr>
        <w:pStyle w:val="FirstParagraph"/>
      </w:pPr>
      <w:bookmarkStart w:id="44"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44"/>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Seagrass Percent Covers, developed by</w:t>
      </w:r>
      <w:r>
        <w:t xml:space="preserve"> </w:t>
      </w:r>
      <w:r>
        <w:t xml:space="preserve">Zoffoli et al. (</w:t>
      </w:r>
      <w:hyperlink w:anchor="ref-zoffoli2020sentinel">
        <w:r>
          <w:rPr>
            <w:rStyle w:val="Hyperlink"/>
          </w:rPr>
          <w:t xml:space="preserve">2020</w:t>
        </w:r>
      </w:hyperlink>
      <w:r>
        <w:t xml:space="preserve">)</w:t>
      </w:r>
      <w:r>
        <w:t xml:space="preserve">, used to assess proportion of seagrass inside of a pixel (</w:t>
      </w:r>
      <w:hyperlink w:anchor="eq-spc">
        <w:r>
          <w:rPr>
            <w:rStyle w:val="Hyperlink"/>
          </w:rPr>
          <w:t xml:space="preserve">Equation 2</w:t>
        </w:r>
      </w:hyperlink>
      <w:r>
        <w:t xml:space="preserve">):</w:t>
      </w:r>
    </w:p>
    <w:p>
      <w:pPr>
        <w:pStyle w:val="FirstParagraph"/>
      </w:pPr>
      <w:bookmarkStart w:id="45"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2</m:t>
              </m:r>
            </m:e>
          </m:d>
        </m:oMath>
      </m:oMathPara>
      <w:bookmarkEnd w:id="45"/>
    </w:p>
    <w:p>
      <w:pPr>
        <w:pStyle w:val="Compact"/>
        <w:numPr>
          <w:ilvl w:val="0"/>
          <w:numId w:val="1003"/>
        </w:numPr>
      </w:pPr>
      <w:r>
        <w:t xml:space="preserve">The Green Leaf Index (GLI,</w:t>
      </w:r>
      <w:r>
        <w:t xml:space="preserve"> </w:t>
      </w:r>
      <w:r>
        <w:t xml:space="preserve">Louhaichi et al. (</w:t>
      </w:r>
      <w:hyperlink w:anchor="ref-louhaichi2001spatially">
        <w:r>
          <w:rPr>
            <w:rStyle w:val="Hyperlink"/>
          </w:rPr>
          <w:t xml:space="preserve">2001</w:t>
        </w:r>
      </w:hyperlink>
      <w:r>
        <w:t xml:space="preserve">)</w:t>
      </w:r>
      <w:r>
        <w:t xml:space="preserve">), as a measurement of the greenness of seagrass leafs (</w:t>
      </w:r>
      <w:hyperlink w:anchor="eq-gli">
        <w:r>
          <w:rPr>
            <w:rStyle w:val="Hyperlink"/>
          </w:rPr>
          <w:t xml:space="preserve">Equation 3</w:t>
        </w:r>
      </w:hyperlink>
      <w:r>
        <w:t xml:space="preserve">)</w:t>
      </w:r>
    </w:p>
    <w:p>
      <w:pPr>
        <w:pStyle w:val="FirstParagraph"/>
      </w:pPr>
      <w:bookmarkStart w:id="46"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3</m:t>
              </m:r>
            </m:e>
          </m:d>
        </m:oMath>
      </m:oMathPara>
      <w:bookmarkEnd w:id="46"/>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Heading4"/>
        <w:rPr>
          <w:vanish/>
          <w:specVanish/>
        </w:rPr>
      </w:pPr>
      <w:r>
        <w:t>WILL BE REMOVED - Multispectral imagery measurement.</w:t>
      </w:r>
      <w:r>
        <w:t xml:space="preserve"> </w:t>
      </w:r>
    </w:p>
    <w:p>
      <w:pPr>
        <w:pStyle w:val="BlockText"/>
      </w:pPr>
      <w:r>
        <w:t xml:space="preserve">Parallel to hyperspectral measurements, multispectral images were taken at the beginning and end of each diurnal low tide (09:00 am and 03:00 pm). A Micasense RedEdge-MX Dual multispectral camera, originally designed to be mounted on a drone, was modified for use without a drone. A 3D-printed mount was designed to attach the camera to the intertidal chamber and ensure that each picture was captured under the same conditions. At each time step (09:00 am and 03:00 pm), a first picture of the Spectralon was taken to allow for image correction in reflectance, followed by a second picture of the target.</w:t>
      </w:r>
      <w:r>
        <w:t xml:space="preserve"> </w:t>
      </w:r>
      <w:hyperlink r:id="rId47">
        <w:r>
          <w:rPr>
            <w:rStyle w:val="Hyperlink"/>
          </w:rPr>
          <w:t xml:space="preserve">DISCOV</w:t>
        </w:r>
      </w:hyperlink>
      <w:r>
        <w:t xml:space="preserve">, a Neural Network classification model previously developed to map intertidal vegetation using drone imagery, has been applied to each image taken inside the intertidal chambers. To understand the behavior of the model on seagrasses affected by heatwaves, classification images from before and after the heatwave have been compared.</w:t>
      </w:r>
    </w:p>
    <w:p>
      <w:pPr>
        <w:pStyle w:val="Heading4"/>
        <w:rPr>
          <w:vanish/>
          <w:specVanish/>
        </w:rPr>
      </w:pPr>
      <w:r>
        <w:t>Pigment concentration measurements.</w:t>
      </w:r>
      <w:r>
        <w:t xml:space="preserve"> </w:t>
      </w:r>
    </w:p>
    <w:p>
      <w:pPr>
        <w:pStyle w:val="FirstParagraph"/>
      </w:pPr>
      <w:r>
        <w:t xml:space="preserve">At the beginning and the end of each diurnal low tide (09:00 am and 03:00 pm) leaves samples have been took in both the test and the control. leaves sampled have been stored under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48"/>
    <w:bookmarkEnd w:id="49"/>
    <w:bookmarkStart w:id="65" w:name="X27a1969d5b72398d0a273597903fb82da79178c"/>
    <w:p>
      <w:pPr>
        <w:pStyle w:val="Heading2"/>
      </w:pPr>
      <w:r>
        <w:t xml:space="preserve">2.2 Observation of seagrass leaves darkening.</w:t>
      </w:r>
    </w:p>
    <w:bookmarkStart w:id="60" w:name="field-observation"/>
    <w:p>
      <w:pPr>
        <w:pStyle w:val="Heading3"/>
      </w:pPr>
      <w:r>
        <w:t xml:space="preserve">2.2.1 Field Observation</w:t>
      </w:r>
    </w:p>
    <w:bookmarkStart w:id="54" w:name="cell-fig-quiberonMap"/>
    <w:bookmarkStart w:id="53" w:name="fig-quiberonMap"/>
    <w:p>
      <w:pPr>
        <w:pStyle w:val="FigureTitle"/>
      </w:pPr>
      <w:r>
        <w:t xml:space="preserve">Figure 4</w:t>
      </w:r>
    </w:p>
    <w:p>
      <w:pPr>
        <w:pStyle w:val="Caption"/>
      </w:pPr>
      <w:r>
        <w:t xml:space="preserve">Location of the fieldtrip campaign that occured in the 10th of September 2021. The light grey polygons indicates the intertidal zone (Zone between High tide and low tide, that is totally emerged at low tide) and the dark grey polygon indicate the extent of the drone flight. Green dots indicate location of quadrat picture over green seagrasses while red dots indicate location of quadrat took over darkened seagrasses.</w:t>
      </w:r>
    </w:p>
    <w:p>
      <w:pPr>
        <w:pStyle w:val="FigureWithoutNote"/>
      </w:pPr>
      <w:r>
        <w:drawing>
          <wp:inline>
            <wp:extent cx="5943600" cy="6080409"/>
            <wp:effectExtent b="0" l="0" r="0" t="0"/>
            <wp:docPr descr="" title="" id="51" name="Picture"/>
            <a:graphic>
              <a:graphicData uri="http://schemas.openxmlformats.org/drawingml/2006/picture">
                <pic:pic>
                  <pic:nvPicPr>
                    <pic:cNvPr descr="Figs/Low_res/Quiberon_map.png" id="52" name="Picture"/>
                    <pic:cNvPicPr>
                      <a:picLocks noChangeArrowheads="1" noChangeAspect="1"/>
                    </pic:cNvPicPr>
                  </pic:nvPicPr>
                  <pic:blipFill>
                    <a:blip r:embed="rId50"/>
                    <a:stretch>
                      <a:fillRect/>
                    </a:stretch>
                  </pic:blipFill>
                  <pic:spPr bwMode="auto">
                    <a:xfrm>
                      <a:off x="0" y="0"/>
                      <a:ext cx="5943600" cy="6080409"/>
                    </a:xfrm>
                    <a:prstGeom prst="rect">
                      <a:avLst/>
                    </a:prstGeom>
                    <a:noFill/>
                    <a:ln w="9525">
                      <a:noFill/>
                      <a:headEnd/>
                      <a:tailEnd/>
                    </a:ln>
                  </pic:spPr>
                </pic:pic>
              </a:graphicData>
            </a:graphic>
          </wp:inline>
        </w:drawing>
      </w:r>
    </w:p>
    <w:bookmarkEnd w:id="53"/>
    <w:bookmarkEnd w:id="54"/>
    <w:p>
      <w:pPr>
        <w:pStyle w:val="AfterWithoutNote"/>
      </w:pPr>
      <w:r>
        <w:t xml:space="preserve">A fieldtrip, aiming to map a seagrass meadow near Quiberon (France : 46°57’32.0”N, 2°10’37.0”W), occurred in the 10th of September 2021 (</w:t>
      </w:r>
      <w:hyperlink w:anchor="fig-quiberonMap">
        <w:r>
          <w:rPr>
            <w:rStyle w:val="Hyperlink"/>
          </w:rPr>
          <w:t xml:space="preserve">Figure 4</w:t>
        </w:r>
      </w:hyperlink>
      <w:r>
        <w:t xml:space="preserve">). During this fieldtrip, significant darkening of seagrass leaves was observed over large areas of the meadow (</w:t>
      </w:r>
      <w:hyperlink w:anchor="fig-QuiberonImg">
        <w:r>
          <w:rPr>
            <w:rStyle w:val="Hyperlink"/>
          </w:rPr>
          <w:t xml:space="preserve">Figure 5</w:t>
        </w:r>
      </w:hyperlink>
      <w:r>
        <w:t xml:space="preserve"> </w:t>
      </w:r>
      <w:r>
        <w:t xml:space="preserve">C &amp; D). A total of 122 Ground Control Points (GCPs) were collected in the form of georeferenced quadrat images across the meadow. These images allow for visual assessment of vegetation type, density, and health status. The images were then divided into two categories: green seagrasses and darkened seagrasses, based on a visual estimation of the leaf condition (</w:t>
      </w:r>
      <w:hyperlink w:anchor="fig-quiberonMap">
        <w:r>
          <w:rPr>
            <w:rStyle w:val="Hyperlink"/>
          </w:rPr>
          <w:t xml:space="preserve">Figure 4</w:t>
        </w:r>
      </w:hyperlink>
      <w:r>
        <w:t xml:space="preserve">).</w:t>
      </w:r>
    </w:p>
    <w:bookmarkStart w:id="59" w:name="cell-fig-QuiberonImg"/>
    <w:bookmarkStart w:id="58" w:name="fig-QuiberonImg"/>
    <w:p>
      <w:pPr>
        <w:pStyle w:val="FigureTitle"/>
      </w:pPr>
      <w:r>
        <w:t xml:space="preserve">Figure 5</w:t>
      </w:r>
    </w:p>
    <w:p>
      <w:pPr>
        <w:pStyle w:val="Caption"/>
      </w:pPr>
      <w:r>
        <w:t xml:space="preserve">Illustrations of the two health conditions of seagrasses observed in the field. A: Global view of a green green meadow; B: Quadrat images of green seagrasses; C: Quadrat images of darkened seagrasses; D: Global view of an darkened meadow. All images were taken on September 10th, 2021, in Quiberon.</w:t>
      </w:r>
    </w:p>
    <w:p>
      <w:pPr>
        <w:pStyle w:val="FigureWithoutNote"/>
      </w:pPr>
      <w:r>
        <w:drawing>
          <wp:inline>
            <wp:extent cx="5943600" cy="3929594"/>
            <wp:effectExtent b="0" l="0" r="0" t="0"/>
            <wp:docPr descr="" title="" id="56" name="Picture"/>
            <a:graphic>
              <a:graphicData uri="http://schemas.openxmlformats.org/drawingml/2006/picture">
                <pic:pic>
                  <pic:nvPicPr>
                    <pic:cNvPr descr="Figs/Low_res/img_Quiberon.png" id="57" name="Picture"/>
                    <pic:cNvPicPr>
                      <a:picLocks noChangeArrowheads="1" noChangeAspect="1"/>
                    </pic:cNvPicPr>
                  </pic:nvPicPr>
                  <pic:blipFill>
                    <a:blip r:embed="rId55"/>
                    <a:stretch>
                      <a:fillRect/>
                    </a:stretch>
                  </pic:blipFill>
                  <pic:spPr bwMode="auto">
                    <a:xfrm>
                      <a:off x="0" y="0"/>
                      <a:ext cx="5943600" cy="3929594"/>
                    </a:xfrm>
                    <a:prstGeom prst="rect">
                      <a:avLst/>
                    </a:prstGeom>
                    <a:noFill/>
                    <a:ln w="9525">
                      <a:noFill/>
                      <a:headEnd/>
                      <a:tailEnd/>
                    </a:ln>
                  </pic:spPr>
                </pic:pic>
              </a:graphicData>
            </a:graphic>
          </wp:inline>
        </w:drawing>
      </w:r>
    </w:p>
    <w:bookmarkEnd w:id="58"/>
    <w:bookmarkEnd w:id="59"/>
    <w:bookmarkEnd w:id="60"/>
    <w:bookmarkStart w:id="62" w:name="X73fb4b6725bb43bdc3c17946b41d73eba45f33b"/>
    <w:p>
      <w:pPr>
        <w:pStyle w:val="Heading3"/>
      </w:pPr>
      <w:r>
        <w:t xml:space="preserve">2.2.2 Temparature Data and identification of heatwaves</w:t>
      </w:r>
    </w:p>
    <w:p>
      <w:pPr>
        <w:pStyle w:val="Heading4"/>
        <w:rPr>
          <w:vanish/>
          <w:specVanish/>
        </w:rPr>
      </w:pPr>
      <w:r>
        <w:t>Air temperature.</w:t>
      </w:r>
      <w:r>
        <w:t xml:space="preserve"> </w:t>
      </w:r>
    </w:p>
    <w:p>
      <w:pPr>
        <w:pStyle w:val="FirstParagraph"/>
      </w:pPr>
      <w:r>
        <w:t xml:space="preserve">Since January 1, 2024, Meteo France weather data has been freely and openly accessible. Hourly air temperature data (°C) for the French Atlantic and Channel coasts was retrieved using a</w:t>
      </w:r>
      <w:r>
        <w:t xml:space="preserve"> </w:t>
      </w:r>
      <w:hyperlink r:id="rId61">
        <w:r>
          <w:rPr>
            <w:rStyle w:val="Hyperlink"/>
          </w:rPr>
          <w:t xml:space="preserve">custom script</w:t>
        </w:r>
      </w:hyperlink>
      <w:r>
        <w:t xml:space="preserve"> </w:t>
      </w:r>
      <w:r>
        <w:t xml:space="preserve">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pPr>
        <w:pStyle w:val="BodyText"/>
      </w:pPr>
      <w:r>
        <w:t xml:space="preserve">Heatwave detection was performed using the HeatwaveR package in R</w:t>
      </w:r>
      <w:r>
        <w:t xml:space="preserve"> </w:t>
      </w:r>
      <w:r>
        <w:t xml:space="preserve">(</w:t>
      </w:r>
      <w:hyperlink w:anchor="ref-heatwaveR">
        <w:r>
          <w:rPr>
            <w:rStyle w:val="Hyperlink"/>
          </w:rPr>
          <w:t xml:space="preserve">Schlegel and Smit, 2018</w:t>
        </w:r>
      </w:hyperlink>
      <w:r>
        <w:t xml:space="preserve">)</w:t>
      </w:r>
      <w:r>
        <w:t xml:space="preserve">. This package utilizes the methodology proposed by</w:t>
      </w:r>
      <w:r>
        <w:t xml:space="preserve"> </w:t>
      </w:r>
      <w:r>
        <w:t xml:space="preserve">Hobday et al. (</w:t>
      </w:r>
      <w:hyperlink w:anchor="ref-hobday2016hierarchical">
        <w:r>
          <w:rPr>
            <w:rStyle w:val="Hyperlink"/>
          </w:rPr>
          <w:t xml:space="preserve">2016</w:t>
        </w:r>
      </w:hyperlink>
      <w:r>
        <w:t xml:space="preserve">)</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w:t>
      </w:r>
      <w:hyperlink w:anchor="ref-hobday2018categorizing">
        <w:r>
          <w:rPr>
            <w:rStyle w:val="Hyperlink"/>
          </w:rPr>
          <w:t xml:space="preserve">2018</w:t>
        </w:r>
      </w:hyperlink>
      <w:r>
        <w:t xml:space="preserve">)</w:t>
      </w:r>
      <w:r>
        <w:t xml:space="preserve">. Following the methodology of</w:t>
      </w:r>
      <w:r>
        <w:t xml:space="preserve"> </w:t>
      </w:r>
      <w:r>
        <w:t xml:space="preserve">Schlegel et al. (</w:t>
      </w:r>
      <w:hyperlink w:anchor="ref-schlegel2017nearshore">
        <w:r>
          <w:rPr>
            <w:rStyle w:val="Hyperlink"/>
          </w:rPr>
          <w:t xml:space="preserve">2017</w:t>
        </w:r>
      </w:hyperlink>
      <w:r>
        <w:t xml:space="preserve">)</w:t>
      </w:r>
      <w:r>
        <w:t xml:space="preserve">, coldspell events corresponding to temperature bellow the percentile 10th of the climatology during 3 consecutives days have also been measured.</w:t>
      </w:r>
    </w:p>
    <w:p>
      <w:pPr>
        <w:pStyle w:val="BodyText"/>
      </w:pPr>
      <w:r>
        <w:t xml:space="preserve">Concerning heatwaves event near Quiberon, this methodology has been apply solely on the nearest weather station of our study site (Lorient-Lann Bihoue, 47°45’46”N 3°26’11”W , more than 395000 observation since the 1st of February 1952).</w:t>
      </w:r>
    </w:p>
    <w:p>
      <w:pPr>
        <w:pStyle w:val="Heading4"/>
        <w:rPr>
          <w:vanish/>
          <w:specVanish/>
        </w:rPr>
      </w:pPr>
      <w:r>
        <w:t>Water temperature.</w:t>
      </w:r>
      <w:r>
        <w:t xml:space="preserve"> </w:t>
      </w:r>
    </w:p>
    <w:p>
      <w:pPr>
        <w:pStyle w:val="BodyText"/>
      </w:pPr>
      <w:r>
        <w:t xml:space="preserve">SST data from the Copernicus CMEMS platform were downloaded for the French coast near Quiberon (47°29′03″N, 3°07′09″W), covering 1982-2022</w:t>
      </w:r>
      <w:r>
        <w:t xml:space="preserve"> </w:t>
      </w:r>
      <w:r>
        <w:t xml:space="preserve">(</w:t>
      </w:r>
      <w:hyperlink w:anchor="ref-CMEMS_1">
        <w:r>
          <w:rPr>
            <w:rStyle w:val="Hyperlink"/>
          </w:rPr>
          <w:t xml:space="preserve">CMEMS, 2024</w:t>
        </w:r>
      </w:hyperlink>
      <w:r>
        <w:t xml:space="preserve">)</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that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HeatwaveR package</w:t>
      </w:r>
      <w:r>
        <w:t xml:space="preserve"> </w:t>
      </w:r>
      <w:r>
        <w:t xml:space="preserve">(</w:t>
      </w:r>
      <w:hyperlink w:anchor="ref-heatwaveR">
        <w:r>
          <w:rPr>
            <w:rStyle w:val="Hyperlink"/>
          </w:rPr>
          <w:t xml:space="preserve">Schlegel and Smit, 2018</w:t>
        </w:r>
      </w:hyperlink>
      <w:r>
        <w:t xml:space="preserve">)</w:t>
      </w:r>
      <w:r>
        <w:t xml:space="preserve"> </w:t>
      </w:r>
      <w:r>
        <w:t xml:space="preserve">was used to compute SST climatology and detect SST events using the same method as air temperature event detection.</w:t>
      </w:r>
    </w:p>
    <w:bookmarkEnd w:id="62"/>
    <w:bookmarkStart w:id="63" w:name="satellite-observation"/>
    <w:p>
      <w:pPr>
        <w:pStyle w:val="Heading3"/>
      </w:pPr>
      <w:r>
        <w:t xml:space="preserve">2.2.3 Satellite Observation</w:t>
      </w:r>
    </w:p>
    <w:p>
      <w:pPr>
        <w:pStyle w:val="FirstParagraph"/>
      </w:pPr>
      <w:r>
        <w:t xml:space="preserve">Two Sentinel-2 images covering the field trip site (</w:t>
      </w:r>
      <w:hyperlink w:anchor="fig-quiberonMap">
        <w:r>
          <w:rPr>
            <w:rStyle w:val="Hyperlink"/>
          </w:rPr>
          <w:t xml:space="preserve">Figure 4</w:t>
        </w:r>
      </w:hyperlink>
      <w:r>
        <w:t xml:space="preserve">) were downloaded from the Copernicus platform</w:t>
      </w:r>
      <w:r>
        <w:t xml:space="preserve"> </w:t>
      </w:r>
      <w:r>
        <w:t xml:space="preserve">(</w:t>
      </w:r>
      <w:hyperlink w:anchor="ref-copernicus_sentinel2">
        <w:r>
          <w:rPr>
            <w:rStyle w:val="Hyperlink"/>
          </w:rPr>
          <w:t xml:space="preserve">European Space Agency, 2024a</w:t>
        </w:r>
      </w:hyperlink>
      <w:r>
        <w:t xml:space="preserve">)</w:t>
      </w:r>
      <w:r>
        <w:t xml:space="preserve">.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w:t>
      </w:r>
      <w:r>
        <w:t xml:space="preserve"> </w:t>
      </w:r>
      <w:r>
        <w:t xml:space="preserve">(</w:t>
      </w:r>
      <w:hyperlink w:anchor="ref-sen2cor">
        <w:r>
          <w:rPr>
            <w:rStyle w:val="Hyperlink"/>
          </w:rPr>
          <w:t xml:space="preserve">European Space Agency, 2024b</w:t>
        </w:r>
      </w:hyperlink>
      <w:r>
        <w:t xml:space="preserve">)</w:t>
      </w:r>
      <w:r>
        <w:t xml:space="preserve">.</w:t>
      </w:r>
    </w:p>
    <w:p>
      <w:pPr>
        <w:pStyle w:val="BodyText"/>
      </w:pPr>
      <w:r>
        <w:t xml:space="preserve">Reflectance value of each GCPs (</w:t>
      </w:r>
      <w:hyperlink w:anchor="fig-quiberonMap">
        <w:r>
          <w:rPr>
            <w:rStyle w:val="Hyperlink"/>
          </w:rPr>
          <w:t xml:space="preserve">Figure 4</w:t>
        </w:r>
      </w:hyperlink>
      <w:r>
        <w:t xml:space="preserve">) have been exctracted and compared before and after the heatwave event.</w:t>
      </w:r>
    </w:p>
    <w:bookmarkEnd w:id="63"/>
    <w:bookmarkStart w:id="64"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w:t>
      </w:r>
      <w:hyperlink w:anchor="Xbef41143b4d4042e58f11cfc27e216202646012">
        <w:r>
          <w:rPr>
            <w:rStyle w:val="Hyperlink"/>
          </w:rPr>
          <w:t xml:space="preserve">SHOM, 2021</w:t>
        </w:r>
      </w:hyperlink>
      <w:r>
        <w:t xml:space="preserve">)</w:t>
      </w:r>
      <w:r>
        <w:t xml:space="preserve">. It corresponds to the Litto3D® product, which is a three-dimensional land-sea elevation database, accurately depicting the coastal terrain along certain regions of the French shores. Litto3D data were collected through airborne bathymetric lidar over the sea and airborne topographic lidar extending up to 2 km inland and is available as a gridded digital terrain model.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w:t>
      </w:r>
      <w:hyperlink w:anchor="ref-ioc_sea_level_lecy">
        <w:r>
          <w:rPr>
            <w:rStyle w:val="Hyperlink"/>
          </w:rPr>
          <w:t xml:space="preserve">IOC, 2024</w:t>
        </w:r>
      </w:hyperlink>
      <w:r>
        <w:t xml:space="preserve">)</w:t>
      </w:r>
      <w:r>
        <w:t xml:space="preserve">, using measurements from the nearest tide gauge at Le Conquet.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w:t>
      </w:r>
      <w:r>
        <w:t xml:space="preserve"> </w:t>
      </w:r>
      <w:hyperlink w:anchor="ref-shom_ram_2022">
        <w:r>
          <w:rPr>
            <w:rStyle w:val="Hyperlink"/>
          </w:rPr>
          <w:t xml:space="preserve">Shom, 2022</w:t>
        </w:r>
      </w:hyperlink>
      <w:r>
        <w:t xml:space="preserve">)</w:t>
      </w:r>
      <w:r>
        <w:t xml:space="preserve">, which provides these correction factors for each seaport along the French coastline. For Le Conquet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4"/>
    <w:bookmarkEnd w:id="65"/>
    <w:bookmarkEnd w:id="66"/>
    <w:bookmarkStart w:id="112" w:name="results"/>
    <w:p>
      <w:pPr>
        <w:pStyle w:val="Heading1"/>
      </w:pPr>
      <w:r>
        <w:t xml:space="preserve">3. Results</w:t>
      </w:r>
    </w:p>
    <w:bookmarkStart w:id="87" w:name="laboratory-experiment-1"/>
    <w:p>
      <w:pPr>
        <w:pStyle w:val="Heading2"/>
      </w:pPr>
      <w:r>
        <w:t xml:space="preserve">3.1 Laboratory Experiment</w:t>
      </w:r>
    </w:p>
    <w:bookmarkStart w:id="72" w:name="spectral-inspection"/>
    <w:p>
      <w:pPr>
        <w:pStyle w:val="Heading3"/>
      </w:pPr>
      <w:r>
        <w:t xml:space="preserve">3.1.1 Spectral inspection</w:t>
      </w:r>
    </w:p>
    <w:p>
      <w:pPr>
        <w:pStyle w:val="FirstParagraph"/>
      </w:pPr>
      <w:r>
        <w:t xml:space="preserve">Hyperspectral signatures were acquired throughout the experiment for both the Control and Treatment groups. In the Control group, reflectance remained relatively stable over time, with only minimal changes in magnitude and spectral features.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showed more pronounced changes in reflectance throughout the experiment. On the first day (T0), reflectance values were comparable to those in the Control group, especially in the visible region, with a notable peak around 560 nm and a pronounced trough at 665 nm. However, starting from T24 (the second day), reflectance began to decrease across all wavelengths, particularly around 560 nm and in the NIR. Around T48, the NIR reflectance appeared to stabilize at values like those observed at T24. In the green region, however, reflectance continued to decline slightly until the experiment’s conclusion. Additionally, a slight increase in reflectance at 665 nm between T24 and T48 was observed, possibly associated with a reduction in chlorophyll-a concentration (</w:t>
      </w:r>
      <w:hyperlink w:anchor="fig-Exp_Spectra">
        <w:r>
          <w:rPr>
            <w:rStyle w:val="Hyperlink"/>
          </w:rPr>
          <w:t xml:space="preserve">Figure 6</w:t>
        </w:r>
      </w:hyperlink>
      <w:r>
        <w:t xml:space="preserve">, right).</w:t>
      </w:r>
    </w:p>
    <w:bookmarkStart w:id="71" w:name="cell-fig-Exp_Spectra"/>
    <w:bookmarkStart w:id="70" w:name="fig-Exp_Spectra"/>
    <w:p>
      <w:pPr>
        <w:pStyle w:val="FigureTitle"/>
      </w:pPr>
      <w:r>
        <w:t xml:space="preserve">Figure 6</w:t>
      </w:r>
    </w:p>
    <w:p>
      <w:pPr>
        <w:pStyle w:val="Caption"/>
      </w:pPr>
      <w:r>
        <w:t xml:space="preserve">Hyperspectral Reflectance signature collected during the three days of the experiment for both the Control (Left) and the Treatment (Right). A min-max standardization has been applied to each individual spectrum. Temperature profiles applied to both scenarios are shown in</w:t>
      </w:r>
      <w:r>
        <w:t xml:space="preserve"> </w:t>
      </w:r>
      <w:hyperlink w:anchor="fig-Profile">
        <w:r>
          <w:rPr>
            <w:rStyle w:val="Hyperlink"/>
          </w:rPr>
          <w:t xml:space="preserve">Figure 3</w:t>
        </w:r>
      </w:hyperlink>
      <w:r>
        <w:t xml:space="preserve">.</w:t>
      </w:r>
    </w:p>
    <w:p>
      <w:pPr>
        <w:pStyle w:val="FigureWithoutNote"/>
      </w:pPr>
      <w:r>
        <w:drawing>
          <wp:inline>
            <wp:extent cx="5943600" cy="2971800"/>
            <wp:effectExtent b="0" l="0" r="0" t="0"/>
            <wp:docPr descr="" title="" id="68" name="Picture"/>
            <a:graphic>
              <a:graphicData uri="http://schemas.openxmlformats.org/drawingml/2006/picture">
                <pic:pic>
                  <pic:nvPicPr>
                    <pic:cNvPr descr="Figs/Low_res/plot_Spectra_exp.png" id="69" name="Picture"/>
                    <pic:cNvPicPr>
                      <a:picLocks noChangeArrowheads="1" noChangeAspect="1"/>
                    </pic:cNvPicPr>
                  </pic:nvPicPr>
                  <pic:blipFill>
                    <a:blip r:embed="rId67"/>
                    <a:stretch>
                      <a:fillRect/>
                    </a:stretch>
                  </pic:blipFill>
                  <pic:spPr bwMode="auto">
                    <a:xfrm>
                      <a:off x="0" y="0"/>
                      <a:ext cx="5943600" cy="2971800"/>
                    </a:xfrm>
                    <a:prstGeom prst="rect">
                      <a:avLst/>
                    </a:prstGeom>
                    <a:noFill/>
                    <a:ln w="9525">
                      <a:noFill/>
                      <a:headEnd/>
                      <a:tailEnd/>
                    </a:ln>
                  </pic:spPr>
                </pic:pic>
              </a:graphicData>
            </a:graphic>
          </wp:inline>
        </w:drawing>
      </w:r>
    </w:p>
    <w:bookmarkEnd w:id="70"/>
    <w:bookmarkEnd w:id="71"/>
    <w:bookmarkEnd w:id="72"/>
    <w:bookmarkStart w:id="78" w:name="radiometric-indices-comparison"/>
    <w:p>
      <w:pPr>
        <w:pStyle w:val="Heading3"/>
      </w:pPr>
      <w:r>
        <w:t xml:space="preserve">3.1.2 Radiometric indices comparison</w:t>
      </w:r>
    </w:p>
    <w:p>
      <w:pPr>
        <w:pStyle w:val="FirstParagraph"/>
      </w:pPr>
      <w:r>
        <w:t xml:space="preserve">The second derivative of the spectral signature for both Control and Treatment groups was computed, highlighting key absorption features. Figure</w:t>
      </w:r>
      <w:r>
        <w:t xml:space="preserve"> </w:t>
      </w:r>
      <w:hyperlink w:anchor="fig-Exp_Spectral_indices">
        <w:r>
          <w:rPr>
            <w:rStyle w:val="Hyperlink"/>
          </w:rPr>
          <w:t xml:space="preserve">Figure 7</w:t>
        </w:r>
      </w:hyperlink>
      <w:r>
        <w:t xml:space="preserve"> </w:t>
      </w:r>
      <w:r>
        <w:t xml:space="preserve">A shows the average second derivative for the Control group (top) and the Treatment group (bottom) over the experiment’s duration. Clear differences emerge between the two groups: the Control group exhibits more variability, reflecting more pronounced spectral features, whereas the Treatment group shows less variability, indicating fewer absorption features in its spectral signature. The maximum absorption for both groups occurs at 665 nm, with values of</w:t>
      </w:r>
      <w:r>
        <w:t xml:space="preserve"> </w:t>
      </w:r>
      <m:oMath>
        <m:r>
          <m:t>1.63</m:t>
        </m:r>
        <m:r>
          <m:rPr>
            <m:sty m:val="p"/>
          </m:rPr>
          <m:t>×</m:t>
        </m:r>
        <m:sSup>
          <m:e>
            <m:r>
              <m:t>10</m:t>
            </m:r>
          </m:e>
          <m:sup>
            <m:r>
              <m:rPr>
                <m:sty m:val="p"/>
              </m:rPr>
              <m:t>−</m:t>
            </m:r>
            <m:r>
              <m:t>4</m:t>
            </m:r>
          </m:sup>
        </m:sSup>
      </m:oMath>
      <w:r>
        <w:t xml:space="preserve"> </w:t>
      </w:r>
      <w:r>
        <w:t xml:space="preserve">for the Control group and</w:t>
      </w:r>
      <w:r>
        <w:t xml:space="preserve"> </w:t>
      </w:r>
      <m:oMath>
        <m:r>
          <m:t>8.08</m:t>
        </m:r>
        <m:r>
          <m:rPr>
            <m:sty m:val="p"/>
          </m:rPr>
          <m:t>×</m:t>
        </m:r>
        <m:sSup>
          <m:e>
            <m:r>
              <m:t>10</m:t>
            </m:r>
          </m:e>
          <m:sup>
            <m:r>
              <m:rPr>
                <m:sty m:val="p"/>
              </m:rPr>
              <m:t>−</m:t>
            </m:r>
            <m:r>
              <m:t>5</m:t>
            </m:r>
          </m:sup>
        </m:sSup>
      </m:oMath>
      <w:r>
        <w:t xml:space="preserve"> </w:t>
      </w:r>
      <w:r>
        <w:t xml:space="preserve">for the Treatment group—a reduction of 50.31% by the experiment’s end.</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over time reveals a rapid drop in replicates 1 and 3, decreasing by 26 and 54 % respectively after 24 hours (T24) of treatment (</w:t>
      </w:r>
      <w:hyperlink w:anchor="fig-Exp_Spectral_indices">
        <w:r>
          <w:rPr>
            <w:rStyle w:val="Hyperlink"/>
          </w:rPr>
          <w:t xml:space="preserve">Figure 7</w:t>
        </w:r>
      </w:hyperlink>
      <w:r>
        <w:t xml:space="preserve">, B). After T24</w:t>
      </w:r>
      <w:r>
        <w:t xml:space="preserve"> </w:t>
      </w:r>
      <m:oMath>
        <m:r>
          <m:t>R</m:t>
        </m:r>
        <m:sSub>
          <m:e>
            <m:r>
              <m:rPr>
                <m:sty m:val="p"/>
              </m:rPr>
              <m:t>″</m:t>
            </m:r>
          </m:e>
          <m:sub>
            <m:r>
              <m:t>665</m:t>
            </m:r>
            <m:r>
              <m:t> </m:t>
            </m:r>
            <m:r>
              <m:rPr>
                <m:nor/>
                <m:sty m:val="p"/>
              </m:rPr>
              <m:t>nm</m:t>
            </m:r>
          </m:sub>
        </m:sSub>
      </m:oMath>
      <w:r>
        <w:t xml:space="preserve"> </w:t>
      </w:r>
      <w:r>
        <w:t xml:space="preserve">in these replicates stabilizes for the remainder of the experiment. In contrast, replicate 2 shows a slower but more substantial decrease of 110 % by the experiment’s end. Overall, between the start and the end of the experiment, the</w:t>
      </w:r>
      <w:r>
        <w:t xml:space="preserve"> </w:t>
      </w:r>
      <m:oMath>
        <m:r>
          <m:t>R</m:t>
        </m:r>
        <m:sSub>
          <m:e>
            <m:r>
              <m:rPr>
                <m:sty m:val="p"/>
              </m:rPr>
              <m:t>″</m:t>
            </m:r>
          </m:e>
          <m:sub>
            <m:r>
              <m:t>665</m:t>
            </m:r>
            <m:r>
              <m:t> </m:t>
            </m:r>
            <m:r>
              <m:rPr>
                <m:nor/>
                <m:sty m:val="p"/>
              </m:rPr>
              <m:t>nm</m:t>
            </m:r>
          </m:sub>
        </m:sSub>
      </m:oMath>
      <w:r>
        <w:t xml:space="preserve"> </w:t>
      </w:r>
      <w:r>
        <w:t xml:space="preserve">have decreased by 72 %.</w:t>
      </w:r>
    </w:p>
    <w:p>
      <w:pPr>
        <w:pStyle w:val="BodyText"/>
      </w:pPr>
      <w:r>
        <w:t xml:space="preserve">NDVI shows the same trends, exhibit an initial rapid decline of approximately 25% between T24 and T30, after which their values stabilize, with minimal further changes observed through the end of the experiment. In contrast, Replicate 2 remains relatively stable between 0 and 48 hours, showing little change during this period (drop of 9% at T24). ,However, after T48, Replicate 2 undergoes a substantial drop, ultimately reaching a reduction of approximately 48% (</w:t>
      </w:r>
      <w:hyperlink w:anchor="fig-Exp_Spectral_indices">
        <w:r>
          <w:rPr>
            <w:rStyle w:val="Hyperlink"/>
          </w:rPr>
          <w:t xml:space="preserve">Figure 7</w:t>
        </w:r>
      </w:hyperlink>
      <w:r>
        <w:t xml:space="preserve">, C).</w:t>
      </w:r>
    </w:p>
    <w:p>
      <w:pPr>
        <w:pStyle w:val="BodyText"/>
      </w:pPr>
      <w:r>
        <w:t xml:space="preserve">The relative GLI shows similar trends across the replicates. Replicates 1 and 3 exhibit an initial rapid decline of approximately 40 and 57 %, respectively between T24 and T30, after which their values stabilize with minimal further changes observed until the end of the experiment. In contrast, Replicate 2 remains relatively constant between 0 and 48 hours, showing only a minor decline of around 5% by T24. However, after T48 mark, Replicate 2 experiences a substantial decrease, ultimately reaching a reduction of 73% (</w:t>
      </w:r>
      <w:hyperlink w:anchor="fig-Exp_Spectral_indices">
        <w:r>
          <w:rPr>
            <w:rStyle w:val="Hyperlink"/>
          </w:rPr>
          <w:t xml:space="preserve">Figure 7</w:t>
        </w:r>
      </w:hyperlink>
      <w:r>
        <w:t xml:space="preserve">, D).</w:t>
      </w:r>
    </w:p>
    <w:bookmarkStart w:id="77" w:name="cell-fig-Exp_Spectral_indices"/>
    <w:bookmarkStart w:id="76" w:name="fig-Exp_Spectral_indices"/>
    <w:p>
      <w:pPr>
        <w:pStyle w:val="FigureTitle"/>
      </w:pPr>
      <w:r>
        <w:t xml:space="preserve">Figure 7</w:t>
      </w:r>
    </w:p>
    <w:p>
      <w:pPr>
        <w:pStyle w:val="Caption"/>
      </w:pPr>
      <w:r>
        <w:t xml:space="preserve">Second Derivative of the Control and the Treatment (A) and evolution of the second derivative (B), the NDVI (C) and the GLI (D) over Time. A: Mean and standard deviation of the second derivative for both Control and Treatment groups on the final day of the experiment; B: Relative evolution of the second derivative at 665 nm between Treatment and Control groups over time across three replicates. Points indicate raw data, the line represents a generalized linear model, and the shaded area the model’s standard error; C: Relative evolution of NDVI for the Treatment group compared to the Control group over time across three replicates. Points indicate raw data, the line represents a generalized linear model, and the shaded area the model’s standard error; D: Relative evolution of GLI for the Treatment group relative to the Control group over time across three replicates. Points indicate raw data, the line represents a generalized linear model, and the shaded area the model’s standard error.</w:t>
      </w:r>
    </w:p>
    <w:p>
      <w:pPr>
        <w:pStyle w:val="FigureWithoutNote"/>
      </w:pPr>
      <w:r>
        <w:drawing>
          <wp:inline>
            <wp:extent cx="5943600" cy="5943600"/>
            <wp:effectExtent b="0" l="0" r="0" t="0"/>
            <wp:docPr descr="" title="" id="74" name="Picture"/>
            <a:graphic>
              <a:graphicData uri="http://schemas.openxmlformats.org/drawingml/2006/picture">
                <pic:pic>
                  <pic:nvPicPr>
                    <pic:cNvPr descr="Figs/Low_res/merged_indices.png" id="75" name="Picture"/>
                    <pic:cNvPicPr>
                      <a:picLocks noChangeArrowheads="1" noChangeAspect="1"/>
                    </pic:cNvPicPr>
                  </pic:nvPicPr>
                  <pic:blipFill>
                    <a:blip r:embed="rId73"/>
                    <a:stretch>
                      <a:fillRect/>
                    </a:stretch>
                  </pic:blipFill>
                  <pic:spPr bwMode="auto">
                    <a:xfrm>
                      <a:off x="0" y="0"/>
                      <a:ext cx="5943600" cy="5943600"/>
                    </a:xfrm>
                    <a:prstGeom prst="rect">
                      <a:avLst/>
                    </a:prstGeom>
                    <a:noFill/>
                    <a:ln w="9525">
                      <a:noFill/>
                      <a:headEnd/>
                      <a:tailEnd/>
                    </a:ln>
                  </pic:spPr>
                </pic:pic>
              </a:graphicData>
            </a:graphic>
          </wp:inline>
        </w:drawing>
      </w:r>
    </w:p>
    <w:bookmarkEnd w:id="76"/>
    <w:bookmarkEnd w:id="77"/>
    <w:bookmarkEnd w:id="78"/>
    <w:bookmarkStart w:id="85" w:name="X0a3b57fb6e58dace6488d21e37474af411bb7be"/>
    <w:p>
      <w:pPr>
        <w:pStyle w:val="Heading3"/>
      </w:pPr>
      <w:r>
        <w:t xml:space="preserve">3.1.3 Buidling the Seagrass Darkening radiometric index</w:t>
      </w:r>
    </w:p>
    <w:p>
      <w:pPr>
        <w:pStyle w:val="FirstParagraph"/>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 (</w:t>
      </w:r>
      <w:hyperlink w:anchor="fig-Exp_Spectral_indices">
        <w:r>
          <w:rPr>
            <w:rStyle w:val="Hyperlink"/>
          </w:rPr>
          <w:t xml:space="preserve">Figure 7</w:t>
        </w:r>
      </w:hyperlink>
      <w:r>
        <w:t xml:space="preserve">).</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w:t>
      </w:r>
      <w:r>
        <w:t xml:space="preserve">baseline</w:t>
      </w:r>
      <w:r>
        <w:t xml:space="preserve">’</w:t>
      </w:r>
      <w:r>
        <w:t xml:space="preserve"> </w:t>
      </w:r>
      <w:r>
        <w:t xml:space="preserve">and 740 nm represents the central peak. The SDI can be mathematically expressed as:</w:t>
      </w:r>
    </w:p>
    <w:p>
      <w:pPr>
        <w:pStyle w:val="BodyText"/>
      </w:pPr>
      <w:bookmarkStart w:id="79" w:name="eq-SDI"/>
      <m:oMathPara>
        <m:oMathParaPr>
          <m:jc m:val="center"/>
        </m:oMathParaPr>
        <m:oMath>
          <m:r>
            <m:rPr>
              <m:nor/>
              <m:sty m:val="p"/>
            </m:rPr>
            <m:t>SDI</m:t>
          </m:r>
          <m:r>
            <m:rPr>
              <m:sty m:val="p"/>
            </m:rPr>
            <m:t>=</m:t>
          </m:r>
          <m:d>
            <m:dPr>
              <m:begChr m:val="["/>
              <m:endChr m:val="]"/>
              <m:sepChr m:val=""/>
              <m:grow/>
            </m:dPr>
            <m:e>
              <m:r>
                <m:t>R</m:t>
              </m:r>
              <m:d>
                <m:dPr>
                  <m:begChr m:val="("/>
                  <m:endChr m:val=")"/>
                  <m:sepChr m:val=""/>
                  <m:grow/>
                </m:dPr>
                <m:e>
                  <m:r>
                    <m:t>560</m:t>
                  </m:r>
                </m:e>
              </m:d>
              <m:r>
                <m:rPr>
                  <m:sty m:val="p"/>
                </m:rPr>
                <m:t>+</m:t>
              </m:r>
              <m:r>
                <m:t>0.64</m:t>
              </m:r>
              <m:r>
                <m:rPr>
                  <m:sty m:val="p"/>
                </m:rPr>
                <m:t>⋅</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e>
          </m:d>
          <m:r>
            <m:rPr>
              <m:sty m:val="p"/>
            </m:rPr>
            <m:t>−</m:t>
          </m:r>
          <m:r>
            <m:t>R</m:t>
          </m:r>
          <m:d>
            <m:dPr>
              <m:begChr m:val="("/>
              <m:endChr m:val=")"/>
              <m:sepChr m:val=""/>
              <m:grow/>
            </m:dPr>
            <m:e>
              <m:r>
                <m:t>740</m:t>
              </m:r>
            </m:e>
          </m:d>
          <m:r>
            <m:t>  </m:t>
          </m:r>
          <m:d>
            <m:dPr>
              <m:begChr m:val="("/>
              <m:endChr m:val=")"/>
              <m:sepChr m:val=""/>
              <m:grow/>
            </m:dPr>
            <m:e>
              <m:r>
                <m:t>4</m:t>
              </m:r>
            </m:e>
          </m:d>
        </m:oMath>
      </m:oMathPara>
      <w:bookmarkEnd w:id="79"/>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Start w:id="84" w:name="cell-fig-SDI_exp"/>
    <w:bookmarkStart w:id="83" w:name="fig-SDI_exp"/>
    <w:p>
      <w:pPr>
        <w:pStyle w:val="FigureTitle"/>
      </w:pPr>
      <w:r>
        <w:t xml:space="preserve">Figure 8</w:t>
      </w:r>
    </w:p>
    <w:p>
      <w:pPr>
        <w:pStyle w:val="Caption"/>
      </w:pPr>
      <w:r>
        <w:t xml:space="preserve">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p>
      <w:pPr>
        <w:pStyle w:val="FigureWithoutNote"/>
      </w:pPr>
      <w:r>
        <w:drawing>
          <wp:inline>
            <wp:extent cx="5943600" cy="2971800"/>
            <wp:effectExtent b="0" l="0" r="0" t="0"/>
            <wp:docPr descr="" title="" id="81" name="Picture"/>
            <a:graphic>
              <a:graphicData uri="http://schemas.openxmlformats.org/drawingml/2006/picture">
                <pic:pic>
                  <pic:nvPicPr>
                    <pic:cNvPr descr="Figs/Low_res/PLOT_SDI_exp.png" id="82" name="Picture"/>
                    <pic:cNvPicPr>
                      <a:picLocks noChangeArrowheads="1" noChangeAspect="1"/>
                    </pic:cNvPicPr>
                  </pic:nvPicPr>
                  <pic:blipFill>
                    <a:blip r:embed="rId80"/>
                    <a:stretch>
                      <a:fillRect/>
                    </a:stretch>
                  </pic:blipFill>
                  <pic:spPr bwMode="auto">
                    <a:xfrm>
                      <a:off x="0" y="0"/>
                      <a:ext cx="5943600" cy="2971800"/>
                    </a:xfrm>
                    <a:prstGeom prst="rect">
                      <a:avLst/>
                    </a:prstGeom>
                    <a:noFill/>
                    <a:ln w="9525">
                      <a:noFill/>
                      <a:headEnd/>
                      <a:tailEnd/>
                    </a:ln>
                  </pic:spPr>
                </pic:pic>
              </a:graphicData>
            </a:graphic>
          </wp:inline>
        </w:drawing>
      </w:r>
    </w:p>
    <w:bookmarkEnd w:id="83"/>
    <w:bookmarkEnd w:id="84"/>
    <w:p>
      <w:pPr>
        <w:pStyle w:val="AfterWithoutNote"/>
      </w:pPr>
      <w:r>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w:t>
      </w:r>
      <w:hyperlink w:anchor="fig-SDI_exp">
        <w:r>
          <w:rPr>
            <w:rStyle w:val="Hyperlink"/>
          </w:rPr>
          <w:t xml:space="preserve">Figure 8</w:t>
        </w:r>
      </w:hyperlink>
      <w:r>
        <w:t xml:space="preserve">, right).</w:t>
      </w:r>
    </w:p>
    <w:bookmarkEnd w:id="85"/>
    <w:bookmarkStart w:id="86" w:name="X03f1f92316c3f266276e7acc4c55e66c6a0add8"/>
    <w:p>
      <w:pPr>
        <w:pStyle w:val="Heading3"/>
      </w:pPr>
      <w:r>
        <w:t xml:space="preserve">3.1.4 Pigment composition evolution along the experiment</w:t>
      </w:r>
    </w:p>
    <w:p>
      <w:pPr>
        <w:pStyle w:val="FirstParagraph"/>
      </w:pPr>
      <w:r>
        <w:t xml:space="preserve">bla bla bla bla</w:t>
      </w:r>
    </w:p>
    <w:bookmarkEnd w:id="86"/>
    <w:bookmarkEnd w:id="87"/>
    <w:bookmarkStart w:id="111" w:name="heatwaves-of-quiberon"/>
    <w:p>
      <w:pPr>
        <w:pStyle w:val="Heading2"/>
      </w:pPr>
      <w:r>
        <w:t xml:space="preserve">3.2 Heatwaves of Quiberon</w:t>
      </w:r>
    </w:p>
    <w:bookmarkStart w:id="93"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9</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9</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9</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9</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9</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92" w:name="cell-fig-S2_comparison"/>
    <w:bookmarkStart w:id="91" w:name="fig-S2_comparison"/>
    <w:p>
      <w:pPr>
        <w:pStyle w:val="FigureTitle"/>
      </w:pPr>
      <w:r>
        <w:t xml:space="preserve">Figure 9</w:t>
      </w:r>
    </w:p>
    <w:p>
      <w:pPr>
        <w:pStyle w:val="Caption"/>
      </w:pPr>
      <w:r>
        <w:t xml:space="preserve">Spectral Comparison of Sentinel-2 Reflectance (D) over Ground Control Points (GCPs) Before (A) and During (B) Heatwave Events (C); A: RGB color composition of the Sentinel-2 image on the 1st of September 2021. The points correspond to GCPs collected on September 10, 2021</w:t>
      </w:r>
      <w:r>
        <w:t xml:space="preserve"> </w:t>
      </w:r>
      <w:hyperlink w:anchor="fig-quiberonMap">
        <w:r>
          <w:rPr>
            <w:rStyle w:val="Hyperlink"/>
          </w:rPr>
          <w:t xml:space="preserve">Figure 4</w:t>
        </w:r>
      </w:hyperlink>
      <w:r>
        <w:t xml:space="preserve">; B: Detection of heatwave events based on both Air Temperature and Sea Surface Temperature (SST). The solid line represents the daily average temperature, while the dashed line indicates the 90th percentile of the climatology. Colored polygons identidy heatwaves (marine in blue and atmospherical in red). The two vertical dashed lines represent the acquisition dates of the two Sentinel-2 images used in this analysis ; C : RGB color composition of the Sentinel-2 image on the 6th of September 2021. The points correspond to GCPs collected on September 10, 2021</w:t>
      </w:r>
      <w:r>
        <w:t xml:space="preserve"> </w:t>
      </w:r>
      <w:hyperlink w:anchor="fig-quiberonMap">
        <w:r>
          <w:rPr>
            <w:rStyle w:val="Hyperlink"/>
          </w:rPr>
          <w:t xml:space="preserve">Figure 4</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p>
      <w:pPr>
        <w:pStyle w:val="FigureWithoutNote"/>
      </w:pPr>
      <w:r>
        <w:drawing>
          <wp:inline>
            <wp:extent cx="5943600" cy="5054600"/>
            <wp:effectExtent b="0" l="0" r="0" t="0"/>
            <wp:docPr descr="" title="" id="89" name="Picture"/>
            <a:graphic>
              <a:graphicData uri="http://schemas.openxmlformats.org/drawingml/2006/picture">
                <pic:pic>
                  <pic:nvPicPr>
                    <pic:cNvPr descr="Figs/Low_res/Heatwaves_S2_plot.png" id="90" name="Picture"/>
                    <pic:cNvPicPr>
                      <a:picLocks noChangeArrowheads="1" noChangeAspect="1"/>
                    </pic:cNvPicPr>
                  </pic:nvPicPr>
                  <pic:blipFill>
                    <a:blip r:embed="rId88"/>
                    <a:stretch>
                      <a:fillRect/>
                    </a:stretch>
                  </pic:blipFill>
                  <pic:spPr bwMode="auto">
                    <a:xfrm>
                      <a:off x="0" y="0"/>
                      <a:ext cx="5943600" cy="5054600"/>
                    </a:xfrm>
                    <a:prstGeom prst="rect">
                      <a:avLst/>
                    </a:prstGeom>
                    <a:noFill/>
                    <a:ln w="9525">
                      <a:noFill/>
                      <a:headEnd/>
                      <a:tailEnd/>
                    </a:ln>
                  </pic:spPr>
                </pic:pic>
              </a:graphicData>
            </a:graphic>
          </wp:inline>
        </w:drawing>
      </w:r>
    </w:p>
    <w:bookmarkEnd w:id="91"/>
    <w:bookmarkEnd w:id="92"/>
    <w:bookmarkEnd w:id="93"/>
    <w:bookmarkStart w:id="99" w:name="radiometric-indices-comparison-1"/>
    <w:p>
      <w:pPr>
        <w:pStyle w:val="Heading3"/>
      </w:pPr>
      <w:r>
        <w:t xml:space="preserve">3.2.2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10</w:t>
        </w:r>
      </w:hyperlink>
      <w:r>
        <w:t xml:space="preserve">, left column) In contrast, seagrass darkened by the heatwave exhibited a significant decrease in both index values and SPC (</w:t>
      </w:r>
      <w:hyperlink w:anchor="fig-NDVI_GLI_SPC">
        <w:r>
          <w:rPr>
            <w:rStyle w:val="Hyperlink"/>
          </w:rPr>
          <w:t xml:space="preserve">Figure 10</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10</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10</w:t>
        </w:r>
      </w:hyperlink>
      <w:r>
        <w:t xml:space="preserve"> </w:t>
      </w:r>
      <w:r>
        <w:t xml:space="preserve">D). The GLI, the index that reflects the greenness of leaves, was the most affected by the event, with an important reduction from a median of 0.23 to 0.03 during the event (</w:t>
      </w:r>
      <w:hyperlink w:anchor="fig-NDVI_GLI_SPC">
        <w:r>
          <w:rPr>
            <w:rStyle w:val="Hyperlink"/>
          </w:rPr>
          <w:t xml:space="preserve">Figure 10</w:t>
        </w:r>
      </w:hyperlink>
      <w:r>
        <w:t xml:space="preserve"> </w:t>
      </w:r>
      <w:r>
        <w:t xml:space="preserve">F). Interestingly, when comparing the initial seagrass density of both targets (i.e., seagrass density before the event) pixels affected by the heatwave (median SPC = 85%;</w:t>
      </w:r>
      <w:r>
        <w:t xml:space="preserve"> </w:t>
      </w:r>
      <w:hyperlink w:anchor="fig-NDVI_GLI_SPC">
        <w:r>
          <w:rPr>
            <w:rStyle w:val="Hyperlink"/>
          </w:rPr>
          <w:t xml:space="preserve">Figure 10</w:t>
        </w:r>
      </w:hyperlink>
      <w:r>
        <w:t xml:space="preserve"> </w:t>
      </w:r>
      <w:r>
        <w:t xml:space="preserve">D green) were denser than the those remained unchanged (median SPC = 65%;</w:t>
      </w:r>
      <w:r>
        <w:t xml:space="preserve"> </w:t>
      </w:r>
      <w:hyperlink w:anchor="fig-NDVI_GLI_SPC">
        <w:r>
          <w:rPr>
            <w:rStyle w:val="Hyperlink"/>
          </w:rPr>
          <w:t xml:space="preserve">Figure 10</w:t>
        </w:r>
      </w:hyperlink>
      <w:r>
        <w:t xml:space="preserve"> </w:t>
      </w:r>
      <w:r>
        <w:t xml:space="preserve">C green).</w:t>
      </w:r>
    </w:p>
    <w:bookmarkStart w:id="98" w:name="cell-fig-NDVI_GLI_SPC"/>
    <w:bookmarkStart w:id="97" w:name="fig-NDVI_GLI_SPC"/>
    <w:p>
      <w:pPr>
        <w:pStyle w:val="FigureTitle"/>
      </w:pPr>
      <w:r>
        <w:t xml:space="preserve">Figure 10</w:t>
      </w:r>
    </w:p>
    <w:p>
      <w:pPr>
        <w:pStyle w:val="Caption"/>
      </w:pPr>
      <w:r>
        <w:t xml:space="preserve">Comparaison of Sentinel-2 based radiometric indices at two different dates, before (2021-09-01, green) and after (2021-09-06, red) the heatwaves events of Quiberons, for the two category of GCPs seen in the filed : Green seagrasses (i.e seagrass not affected by the event, Left Column) and Darkened Seagrasses (i.e seagrass affected by the event, Right column). The Normalised Difference Vegetation Index (NDVI) has been computed using the</w:t>
      </w:r>
      <w:r>
        <w:t xml:space="preserve"> </w:t>
      </w:r>
      <w:hyperlink w:anchor="eq-ndvi">
        <w:r>
          <w:rPr>
            <w:rStyle w:val="Hyperlink"/>
          </w:rPr>
          <w:t xml:space="preserve">Equation 1</w:t>
        </w:r>
      </w:hyperlink>
      <w:r>
        <w:t xml:space="preserve">, the Seagrass Percent Cover (SPC) with the</w:t>
      </w:r>
      <w:r>
        <w:t xml:space="preserve"> </w:t>
      </w:r>
      <w:hyperlink w:anchor="eq-spc">
        <w:r>
          <w:rPr>
            <w:rStyle w:val="Hyperlink"/>
          </w:rPr>
          <w:t xml:space="preserve">Equation 2</w:t>
        </w:r>
      </w:hyperlink>
      <w:r>
        <w:t xml:space="preserve"> </w:t>
      </w:r>
      <w:r>
        <w:t xml:space="preserve">and the Green Leaf Index (GLI) using</w:t>
      </w:r>
      <w:r>
        <w:t xml:space="preserve"> </w:t>
      </w:r>
      <w:hyperlink w:anchor="eq-gli">
        <w:r>
          <w:rPr>
            <w:rStyle w:val="Hyperlink"/>
          </w:rPr>
          <w:t xml:space="preserve">Equation 3</w:t>
        </w:r>
      </w:hyperlink>
      <w:r>
        <w:t xml:space="preserve">,</w:t>
      </w:r>
    </w:p>
    <w:p>
      <w:pPr>
        <w:pStyle w:val="FigureWithoutNote"/>
      </w:pPr>
      <w:r>
        <w:drawing>
          <wp:inline>
            <wp:extent cx="4754880" cy="6792685"/>
            <wp:effectExtent b="0" l="0" r="0" t="0"/>
            <wp:docPr descr="" title="" id="95" name="Picture"/>
            <a:graphic>
              <a:graphicData uri="http://schemas.openxmlformats.org/drawingml/2006/picture">
                <pic:pic>
                  <pic:nvPicPr>
                    <pic:cNvPr descr="Figs/Low_res/Compares_Indices_S2.png" id="96" name="Picture"/>
                    <pic:cNvPicPr>
                      <a:picLocks noChangeArrowheads="1" noChangeAspect="1"/>
                    </pic:cNvPicPr>
                  </pic:nvPicPr>
                  <pic:blipFill>
                    <a:blip r:embed="rId94"/>
                    <a:stretch>
                      <a:fillRect/>
                    </a:stretch>
                  </pic:blipFill>
                  <pic:spPr bwMode="auto">
                    <a:xfrm>
                      <a:off x="0" y="0"/>
                      <a:ext cx="4754880" cy="6792685"/>
                    </a:xfrm>
                    <a:prstGeom prst="rect">
                      <a:avLst/>
                    </a:prstGeom>
                    <a:noFill/>
                    <a:ln w="9525">
                      <a:noFill/>
                      <a:headEnd/>
                      <a:tailEnd/>
                    </a:ln>
                  </pic:spPr>
                </pic:pic>
              </a:graphicData>
            </a:graphic>
          </wp:inline>
        </w:drawing>
      </w:r>
    </w:p>
    <w:bookmarkEnd w:id="97"/>
    <w:bookmarkEnd w:id="98"/>
    <w:bookmarkEnd w:id="99"/>
    <w:bookmarkStart w:id="110" w:name="mapping-of-the-seagrass-darkening"/>
    <w:p>
      <w:pPr>
        <w:pStyle w:val="Heading3"/>
      </w:pPr>
      <w:r>
        <w:t xml:space="preserve">3.2.3 Mapping of the seagrass darkening</w:t>
      </w:r>
    </w:p>
    <w:p>
      <w:pPr>
        <w:pStyle w:val="FirstParagraph"/>
      </w:pPr>
      <w:r>
        <w:t xml:space="preserve">Using the</w:t>
      </w:r>
      <w:r>
        <w:t xml:space="preserve"> </w:t>
      </w:r>
      <w:hyperlink w:anchor="eq-SDI">
        <w:r>
          <w:rPr>
            <w:rStyle w:val="Hyperlink"/>
          </w:rPr>
          <w:t xml:space="preserve">Equation 4</w:t>
        </w:r>
      </w:hyperlink>
      <w:r>
        <w:t xml:space="preserve">, we can detect seagrass patches that have darkened. Following the heatwave events, a total of 26.9 hectares of seagrass darkened, with the largest affected patch covering nearly 8 hectares. Overall, 25 % of the total seagrass meadow area showed signs of darkening between the 1st and 6th of September 2021. Comparing the spatial distribution of darkened patches with the site’s bathymetry reveals that 94.6 % of darkened areas are located at above 3.8 meters of bathymetry (</w:t>
      </w:r>
      <w:hyperlink w:anchor="fig-Map_darkening_Bathy">
        <w:r>
          <w:rPr>
            <w:rStyle w:val="Hyperlink"/>
          </w:rPr>
          <w:t xml:space="preserve">Figure 11</w:t>
        </w:r>
      </w:hyperlink>
      <w:r>
        <w:t xml:space="preserve">, A and B).</w:t>
      </w:r>
    </w:p>
    <w:bookmarkStart w:id="104" w:name="cell-fig-Map_darkening_Bathy"/>
    <w:bookmarkStart w:id="103" w:name="fig-Map_darkening_Bathy"/>
    <w:p>
      <w:pPr>
        <w:pStyle w:val="FigureTitle"/>
      </w:pPr>
      <w:r>
        <w:t xml:space="preserve">Figure 11</w:t>
      </w:r>
    </w:p>
    <w:p>
      <w:pPr>
        <w:pStyle w:val="Caption"/>
      </w:pPr>
      <w:r>
        <w:t xml:space="preserve">Map of the Darkening of seagrasses during the heatwave events of September 2021 in Quiberon. A: 3.9 m bathymetry isobar (golden line); B: Result of the detection of darkened seagrass patches (Blue plolygons)</w:t>
      </w:r>
    </w:p>
    <w:p>
      <w:pPr>
        <w:pStyle w:val="FigureWithoutNote"/>
      </w:pPr>
      <w:r>
        <w:drawing>
          <wp:inline>
            <wp:extent cx="5943600" cy="5557266"/>
            <wp:effectExtent b="0" l="0" r="0" t="0"/>
            <wp:docPr descr="" title="" id="101" name="Picture"/>
            <a:graphic>
              <a:graphicData uri="http://schemas.openxmlformats.org/drawingml/2006/picture">
                <pic:pic>
                  <pic:nvPicPr>
                    <pic:cNvPr descr="Figs/Low_res/Map_darkening_Bathy.png" id="102" name="Picture"/>
                    <pic:cNvPicPr>
                      <a:picLocks noChangeArrowheads="1" noChangeAspect="1"/>
                    </pic:cNvPicPr>
                  </pic:nvPicPr>
                  <pic:blipFill>
                    <a:blip r:embed="rId100"/>
                    <a:stretch>
                      <a:fillRect/>
                    </a:stretch>
                  </pic:blipFill>
                  <pic:spPr bwMode="auto">
                    <a:xfrm>
                      <a:off x="0" y="0"/>
                      <a:ext cx="5943600" cy="5557266"/>
                    </a:xfrm>
                    <a:prstGeom prst="rect">
                      <a:avLst/>
                    </a:prstGeom>
                    <a:noFill/>
                    <a:ln w="9525">
                      <a:noFill/>
                      <a:headEnd/>
                      <a:tailEnd/>
                    </a:ln>
                  </pic:spPr>
                </pic:pic>
              </a:graphicData>
            </a:graphic>
          </wp:inline>
        </w:drawing>
      </w:r>
    </w:p>
    <w:bookmarkEnd w:id="103"/>
    <w:bookmarkEnd w:id="104"/>
    <w:p>
      <w:pPr>
        <w:pStyle w:val="AfterWithoutNote"/>
      </w:pPr>
      <w:r>
        <w:t xml:space="preserve">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seagrasses began to darken, peaking at around 14.5 hours of daily exposure (</w:t>
      </w:r>
      <w:hyperlink w:anchor="fig-GAM_Emersion">
        <w:r>
          <w:rPr>
            <w:rStyle w:val="Hyperlink"/>
          </w:rPr>
          <w:t xml:space="preserve">Figure 12</w:t>
        </w:r>
      </w:hyperlink>
      <w:r>
        <w:t xml:space="preserve">).</w:t>
      </w:r>
    </w:p>
    <w:bookmarkStart w:id="109" w:name="cell-fig-GAM_Emersion"/>
    <w:bookmarkStart w:id="108" w:name="fig-GAM_Emersion"/>
    <w:p>
      <w:pPr>
        <w:pStyle w:val="FigureTitle"/>
      </w:pPr>
      <w:r>
        <w:t xml:space="preserve">Figure 12</w:t>
      </w:r>
    </w:p>
    <w:p>
      <w:pPr>
        <w:pStyle w:val="Caption"/>
      </w:pPr>
      <w:r>
        <w:t xml:space="preserve">Seagrass Darkening Index as a function of the daily emergence time of seagrasses. The line represents a Generalized Additive Model (GAM) prediction, and the shaded area indicates the standard error. Shaded points represent raw data, with each point corresponding to a single pixel of the meadow.</w:t>
      </w:r>
    </w:p>
    <w:p>
      <w:pPr>
        <w:pStyle w:val="FigureWithoutNote"/>
      </w:pPr>
      <w:r>
        <w:drawing>
          <wp:inline>
            <wp:extent cx="5943600" cy="2971800"/>
            <wp:effectExtent b="0" l="0" r="0" t="0"/>
            <wp:docPr descr="" title="" id="106" name="Picture"/>
            <a:graphic>
              <a:graphicData uri="http://schemas.openxmlformats.org/drawingml/2006/picture">
                <pic:pic>
                  <pic:nvPicPr>
                    <pic:cNvPr descr="Figs/Low_res/GAM_emersion.png" id="107" name="Picture"/>
                    <pic:cNvPicPr>
                      <a:picLocks noChangeArrowheads="1" noChangeAspect="1"/>
                    </pic:cNvPicPr>
                  </pic:nvPicPr>
                  <pic:blipFill>
                    <a:blip r:embed="rId105"/>
                    <a:stretch>
                      <a:fillRect/>
                    </a:stretch>
                  </pic:blipFill>
                  <pic:spPr bwMode="auto">
                    <a:xfrm>
                      <a:off x="0" y="0"/>
                      <a:ext cx="5943600" cy="2971800"/>
                    </a:xfrm>
                    <a:prstGeom prst="rect">
                      <a:avLst/>
                    </a:prstGeom>
                    <a:noFill/>
                    <a:ln w="9525">
                      <a:noFill/>
                      <a:headEnd/>
                      <a:tailEnd/>
                    </a:ln>
                  </pic:spPr>
                </pic:pic>
              </a:graphicData>
            </a:graphic>
          </wp:inline>
        </w:drawing>
      </w:r>
    </w:p>
    <w:bookmarkEnd w:id="108"/>
    <w:bookmarkEnd w:id="109"/>
    <w:bookmarkEnd w:id="110"/>
    <w:bookmarkEnd w:id="111"/>
    <w:bookmarkEnd w:id="112"/>
    <w:bookmarkStart w:id="124" w:name="discussion"/>
    <w:p>
      <w:pPr>
        <w:pStyle w:val="Heading1"/>
      </w:pPr>
      <w:r>
        <w:t xml:space="preserve">4. Discussion</w:t>
      </w:r>
    </w:p>
    <w:p>
      <w:pPr>
        <w:pStyle w:val="Compact"/>
        <w:numPr>
          <w:ilvl w:val="0"/>
          <w:numId w:val="1004"/>
        </w:numPr>
      </w:pPr>
      <w:r>
        <w:t xml:space="preserve">remote sensing allowed to maps darkening. and allowed to map a link with the bathymetry.</w:t>
      </w:r>
    </w:p>
    <w:p>
      <w:pPr>
        <w:pStyle w:val="Compact"/>
        <w:numPr>
          <w:ilvl w:val="0"/>
          <w:numId w:val="1004"/>
        </w:numPr>
      </w:pPr>
      <w:r>
        <w:t xml:space="preserve">The index, build experimentally, allowed to better understand heatwaves impact of ecosyteme. This index, build for satellite remote sensing, can be used for drone mapping of events.</w:t>
      </w:r>
    </w:p>
    <w:p>
      <w:pPr>
        <w:pStyle w:val="Compact"/>
        <w:numPr>
          <w:ilvl w:val="0"/>
          <w:numId w:val="1004"/>
        </w:numPr>
      </w:pPr>
      <w:r>
        <w:t xml:space="preserve">Why is there a drop in the green and the near part of the spectra - physiology</w:t>
      </w:r>
    </w:p>
    <w:p>
      <w:pPr>
        <w:pStyle w:val="FirstParagraph"/>
      </w:pPr>
      <w:r>
        <w:t xml:space="preserve">Although extensive research exists on marine heatwaves’ effects on subtidal seagrasses, little attention has been given to intertidal regions and even less to the interaction between atmospherical extrem event and intertidal meadows. This study initiates an exploration of how intertidal seagrasses respond to the dual influence of marine and atmospheric heatwaves, underscoring the need for further investigation in this underexplored area.</w:t>
      </w:r>
    </w:p>
    <w:bookmarkStart w:id="123" w:name="Xa82f5e74297d5ee5b331fc5593ccb1f04dbc209"/>
    <w:p>
      <w:pPr>
        <w:pStyle w:val="Heading2"/>
      </w:pPr>
      <w:r>
        <w:t xml:space="preserve">4.1 Frequency Intensity of Heatwaves and implication for seagrasses and their resilience.</w:t>
      </w:r>
    </w:p>
    <w:p>
      <w:pPr>
        <w:pStyle w:val="FirstParagraph"/>
      </w:pPr>
      <w:r>
        <w:t xml:space="preserve">The rapid escalation of heatwave frequency and intensity globally is a defining characteristic of the current climate crisis, influenced heavily by anthropogenic activities and greenhouse gas emissions. Rising temperatures have led to the intensification of extreme weather events, particularly heatwaves, which are not only becoming more frequent but also lasting longer and reaching higher temperature peaks. Recent research suggests that the magnitude of these events has surged in the past decades, and projections indicate a continuation of this trend well into the future. For example, heatwaves that were once considered rare are now up to ten times more likely to occur, with some regions experiencing events three times as intense as those in the early 20th century</w:t>
      </w:r>
      <w:r>
        <w:t xml:space="preserve"> </w:t>
      </w:r>
      <w:r>
        <w:t xml:space="preserve">(</w:t>
      </w:r>
      <w:hyperlink w:anchor="ref-devi2024intensity">
        <w:r>
          <w:rPr>
            <w:rStyle w:val="Hyperlink"/>
          </w:rPr>
          <w:t xml:space="preserve">Devi et al., 2024</w:t>
        </w:r>
      </w:hyperlink>
      <w:r>
        <w:t xml:space="preserve">;</w:t>
      </w:r>
      <w:r>
        <w:t xml:space="preserve"> </w:t>
      </w:r>
      <w:hyperlink w:anchor="ref-russo2023intensity">
        <w:r>
          <w:rPr>
            <w:rStyle w:val="Hyperlink"/>
          </w:rPr>
          <w:t xml:space="preserve">Russo and Domeisen, 2023</w:t>
        </w:r>
      </w:hyperlink>
      <w:r>
        <w:t xml:space="preserve">)</w:t>
      </w:r>
      <w:r>
        <w:t xml:space="preserve">. In our study site in Quiberon, a similar pattern emerges at the local scale. Data from a local weather station indicate an increasing trend in both the frequency and cumulative intensity of atmospheric heatwaves, while the same parameters for coldspells—defined as extreme low temperatures below the 10th percentile—show a marked decline in both frequency and intensity</w:t>
      </w:r>
      <w:r>
        <w:t xml:space="preserve"> </w:t>
      </w:r>
      <w:hyperlink w:anchor="fig-Freq_Int_HW_CS">
        <w:r>
          <w:rPr>
            <w:rStyle w:val="Hyperlink"/>
          </w:rPr>
          <w:t xml:space="preserve">Figure 13</w:t>
        </w:r>
      </w:hyperlink>
      <w:r>
        <w:t xml:space="preserve">.</w:t>
      </w:r>
    </w:p>
    <w:bookmarkStart w:id="117" w:name="cell-fig-Freq_Int_HW_CS"/>
    <w:bookmarkStart w:id="116" w:name="fig-Freq_Int_HW_CS"/>
    <w:p>
      <w:pPr>
        <w:pStyle w:val="FigureTitle"/>
      </w:pPr>
      <w:r>
        <w:t xml:space="preserve">Figure 13</w:t>
      </w:r>
    </w:p>
    <w:p>
      <w:pPr>
        <w:pStyle w:val="Caption"/>
      </w:pPr>
      <w:r>
        <w:t xml:space="preserve">Frequency and intensity of atmospheric heatwaves (red) and cold spells (blue) over time at the Lorient-Lann Bihoué weather station. The left column displays the annual frequency of heatwaves and cold spells as the total number of events per year. The right column illustrates event intensity, represented by the cumulative temperature anomaly throughout the year, measured in degrees Celsius.</w:t>
      </w:r>
    </w:p>
    <w:p>
      <w:pPr>
        <w:pStyle w:val="FigureWithoutNote"/>
      </w:pPr>
      <w:r>
        <w:drawing>
          <wp:inline>
            <wp:extent cx="4754880" cy="4754880"/>
            <wp:effectExtent b="0" l="0" r="0" t="0"/>
            <wp:docPr descr="" title="" id="114" name="Picture"/>
            <a:graphic>
              <a:graphicData uri="http://schemas.openxmlformats.org/drawingml/2006/picture">
                <pic:pic>
                  <pic:nvPicPr>
                    <pic:cNvPr descr="Figs/Low_res/plot_HW_CS.png" id="115" name="Picture"/>
                    <pic:cNvPicPr>
                      <a:picLocks noChangeArrowheads="1" noChangeAspect="1"/>
                    </pic:cNvPicPr>
                  </pic:nvPicPr>
                  <pic:blipFill>
                    <a:blip r:embed="rId113"/>
                    <a:stretch>
                      <a:fillRect/>
                    </a:stretch>
                  </pic:blipFill>
                  <pic:spPr bwMode="auto">
                    <a:xfrm>
                      <a:off x="0" y="0"/>
                      <a:ext cx="4754880" cy="4754880"/>
                    </a:xfrm>
                    <a:prstGeom prst="rect">
                      <a:avLst/>
                    </a:prstGeom>
                    <a:noFill/>
                    <a:ln w="9525">
                      <a:noFill/>
                      <a:headEnd/>
                      <a:tailEnd/>
                    </a:ln>
                  </pic:spPr>
                </pic:pic>
              </a:graphicData>
            </a:graphic>
          </wp:inline>
        </w:drawing>
      </w:r>
    </w:p>
    <w:bookmarkEnd w:id="116"/>
    <w:bookmarkEnd w:id="117"/>
    <w:p>
      <w:pPr>
        <w:pStyle w:val="AfterWithoutNote"/>
      </w:pPr>
      <w:r>
        <w:t xml:space="preserve">Metrics used to quantify heatwave intensity, such as cumulative indices based on total temperature exceedances over time, reveal a more comprehensive understanding of the severity and duration of these events compared to average temperature measures</w:t>
      </w:r>
      <w:r>
        <w:t xml:space="preserve"> </w:t>
      </w:r>
      <w:r>
        <w:t xml:space="preserve">(</w:t>
      </w:r>
      <w:hyperlink w:anchor="ref-russo2023intensity">
        <w:r>
          <w:rPr>
            <w:rStyle w:val="Hyperlink"/>
          </w:rPr>
          <w:t xml:space="preserve">Russo and Domeisen, 2023</w:t>
        </w:r>
      </w:hyperlink>
      <w:r>
        <w:t xml:space="preserve">)</w:t>
      </w:r>
      <w:r>
        <w:t xml:space="preserve">. This is particularly relevant, as the cumulative impact of sustained high temperatures exerts more extensive stress on ecosystems, infrastructure, and human health than individual peak temperatures alone.</w:t>
      </w:r>
    </w:p>
    <w:p>
      <w:pPr>
        <w:pStyle w:val="BodyText"/>
      </w:pPr>
      <w:r>
        <w:t xml:space="preserve">From a hazard analysis perspective, the concurrent evaluation of intensity, frequency, and duration of heatwaves allows for a nuanced understanding of their likely impacts. Models like the Heatwave Intensity Duration Frequency (HIDF) curves provide insights into the probability of various heatwave scenarios, indicating that both short but intense events and prolonged moderate events present unique risks depending on the region. In places such as the Mediterranean, for instance, the frequency of high-intensity heatwaves has dramatically increased, leading to severe impacts on urban infrastructure, public health, and energy consumption</w:t>
      </w:r>
      <w:r>
        <w:t xml:space="preserve"> </w:t>
      </w:r>
      <w:r>
        <w:t xml:space="preserve">(</w:t>
      </w:r>
      <w:hyperlink w:anchor="ref-mazdiyasni2019hidf">
        <w:r>
          <w:rPr>
            <w:rStyle w:val="Hyperlink"/>
          </w:rPr>
          <w:t xml:space="preserve">Mazdiyasni et al., 2019</w:t>
        </w:r>
      </w:hyperlink>
      <w:r>
        <w:t xml:space="preserve">;</w:t>
      </w:r>
      <w:r>
        <w:t xml:space="preserve"> </w:t>
      </w:r>
      <w:hyperlink w:anchor="ref-smale2019marine">
        <w:r>
          <w:rPr>
            <w:rStyle w:val="Hyperlink"/>
          </w:rPr>
          <w:t xml:space="preserve">Smale et al., 2019</w:t>
        </w:r>
      </w:hyperlink>
      <w:r>
        <w:t xml:space="preserve">)</w:t>
      </w:r>
      <w:r>
        <w:t xml:space="preserve">. Regions experiencing significant daily temperature variability are projected to see a sharper increase in extreme heat events, which underscores the role of atmospheric variability in shaping local heatwave dynamics. Specifically, in the mid-latitudes, where variability is expected to decrease, heat extremes may stabilize at elevated levels, thereby reducing cold extremes while allowing for increasingly frequent hot days</w:t>
      </w:r>
      <w:r>
        <w:t xml:space="preserve"> </w:t>
      </w:r>
      <w:r>
        <w:t xml:space="preserve">(</w:t>
      </w:r>
      <w:hyperlink w:anchor="ref-simolo2022quantifying">
        <w:r>
          <w:rPr>
            <w:rStyle w:val="Hyperlink"/>
          </w:rPr>
          <w:t xml:space="preserve">Simolo and Corti, 2022</w:t>
        </w:r>
      </w:hyperlink>
      <w:r>
        <w:t xml:space="preserve">)</w:t>
      </w:r>
      <w:r>
        <w:t xml:space="preserve">.</w:t>
      </w:r>
    </w:p>
    <w:p>
      <w:pPr>
        <w:pStyle w:val="BodyText"/>
      </w:pPr>
      <w:r>
        <w:t xml:space="preserve">In the ocean, similar trends are observed with marine heatwaves. These events are equally, if not more, consequential as atmospheric heatwaves, with widespread impacts on marine biodiversity, fisheries, and carbon cycling. MHWs have increased by over 50% in annual days since the early 20th century, and projections suggest that a near-permanent state of marine heatwaves could develop by the end of the century if greenhouse gas emissions remain high</w:t>
      </w:r>
      <w:r>
        <w:t xml:space="preserve"> </w:t>
      </w:r>
      <w:r>
        <w:t xml:space="preserve">(</w:t>
      </w:r>
      <w:hyperlink w:anchor="ref-oliver2019projected">
        <w:r>
          <w:rPr>
            <w:rStyle w:val="Hyperlink"/>
          </w:rPr>
          <w:t xml:space="preserve">Oliver et al., 2019</w:t>
        </w:r>
      </w:hyperlink>
      <w:r>
        <w:t xml:space="preserve">)</w:t>
      </w:r>
      <w:r>
        <w:t xml:space="preserve">. Events like the</w:t>
      </w:r>
      <w:r>
        <w:t xml:space="preserve"> </w:t>
      </w:r>
      <w:r>
        <w:t xml:space="preserve">“</w:t>
      </w:r>
      <w:r>
        <w:t xml:space="preserve">Blob</w:t>
      </w:r>
      <w:r>
        <w:t xml:space="preserve">”</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w:t>
      </w:r>
      <w:hyperlink w:anchor="ref-smale2019marine">
        <w:r>
          <w:rPr>
            <w:rStyle w:val="Hyperlink"/>
          </w:rPr>
          <w:t xml:space="preserve">Smale et al., 2019</w:t>
        </w:r>
      </w:hyperlink>
      <w:r>
        <w:t xml:space="preserve">)</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w:t>
      </w:r>
      <w:hyperlink w:anchor="ref-devi2024intensity">
        <w:r>
          <w:rPr>
            <w:rStyle w:val="Hyperlink"/>
          </w:rPr>
          <w:t xml:space="preserve">Devi et al., 2024</w:t>
        </w:r>
      </w:hyperlink>
      <w:r>
        <w:t xml:space="preserve">;</w:t>
      </w:r>
      <w:r>
        <w:t xml:space="preserve"> </w:t>
      </w:r>
      <w:hyperlink w:anchor="ref-stillman2019heat">
        <w:r>
          <w:rPr>
            <w:rStyle w:val="Hyperlink"/>
          </w:rPr>
          <w:t xml:space="preserve">Stillman, 2019</w:t>
        </w:r>
      </w:hyperlink>
      <w:r>
        <w:t xml:space="preserve">)</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w:t>
      </w:r>
      <w:hyperlink w:anchor="ref-oliver2019projected">
        <w:r>
          <w:rPr>
            <w:rStyle w:val="Hyperlink"/>
          </w:rPr>
          <w:t xml:space="preserve">Oliver et al., 2019</w:t>
        </w:r>
      </w:hyperlink>
      <w:r>
        <w:t xml:space="preserve">;</w:t>
      </w:r>
      <w:r>
        <w:t xml:space="preserve"> </w:t>
      </w:r>
      <w:hyperlink w:anchor="ref-simolo2022quantifying">
        <w:r>
          <w:rPr>
            <w:rStyle w:val="Hyperlink"/>
          </w:rPr>
          <w:t xml:space="preserve">Simolo and Corti, 2022</w:t>
        </w:r>
      </w:hyperlink>
      <w:r>
        <w:t xml:space="preserve">)</w:t>
      </w:r>
      <w:r>
        <w:t xml:space="preserve">. Terrestrial ecosystems experience shifts in species distributions, altered community dynamics, and reduced biodiversity as species are either forced to migrate or face local extinction under increasingly inhospitable conditions</w:t>
      </w:r>
      <w:r>
        <w:t xml:space="preserve"> </w:t>
      </w:r>
      <w:r>
        <w:t xml:space="preserve">(</w:t>
      </w:r>
      <w:hyperlink w:anchor="ref-pansch2018heat">
        <w:r>
          <w:rPr>
            <w:rStyle w:val="Hyperlink"/>
          </w:rPr>
          <w:t xml:space="preserve">Pansch et al., 2018</w:t>
        </w:r>
      </w:hyperlink>
      <w:r>
        <w:t xml:space="preserve">)</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w:t>
      </w:r>
      <w:hyperlink w:anchor="ref-oliver2019projected">
        <w:r>
          <w:rPr>
            <w:rStyle w:val="Hyperlink"/>
          </w:rPr>
          <w:t xml:space="preserve">Oliver et al., 2019</w:t>
        </w:r>
      </w:hyperlink>
      <w:r>
        <w:t xml:space="preserve">;</w:t>
      </w:r>
      <w:r>
        <w:t xml:space="preserve"> </w:t>
      </w:r>
      <w:hyperlink w:anchor="ref-smale2019marine">
        <w:r>
          <w:rPr>
            <w:rStyle w:val="Hyperlink"/>
          </w:rPr>
          <w:t xml:space="preserve">Smale et al., 2019</w:t>
        </w:r>
      </w:hyperlink>
      <w:r>
        <w:t xml:space="preserve">)</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w:t>
      </w:r>
      <w:hyperlink w:anchor="ref-deguette2022physiological">
        <w:r>
          <w:rPr>
            <w:rStyle w:val="Hyperlink"/>
          </w:rPr>
          <w:t xml:space="preserve">Deguette et al., 2022</w:t>
        </w:r>
      </w:hyperlink>
      <w:r>
        <w:t xml:space="preserve">;</w:t>
      </w:r>
      <w:r>
        <w:t xml:space="preserve"> </w:t>
      </w:r>
      <w:hyperlink w:anchor="ref-guerrero2020heat">
        <w:r>
          <w:rPr>
            <w:rStyle w:val="Hyperlink"/>
          </w:rPr>
          <w:t xml:space="preserve">Guerrero-Meseguer et al., 2020</w:t>
        </w:r>
      </w:hyperlink>
      <w:r>
        <w:t xml:space="preserve">;</w:t>
      </w:r>
      <w:r>
        <w:t xml:space="preserve"> </w:t>
      </w:r>
      <w:hyperlink w:anchor="ref-sawall2021chronically">
        <w:r>
          <w:rPr>
            <w:rStyle w:val="Hyperlink"/>
          </w:rPr>
          <w:t xml:space="preserve">Sawall et al., 2021</w:t>
        </w:r>
      </w:hyperlink>
      <w:r>
        <w:t xml:space="preserve">;</w:t>
      </w:r>
      <w:r>
        <w:t xml:space="preserve"> </w:t>
      </w:r>
      <w:hyperlink w:anchor="ref-winters2011effects">
        <w:r>
          <w:rPr>
            <w:rStyle w:val="Hyperlink"/>
          </w:rPr>
          <w:t xml:space="preserve">Winters et al., 2011</w:t>
        </w:r>
      </w:hyperlink>
      <w:r>
        <w:t xml:space="preserve">)</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w:t>
      </w:r>
      <w:hyperlink w:anchor="ref-mazdiyasni2019hidf">
        <w:r>
          <w:rPr>
            <w:rStyle w:val="Hyperlink"/>
          </w:rPr>
          <w:t xml:space="preserve">Mazdiyasni et al., 2019</w:t>
        </w:r>
      </w:hyperlink>
      <w:r>
        <w:t xml:space="preserve">)</w:t>
      </w:r>
      <w:r>
        <w:t xml:space="preserve">. The compounded impacts of atmospheric and marine heatwaves thus pose an existential threat to seagrass ecosystems, highlighting the urgent need for targeted climate adaptation measures to mitigate these escalating thermal stresses and preserve the resilience of these essential marine habitats</w:t>
      </w:r>
      <w:r>
        <w:t xml:space="preserve"> </w:t>
      </w:r>
      <w:r>
        <w:t xml:space="preserve">(</w:t>
      </w:r>
      <w:hyperlink w:anchor="ref-russo2023intensity">
        <w:r>
          <w:rPr>
            <w:rStyle w:val="Hyperlink"/>
          </w:rPr>
          <w:t xml:space="preserve">Russo and Domeisen, 2023</w:t>
        </w:r>
      </w:hyperlink>
      <w:r>
        <w:t xml:space="preserve">;</w:t>
      </w:r>
      <w:r>
        <w:t xml:space="preserve"> </w:t>
      </w:r>
      <w:hyperlink w:anchor="ref-stillman2019heat">
        <w:r>
          <w:rPr>
            <w:rStyle w:val="Hyperlink"/>
          </w:rPr>
          <w:t xml:space="preserve">Stillman, 2019</w:t>
        </w:r>
      </w:hyperlink>
      <w:r>
        <w:t xml:space="preserve">)</w:t>
      </w:r>
      <w:r>
        <w:t xml:space="preserve">.</w:t>
      </w:r>
    </w:p>
    <w:p>
      <w:pPr>
        <w:pStyle w:val="BodyText"/>
      </w:pPr>
      <w:r>
        <w:t xml:space="preserve">Seagrass resilience to heatwaves is a complex and multifaceted issue shaped by species-specific traits, geographical location, and concurrent environmental stressors</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w:t>
      </w:r>
      <w:hyperlink w:anchor="ref-hatum2024predicting">
        <w:r>
          <w:rPr>
            <w:rStyle w:val="Hyperlink"/>
          </w:rPr>
          <w:t xml:space="preserve">Hatum et al., 2024</w:t>
        </w:r>
      </w:hyperlink>
      <w:r>
        <w:t xml:space="preserve">)</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w:t>
      </w:r>
      <w:hyperlink w:anchor="ref-o2018seagrass">
        <w:r>
          <w:rPr>
            <w:rStyle w:val="Hyperlink"/>
          </w:rPr>
          <w:t xml:space="preserve">O’Brien et al., 2018</w:t>
        </w:r>
      </w:hyperlink>
      <w:r>
        <w:t xml:space="preserve">)</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Nanozostera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although submerged longer, experience prolonged emersion during low tides,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Nanozostera noltei</w:t>
      </w:r>
      <w:r>
        <w:t xml:space="preserve"> </w:t>
      </w:r>
      <w:r>
        <w:t xml:space="preserve">display distinct seasonal patterns that become increasingly pronounced at higher latitudes</w:t>
      </w:r>
      <w:r>
        <w:t xml:space="preserve"> </w:t>
      </w:r>
      <w:r>
        <w:t xml:space="preserve">(</w:t>
      </w:r>
      <w:hyperlink w:anchor="ref-davies2024sentinel">
        <w:r>
          <w:rPr>
            <w:rStyle w:val="Hyperlink"/>
          </w:rPr>
          <w:t xml:space="preserve">Davies et al., 2024a</w:t>
        </w:r>
      </w:hyperlink>
      <w:r>
        <w:t xml:space="preserve">,</w:t>
      </w:r>
      <w:r>
        <w:t xml:space="preserve"> </w:t>
      </w:r>
      <w:hyperlink w:anchor="ref-davies2024intertidal">
        <w:r>
          <w:rPr>
            <w:rStyle w:val="Hyperlink"/>
          </w:rPr>
          <w:t xml:space="preserve">2024b</w:t>
        </w:r>
      </w:hyperlink>
      <w:r>
        <w:t xml:space="preserve">)</w:t>
      </w:r>
      <w:r>
        <w:t xml:space="preserve">. These patterns reflect the species’ adaptation to seasonal variations in temperature and light, but they also make N. noltei 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In these cooler areas,</w:t>
      </w:r>
      <w:r>
        <w:t xml:space="preserve"> </w:t>
      </w:r>
      <w:r>
        <w:rPr>
          <w:i/>
          <w:iCs/>
        </w:rPr>
        <w:t xml:space="preserve">Nanostera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w:t>
      </w:r>
      <w:hyperlink w:anchor="ref-franssen2014genome">
        <w:r>
          <w:rPr>
            <w:rStyle w:val="Hyperlink"/>
          </w:rPr>
          <w:t xml:space="preserve">Franssen et al., 2014</w:t>
        </w:r>
      </w:hyperlink>
      <w:r>
        <w:t xml:space="preserve">)</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w:t>
      </w:r>
      <w:hyperlink w:anchor="ref-hatum2024predicting">
        <w:r>
          <w:rPr>
            <w:rStyle w:val="Hyperlink"/>
          </w:rPr>
          <w:t xml:space="preserve">Hatum et al., 2024</w:t>
        </w:r>
      </w:hyperlink>
      <w:r>
        <w:t xml:space="preserve">)</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Nanozostera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w:t>
      </w:r>
      <w:hyperlink w:anchor="ref-de2022increased">
        <w:r>
          <w:rPr>
            <w:rStyle w:val="Hyperlink"/>
          </w:rPr>
          <w:t xml:space="preserve">De Fouw et al., 2022</w:t>
        </w:r>
      </w:hyperlink>
      <w:r>
        <w:t xml:space="preserve">)</w:t>
      </w:r>
      <w:r>
        <w:t xml:space="preserve">.</w:t>
      </w:r>
    </w:p>
    <w:p>
      <w:pPr>
        <w:pStyle w:val="BodyText"/>
      </w:pPr>
      <w:r>
        <w:t xml:space="preserve">In a simulated heatwave experiment on</w:t>
      </w:r>
      <w:r>
        <w:t xml:space="preserve"> </w:t>
      </w:r>
      <w:r>
        <w:rPr>
          <w:i/>
          <w:iCs/>
        </w:rPr>
        <w:t xml:space="preserve">Nanozostera noltei</w:t>
      </w:r>
      <w:r>
        <w:t xml:space="preserve">, resilience was evident under short-term moderate stress, with no significant changes in photosynthetic performance or survival. However, prolonged or more intense heat events posed a greater challenge, highlighting the species’ limited capacity to withstand chronic thermal stress</w:t>
      </w:r>
      <w:r>
        <w:t xml:space="preserve"> </w:t>
      </w:r>
      <w:r>
        <w:t xml:space="preserve">(</w:t>
      </w:r>
      <w:hyperlink w:anchor="ref-franssen2014genome">
        <w:r>
          <w:rPr>
            <w:rStyle w:val="Hyperlink"/>
          </w:rPr>
          <w:t xml:space="preserve">Franssen et al., 2014</w:t>
        </w:r>
      </w:hyperlink>
      <w:r>
        <w:t xml:space="preserve">;</w:t>
      </w:r>
      <w:r>
        <w:t xml:space="preserve"> </w:t>
      </w:r>
      <w:hyperlink w:anchor="ref-massa2009temperature">
        <w:r>
          <w:rPr>
            <w:rStyle w:val="Hyperlink"/>
          </w:rPr>
          <w:t xml:space="preserve">Massa et al., 2009</w:t>
        </w:r>
      </w:hyperlink>
      <w:r>
        <w:t xml:space="preserve">)</w:t>
      </w:r>
      <w:r>
        <w:t xml:space="preserve">. The long-term impact of heatwaves is especially evident in changes to seagrass cover (SPC). Before the heatwave event on 1st September 2021, impacted seagrass patches exhibited higher SPC than non-impacted areas. However, during the event on 6th September, SPC in the impacted patch experienced a sharp decline. By 7th October, one month post-event, the SPC of impacted seagrasses, initially higher, had fallen below that of non-impacted seagrasses</w:t>
      </w:r>
      <w:r>
        <w:t xml:space="preserve"> </w:t>
      </w:r>
      <w:hyperlink w:anchor="fig-Resilience_of_seagrasses">
        <w:r>
          <w:rPr>
            <w:rStyle w:val="Hyperlink"/>
          </w:rPr>
          <w:t xml:space="preserve">Figure 14</w:t>
        </w:r>
      </w:hyperlink>
      <w:r>
        <w:t xml:space="preserve">. The observed decrease in seagrass cover (SPC) on 6th September was primarily due to leaf darkening, which influenced the NDVI measurements used to estimate SPC. This darkening effect reduced the NDVI values, creating an apparent decrease in SPC in the impacted patch when, in reality, the density of seagrass remained stable.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w:t>
      </w:r>
      <w:r>
        <w:t xml:space="preserve"> </w:t>
      </w:r>
      <w:hyperlink w:anchor="fig-Resilience_of_seagrasses">
        <w:r>
          <w:rPr>
            <w:rStyle w:val="Hyperlink"/>
          </w:rPr>
          <w:t xml:space="preserve">Figure 14</w:t>
        </w:r>
      </w:hyperlink>
      <w:r>
        <w:t xml:space="preserve">.</w:t>
      </w:r>
    </w:p>
    <w:bookmarkStart w:id="122" w:name="cell-fig-Resilience_of_seagrasses"/>
    <w:bookmarkStart w:id="121" w:name="fig-Resilience_of_seagrasses"/>
    <w:p>
      <w:pPr>
        <w:pStyle w:val="FigureTitle"/>
      </w:pPr>
      <w:r>
        <w:t xml:space="preserve">Figure 14</w:t>
      </w:r>
    </w:p>
    <w:p>
      <w:pPr>
        <w:pStyle w:val="Caption"/>
      </w:pPr>
      <w:r>
        <w:t xml:space="preserve">Comparison of the seagrass percent cover before (left), during (center) and after (right) the heatwaves for seagrasses that have not been impacted by heatwaves (i.e. remains green) and seagrasses that have been impacted by the events (i.e. seagrasses that darkened).</w:t>
      </w:r>
    </w:p>
    <w:p>
      <w:pPr>
        <w:pStyle w:val="FigureWithoutNote"/>
      </w:pPr>
      <w:r>
        <w:drawing>
          <wp:inline>
            <wp:extent cx="5943600" cy="2971800"/>
            <wp:effectExtent b="0" l="0" r="0" t="0"/>
            <wp:docPr descr="" title="" id="119" name="Picture"/>
            <a:graphic>
              <a:graphicData uri="http://schemas.openxmlformats.org/drawingml/2006/picture">
                <pic:pic>
                  <pic:nvPicPr>
                    <pic:cNvPr descr="Figs/Low_res/plot_resilience.png" id="120" name="Picture"/>
                    <pic:cNvPicPr>
                      <a:picLocks noChangeArrowheads="1" noChangeAspect="1"/>
                    </pic:cNvPicPr>
                  </pic:nvPicPr>
                  <pic:blipFill>
                    <a:blip r:embed="rId118"/>
                    <a:stretch>
                      <a:fillRect/>
                    </a:stretch>
                  </pic:blipFill>
                  <pic:spPr bwMode="auto">
                    <a:xfrm>
                      <a:off x="0" y="0"/>
                      <a:ext cx="5943600" cy="2971800"/>
                    </a:xfrm>
                    <a:prstGeom prst="rect">
                      <a:avLst/>
                    </a:prstGeom>
                    <a:noFill/>
                    <a:ln w="9525">
                      <a:noFill/>
                      <a:headEnd/>
                      <a:tailEnd/>
                    </a:ln>
                  </pic:spPr>
                </pic:pic>
              </a:graphicData>
            </a:graphic>
          </wp:inline>
        </w:drawing>
      </w:r>
    </w:p>
    <w:bookmarkEnd w:id="121"/>
    <w:bookmarkEnd w:id="122"/>
    <w:p>
      <w:pPr>
        <w:pStyle w:val="AfterWithoutNote"/>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w:t>
      </w:r>
      <w:hyperlink w:anchor="ref-hughes2004genetic">
        <w:r>
          <w:rPr>
            <w:rStyle w:val="Hyperlink"/>
          </w:rPr>
          <w:t xml:space="preserve">Hughes and Stachowicz, 2004</w:t>
        </w:r>
      </w:hyperlink>
      <w:r>
        <w:t xml:space="preserve">;</w:t>
      </w:r>
      <w:r>
        <w:t xml:space="preserve"> </w:t>
      </w:r>
      <w:hyperlink w:anchor="ref-reusch2005ecosystem">
        <w:r>
          <w:rPr>
            <w:rStyle w:val="Hyperlink"/>
          </w:rPr>
          <w:t xml:space="preserve">Reusch et al., 2005</w:t>
        </w:r>
      </w:hyperlink>
      <w:r>
        <w:t xml:space="preserve">)</w:t>
      </w:r>
      <w:r>
        <w:t xml:space="preserve">.</w:t>
      </w:r>
      <w:r>
        <w:t xml:space="preserve"> </w:t>
      </w:r>
      <w:r>
        <w:rPr>
          <w:i/>
          <w:iCs/>
        </w:rPr>
        <w:t xml:space="preserve">Nanozostera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w:t>
      </w:r>
      <w:hyperlink w:anchor="ref-franssen2014genome">
        <w:r>
          <w:rPr>
            <w:rStyle w:val="Hyperlink"/>
          </w:rPr>
          <w:t xml:space="preserve">Franssen et al., 2014</w:t>
        </w:r>
      </w:hyperlink>
      <w:r>
        <w:t xml:space="preserve">)</w:t>
      </w:r>
      <w:r>
        <w:t xml:space="preserve">.</w:t>
      </w:r>
    </w:p>
    <w:p>
      <w:pPr>
        <w:pStyle w:val="BodyText"/>
      </w:pPr>
      <w:r>
        <w:t xml:space="preserve">Given the combined pressures of temperature extremes, eutrophication, and other anthropogenic impacts, targeted management strategies are essential for enhancing seagrass resilience</w:t>
      </w:r>
      <w:r>
        <w:t xml:space="preserve"> </w:t>
      </w:r>
      <w:r>
        <w:t xml:space="preserve">(</w:t>
      </w:r>
      <w:hyperlink w:anchor="ref-loarie2009velocity">
        <w:r>
          <w:rPr>
            <w:rStyle w:val="Hyperlink"/>
          </w:rPr>
          <w:t xml:space="preserve">Loarie et al., 2009</w:t>
        </w:r>
      </w:hyperlink>
      <w:r>
        <w:t xml:space="preserve">)</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w:t>
      </w:r>
      <w:hyperlink w:anchor="ref-canadell2021ecosystem">
        <w:r>
          <w:rPr>
            <w:rStyle w:val="Hyperlink"/>
          </w:rPr>
          <w:t xml:space="preserve">Canadell and Jackson, 2021</w:t>
        </w:r>
      </w:hyperlink>
      <w:r>
        <w:t xml:space="preserve">;</w:t>
      </w:r>
      <w:r>
        <w:t xml:space="preserve"> </w:t>
      </w:r>
      <w:hyperlink w:anchor="ref-de2022increased">
        <w:r>
          <w:rPr>
            <w:rStyle w:val="Hyperlink"/>
          </w:rPr>
          <w:t xml:space="preserve">De Fouw et al., 2022</w:t>
        </w:r>
      </w:hyperlink>
      <w:r>
        <w:t xml:space="preserve">)</w:t>
      </w:r>
    </w:p>
    <w:bookmarkEnd w:id="123"/>
    <w:bookmarkEnd w:id="124"/>
    <w:bookmarkStart w:id="199" w:name="bibliography"/>
    <w:p>
      <w:pPr>
        <w:pStyle w:val="Heading1"/>
      </w:pPr>
      <w:r>
        <w:t xml:space="preserve">5. Bibliography</w:t>
      </w:r>
    </w:p>
    <w:bookmarkStart w:id="198" w:name="refs"/>
    <w:bookmarkStart w:id="125"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5"/>
    <w:bookmarkStart w:id="127"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6">
        <w:r>
          <w:rPr>
            <w:rStyle w:val="Hyperlink"/>
          </w:rPr>
          <w:t xml:space="preserve">https://doi.org/10.3354/meps14588</w:t>
        </w:r>
      </w:hyperlink>
    </w:p>
    <w:bookmarkEnd w:id="127"/>
    <w:bookmarkStart w:id="128" w:name="ref-canadell2021ecosystem"/>
    <w:p>
      <w:pPr>
        <w:pStyle w:val="Bibliography"/>
      </w:pPr>
      <w:r>
        <w:t xml:space="preserve">Canadell, J.G., Jackson, R.B., 2021. Ecosystem collapse and climate change. Springer.</w:t>
      </w:r>
    </w:p>
    <w:bookmarkEnd w:id="128"/>
    <w:bookmarkStart w:id="129"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29"/>
    <w:bookmarkStart w:id="131"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0">
        <w:r>
          <w:rPr>
            <w:rStyle w:val="Hyperlink"/>
          </w:rPr>
          <w:t xml:space="preserve">https://doi.org/10.48670/moi-00311</w:t>
        </w:r>
      </w:hyperlink>
    </w:p>
    <w:bookmarkEnd w:id="131"/>
    <w:bookmarkStart w:id="133"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32">
        <w:r>
          <w:rPr>
            <w:rStyle w:val="Hyperlink"/>
          </w:rPr>
          <w:t xml:space="preserve">https://doi.org/10.1038/s43247-024-01543-z</w:t>
        </w:r>
      </w:hyperlink>
    </w:p>
    <w:bookmarkEnd w:id="133"/>
    <w:bookmarkStart w:id="135"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34">
        <w:r>
          <w:rPr>
            <w:rStyle w:val="Hyperlink"/>
          </w:rPr>
          <w:t xml:space="preserve">https://doi.org/10.1016/j.rse.2024.114340</w:t>
        </w:r>
      </w:hyperlink>
    </w:p>
    <w:bookmarkEnd w:id="135"/>
    <w:bookmarkStart w:id="136"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36"/>
    <w:bookmarkStart w:id="137" w:name="ref-deguette2022physiological"/>
    <w:p>
      <w:pPr>
        <w:pStyle w:val="Bibliography"/>
      </w:pPr>
      <w:r>
        <w:t xml:space="preserve">Deguette, A., Barrote, I., Silva, J., 2022. Physiological and morphological effects of a marine heatwave on the seagrass cymodocea nodosa. Scientific Reports 12, 7950.</w:t>
      </w:r>
    </w:p>
    <w:bookmarkEnd w:id="137"/>
    <w:bookmarkStart w:id="138" w:name="ref-devi2024intensity"/>
    <w:p>
      <w:pPr>
        <w:pStyle w:val="Bibliography"/>
      </w:pPr>
      <w:r>
        <w:t xml:space="preserve">Devi, R., Gouda, K., Lenka, S., 2024. Intensity duration and frequency of heat wave in different phases of MJO over india. Atmospheric Research 300, 107250.</w:t>
      </w:r>
    </w:p>
    <w:bookmarkEnd w:id="138"/>
    <w:bookmarkStart w:id="139" w:name="ref-sen2cor"/>
    <w:p>
      <w:pPr>
        <w:pStyle w:val="Bibliography"/>
      </w:pPr>
      <w:r>
        <w:t xml:space="preserve">European Space Agency, 2024b. Sen2Cor: Sentinel-2 atmospheric correction processor.</w:t>
      </w:r>
    </w:p>
    <w:bookmarkEnd w:id="139"/>
    <w:bookmarkStart w:id="140" w:name="ref-copernicus_sentinel2"/>
    <w:p>
      <w:pPr>
        <w:pStyle w:val="Bibliography"/>
      </w:pPr>
      <w:r>
        <w:t xml:space="preserve">European Space Agency, 2024a. Copernicus open access hub.</w:t>
      </w:r>
    </w:p>
    <w:bookmarkEnd w:id="140"/>
    <w:bookmarkStart w:id="141"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41"/>
    <w:bookmarkStart w:id="142" w:name="ref-gardner2018global"/>
    <w:p>
      <w:pPr>
        <w:pStyle w:val="Bibliography"/>
      </w:pPr>
      <w:r>
        <w:t xml:space="preserve">Gardner, R.C., Finlayson, C., 2018. Global wetland outlook: State of the world’s wetlands and their services to people, in: Ramsar Convention Secretariat. pp. 2020–5.</w:t>
      </w:r>
    </w:p>
    <w:bookmarkEnd w:id="142"/>
    <w:bookmarkStart w:id="143"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43"/>
    <w:bookmarkStart w:id="145"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44">
        <w:r>
          <w:rPr>
            <w:rStyle w:val="Hyperlink"/>
          </w:rPr>
          <w:t xml:space="preserve">https://doi.org/10.1002/aqc.4210</w:t>
        </w:r>
      </w:hyperlink>
    </w:p>
    <w:bookmarkEnd w:id="145"/>
    <w:bookmarkStart w:id="146"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46"/>
    <w:bookmarkStart w:id="147"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47"/>
    <w:bookmarkStart w:id="148" w:name="ref-huete2012vegetation"/>
    <w:p>
      <w:pPr>
        <w:pStyle w:val="Bibliography"/>
      </w:pPr>
      <w:r>
        <w:t xml:space="preserve">Huete, A.R., 2012. Vegetation indices, remote sensing and forest monitoring. Geography Compass 6, 513–532.</w:t>
      </w:r>
    </w:p>
    <w:bookmarkEnd w:id="148"/>
    <w:bookmarkStart w:id="150"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49">
        <w:r>
          <w:rPr>
            <w:rStyle w:val="Hyperlink"/>
          </w:rPr>
          <w:t xml:space="preserve">https://doi.org/10.1073/pnas.0402642101</w:t>
        </w:r>
      </w:hyperlink>
    </w:p>
    <w:bookmarkEnd w:id="150"/>
    <w:bookmarkStart w:id="152" w:name="ref-ioc_sea_level_lecy"/>
    <w:p>
      <w:pPr>
        <w:pStyle w:val="Bibliography"/>
      </w:pPr>
      <w:r>
        <w:t xml:space="preserve">IOC, 2024.</w:t>
      </w:r>
      <w:r>
        <w:t xml:space="preserve"> </w:t>
      </w:r>
      <w:hyperlink r:id="rId151">
        <w:r>
          <w:rPr>
            <w:rStyle w:val="Hyperlink"/>
          </w:rPr>
          <w:t xml:space="preserve">Intergovernmental oceanographic commission ; sea level monitoring station - le conquet, france (LECY)</w:t>
        </w:r>
      </w:hyperlink>
      <w:r>
        <w:t xml:space="preserve">.</w:t>
      </w:r>
    </w:p>
    <w:bookmarkEnd w:id="152"/>
    <w:bookmarkStart w:id="153"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53"/>
    <w:bookmarkStart w:id="154" w:name="ref-kloos2021agricultural"/>
    <w:p>
      <w:pPr>
        <w:pStyle w:val="Bibliography"/>
      </w:pPr>
      <w:r>
        <w:t xml:space="preserve">Kloos, S., Yuan, Y., Castelli, M., Menzel, A., 2021. Agricultural drought detection with MODIS based vegetation health indices in southeast germany. Remote Sensing 13, 3907.</w:t>
      </w:r>
    </w:p>
    <w:bookmarkEnd w:id="154"/>
    <w:bookmarkStart w:id="155" w:name="ref-loarie2009velocity"/>
    <w:p>
      <w:pPr>
        <w:pStyle w:val="Bibliography"/>
      </w:pPr>
      <w:r>
        <w:t xml:space="preserve">Loarie, S.R., Duffy, P.B., Hamilton, H., Asner, G.P., Field, C.B., Ackerly, D.D., 2009. The velocity of climate change. Nature 462, 1052–1055.</w:t>
      </w:r>
    </w:p>
    <w:bookmarkEnd w:id="155"/>
    <w:bookmarkStart w:id="156"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56"/>
    <w:bookmarkStart w:id="157"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57"/>
    <w:bookmarkStart w:id="159"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58">
        <w:r>
          <w:rPr>
            <w:rStyle w:val="Hyperlink"/>
          </w:rPr>
          <w:t xml:space="preserve">https://doi.org/10.1038/s41598-019-50643-w</w:t>
        </w:r>
      </w:hyperlink>
    </w:p>
    <w:bookmarkEnd w:id="159"/>
    <w:bookmarkStart w:id="160"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60"/>
    <w:bookmarkStart w:id="162"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61">
        <w:r>
          <w:rPr>
            <w:rStyle w:val="Hyperlink"/>
          </w:rPr>
          <w:t xml:space="preserve">https://doi.org/10.3389/fmars.2019.00734</w:t>
        </w:r>
      </w:hyperlink>
    </w:p>
    <w:bookmarkEnd w:id="162"/>
    <w:bookmarkStart w:id="164"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63">
        <w:r>
          <w:rPr>
            <w:rStyle w:val="Hyperlink"/>
          </w:rPr>
          <w:t xml:space="preserve">https://doi.org/10.1111/gcb.14282</w:t>
        </w:r>
      </w:hyperlink>
    </w:p>
    <w:bookmarkEnd w:id="164"/>
    <w:bookmarkStart w:id="165"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65"/>
    <w:bookmarkStart w:id="166" w:name="ref-perkins2013measurement"/>
    <w:p>
      <w:pPr>
        <w:pStyle w:val="Bibliography"/>
      </w:pPr>
      <w:r>
        <w:t xml:space="preserve">Perkins, S.E., Alexander, L.V., 2013. On the measurement of heat waves. Journal of climate 26, 4500–4517.</w:t>
      </w:r>
    </w:p>
    <w:bookmarkEnd w:id="166"/>
    <w:bookmarkStart w:id="167" w:name="ref-ramesh2020seagrass"/>
    <w:p>
      <w:pPr>
        <w:pStyle w:val="Bibliography"/>
      </w:pPr>
      <w:r>
        <w:t xml:space="preserve">Ramesh, C., Mohanraju, R., 2020. Seagrass ecosystems of andaman and nicobar islands: Status and future perspective. Environmental &amp; Earth Sciences Research Journal 7.</w:t>
      </w:r>
    </w:p>
    <w:bookmarkEnd w:id="167"/>
    <w:bookmarkStart w:id="169"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68">
        <w:r>
          <w:rPr>
            <w:rStyle w:val="Hyperlink"/>
          </w:rPr>
          <w:t xml:space="preserve">https://doi.org/10.1073/pnas.0500008102</w:t>
        </w:r>
      </w:hyperlink>
    </w:p>
    <w:bookmarkEnd w:id="169"/>
    <w:bookmarkStart w:id="170" w:name="ref-rouse1974monitoring"/>
    <w:p>
      <w:pPr>
        <w:pStyle w:val="Bibliography"/>
      </w:pPr>
      <w:r>
        <w:t xml:space="preserve">Rouse, J.W., Haas, R.H., Schell, J.A., Deering, D.W., others, 1974. Monitoring vegetation systems in the great plains with ERTS. NASA Spec. Publ 351, 309.</w:t>
      </w:r>
    </w:p>
    <w:bookmarkEnd w:id="170"/>
    <w:bookmarkStart w:id="172"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71">
        <w:r>
          <w:rPr>
            <w:rStyle w:val="Hyperlink"/>
          </w:rPr>
          <w:t xml:space="preserve">https://doi.org/10.1029/2023GL103540</w:t>
        </w:r>
      </w:hyperlink>
    </w:p>
    <w:bookmarkEnd w:id="172"/>
    <w:bookmarkStart w:id="173"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73"/>
    <w:bookmarkStart w:id="174" w:name="ref-schlegel2017nearshore"/>
    <w:p>
      <w:pPr>
        <w:pStyle w:val="Bibliography"/>
      </w:pPr>
      <w:r>
        <w:t xml:space="preserve">Schlegel, R.W., Oliver, E.C., Wernberg, T., Smit, A.J., 2017. Nearshore and offshore co-occurrence of marine heatwaves and cold-spells. Progress in Oceanography 151, 189–205.</w:t>
      </w:r>
    </w:p>
    <w:bookmarkEnd w:id="174"/>
    <w:bookmarkStart w:id="176"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75">
        <w:r>
          <w:rPr>
            <w:rStyle w:val="Hyperlink"/>
          </w:rPr>
          <w:t xml:space="preserve">https://doi.org/10.21105/joss.00821</w:t>
        </w:r>
      </w:hyperlink>
    </w:p>
    <w:bookmarkEnd w:id="176"/>
    <w:bookmarkStart w:id="177"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77"/>
    <w:bookmarkStart w:id="178"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78"/>
    <w:bookmarkStart w:id="180" w:name="ref-shom_ram_2022"/>
    <w:p>
      <w:pPr>
        <w:pStyle w:val="Bibliography"/>
      </w:pPr>
      <w:r>
        <w:t xml:space="preserve">Shom, 2022.</w:t>
      </w:r>
      <w:r>
        <w:t xml:space="preserve"> </w:t>
      </w:r>
      <w:hyperlink r:id="rId179">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80"/>
    <w:bookmarkStart w:id="182" w:name="Xbef41143b4d4042e58f11cfc27e216202646012"/>
    <w:p>
      <w:pPr>
        <w:pStyle w:val="Bibliography"/>
      </w:pPr>
      <w:r>
        <w:t xml:space="preserve">SHOM, 2021.</w:t>
      </w:r>
      <w:r>
        <w:t xml:space="preserve"> </w:t>
      </w:r>
      <w:hyperlink r:id="rId181">
        <w:r>
          <w:rPr>
            <w:rStyle w:val="Hyperlink"/>
          </w:rPr>
          <w:t xml:space="preserve">Service hydrographique et océanographique de la marine ; bathymétrie Litto3D® bretagne 2018-2021</w:t>
        </w:r>
      </w:hyperlink>
      <w:r>
        <w:t xml:space="preserve">.</w:t>
      </w:r>
    </w:p>
    <w:bookmarkEnd w:id="182"/>
    <w:bookmarkStart w:id="184" w:name="ref-simolo2022quantifying"/>
    <w:p>
      <w:pPr>
        <w:pStyle w:val="Bibliography"/>
      </w:pPr>
      <w:r>
        <w:t xml:space="preserve">Simolo, C., Corti, S., 2022. Quantifying the role of variability in future intensification of heat extremes. Nature Communications 13.</w:t>
      </w:r>
      <w:r>
        <w:t xml:space="preserve"> </w:t>
      </w:r>
      <w:hyperlink r:id="rId183">
        <w:r>
          <w:rPr>
            <w:rStyle w:val="Hyperlink"/>
          </w:rPr>
          <w:t xml:space="preserve">https://doi.org/10.1038/s41467-022-35571-0</w:t>
        </w:r>
      </w:hyperlink>
    </w:p>
    <w:bookmarkEnd w:id="184"/>
    <w:bookmarkStart w:id="185" w:name="ref-simpson2016distribution"/>
    <w:p>
      <w:pPr>
        <w:pStyle w:val="Bibliography"/>
      </w:pPr>
      <w:r>
        <w:t xml:space="preserve">Simpson, T.S., Wernberg, T., McDonald, J.I., 2016. Distribution and localised effects of the invasive ascidian didemnum perlucidum (monniot 1983) in an urban estuary. PLoS One 11, e0154201.</w:t>
      </w:r>
    </w:p>
    <w:bookmarkEnd w:id="185"/>
    <w:bookmarkStart w:id="187"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186">
        <w:r>
          <w:rPr>
            <w:rStyle w:val="Hyperlink"/>
          </w:rPr>
          <w:t xml:space="preserve">https://doi.org/10.1038/s41558-019-0412-1</w:t>
        </w:r>
      </w:hyperlink>
    </w:p>
    <w:bookmarkEnd w:id="187"/>
    <w:bookmarkStart w:id="188"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88"/>
    <w:bookmarkStart w:id="190"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189">
        <w:r>
          <w:rPr>
            <w:rStyle w:val="Hyperlink"/>
          </w:rPr>
          <w:t xml:space="preserve">https://doi.org/10.1152/physiol.00040.2018</w:t>
        </w:r>
      </w:hyperlink>
    </w:p>
    <w:bookmarkEnd w:id="190"/>
    <w:bookmarkStart w:id="191"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191"/>
    <w:bookmarkStart w:id="192" w:name="ref-unsworth2022planetary"/>
    <w:p>
      <w:pPr>
        <w:pStyle w:val="Bibliography"/>
      </w:pPr>
      <w:r>
        <w:t xml:space="preserve">Unsworth, R.K., Cullen-Unsworth, L.C., Jones, B.L., Lilley, R.J., 2022. The planetary role of seagrass conservation. Science 377, 609–613.</w:t>
      </w:r>
    </w:p>
    <w:bookmarkEnd w:id="192"/>
    <w:bookmarkStart w:id="193"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193"/>
    <w:bookmarkStart w:id="194"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194"/>
    <w:bookmarkStart w:id="195"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195"/>
    <w:bookmarkStart w:id="196"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p>
    <w:bookmarkEnd w:id="196"/>
    <w:bookmarkStart w:id="197"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197"/>
    <w:bookmarkEnd w:id="198"/>
    <w:sectPr>
      <w:lnNumType w:countBy="1" w:restart="continuous"/>
    </w:sectPr>
    <w:bookmarkEnd w:id="19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3D73FF"/>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3D73FF"/>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94" Target="media/rId94.png" /><Relationship Type="http://schemas.openxmlformats.org/officeDocument/2006/relationships/image" Id="rId25" Target="media/rId25.png" /><Relationship Type="http://schemas.openxmlformats.org/officeDocument/2006/relationships/image" Id="rId105" Target="media/rId105.png" /><Relationship Type="http://schemas.openxmlformats.org/officeDocument/2006/relationships/image" Id="rId88" Target="media/rId88.png" /><Relationship Type="http://schemas.openxmlformats.org/officeDocument/2006/relationships/image" Id="rId100" Target="media/rId100.png" /><Relationship Type="http://schemas.openxmlformats.org/officeDocument/2006/relationships/image" Id="rId80" Target="media/rId80.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113" Target="media/rId113.png" /><Relationship Type="http://schemas.openxmlformats.org/officeDocument/2006/relationships/image" Id="rId67" Target="media/rId67.png" /><Relationship Type="http://schemas.openxmlformats.org/officeDocument/2006/relationships/image" Id="rId118" Target="media/rId118.png" /><Relationship Type="http://schemas.openxmlformats.org/officeDocument/2006/relationships/hyperlink" Id="rId179" Target="https://diffusion.shom.fr/references-altimetriques-maritimes-ram.html" TargetMode="External" /><Relationship Type="http://schemas.openxmlformats.org/officeDocument/2006/relationships/hyperlink" Id="rId144" Target="https://doi.org/10.1002/aqc.4210" TargetMode="External" /><Relationship Type="http://schemas.openxmlformats.org/officeDocument/2006/relationships/hyperlink" Id="rId134" Target="https://doi.org/10.1016/j.rse.2024.114340" TargetMode="External" /><Relationship Type="http://schemas.openxmlformats.org/officeDocument/2006/relationships/hyperlink" Id="rId171" Target="https://doi.org/10.1029/2023GL103540" TargetMode="External" /><Relationship Type="http://schemas.openxmlformats.org/officeDocument/2006/relationships/hyperlink" Id="rId183" Target="https://doi.org/10.1038/s41467-022-35571-0" TargetMode="External" /><Relationship Type="http://schemas.openxmlformats.org/officeDocument/2006/relationships/hyperlink" Id="rId186" Target="https://doi.org/10.1038/s41558-019-0412-1" TargetMode="External" /><Relationship Type="http://schemas.openxmlformats.org/officeDocument/2006/relationships/hyperlink" Id="rId158" Target="https://doi.org/10.1038/s41598-019-50643-w" TargetMode="External" /><Relationship Type="http://schemas.openxmlformats.org/officeDocument/2006/relationships/hyperlink" Id="rId132" Target="https://doi.org/10.1038/s43247-024-01543-z" TargetMode="External" /><Relationship Type="http://schemas.openxmlformats.org/officeDocument/2006/relationships/hyperlink" Id="rId149" Target="https://doi.org/10.1073/pnas.0402642101" TargetMode="External" /><Relationship Type="http://schemas.openxmlformats.org/officeDocument/2006/relationships/hyperlink" Id="rId168" Target="https://doi.org/10.1073/pnas.0500008102" TargetMode="External" /><Relationship Type="http://schemas.openxmlformats.org/officeDocument/2006/relationships/hyperlink" Id="rId163" Target="https://doi.org/10.1111/gcb.14282" TargetMode="External" /><Relationship Type="http://schemas.openxmlformats.org/officeDocument/2006/relationships/hyperlink" Id="rId189" Target="https://doi.org/10.1152/physiol.00040.2018" TargetMode="External" /><Relationship Type="http://schemas.openxmlformats.org/officeDocument/2006/relationships/hyperlink" Id="rId175" Target="https://doi.org/10.21105/joss.00821" TargetMode="External" /><Relationship Type="http://schemas.openxmlformats.org/officeDocument/2006/relationships/hyperlink" Id="rId126" Target="https://doi.org/10.3354/meps14588" TargetMode="External" /><Relationship Type="http://schemas.openxmlformats.org/officeDocument/2006/relationships/hyperlink" Id="rId161" Target="https://doi.org/10.3389/fmars.2019.00734" TargetMode="External" /><Relationship Type="http://schemas.openxmlformats.org/officeDocument/2006/relationships/hyperlink" Id="rId130"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81"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51"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79" Target="https://diffusion.shom.fr/references-altimetriques-maritimes-ram.html" TargetMode="External" /><Relationship Type="http://schemas.openxmlformats.org/officeDocument/2006/relationships/hyperlink" Id="rId144" Target="https://doi.org/10.1002/aqc.4210" TargetMode="External" /><Relationship Type="http://schemas.openxmlformats.org/officeDocument/2006/relationships/hyperlink" Id="rId134" Target="https://doi.org/10.1016/j.rse.2024.114340" TargetMode="External" /><Relationship Type="http://schemas.openxmlformats.org/officeDocument/2006/relationships/hyperlink" Id="rId171" Target="https://doi.org/10.1029/2023GL103540" TargetMode="External" /><Relationship Type="http://schemas.openxmlformats.org/officeDocument/2006/relationships/hyperlink" Id="rId183" Target="https://doi.org/10.1038/s41467-022-35571-0" TargetMode="External" /><Relationship Type="http://schemas.openxmlformats.org/officeDocument/2006/relationships/hyperlink" Id="rId186" Target="https://doi.org/10.1038/s41558-019-0412-1" TargetMode="External" /><Relationship Type="http://schemas.openxmlformats.org/officeDocument/2006/relationships/hyperlink" Id="rId158" Target="https://doi.org/10.1038/s41598-019-50643-w" TargetMode="External" /><Relationship Type="http://schemas.openxmlformats.org/officeDocument/2006/relationships/hyperlink" Id="rId132" Target="https://doi.org/10.1038/s43247-024-01543-z" TargetMode="External" /><Relationship Type="http://schemas.openxmlformats.org/officeDocument/2006/relationships/hyperlink" Id="rId149" Target="https://doi.org/10.1073/pnas.0402642101" TargetMode="External" /><Relationship Type="http://schemas.openxmlformats.org/officeDocument/2006/relationships/hyperlink" Id="rId168" Target="https://doi.org/10.1073/pnas.0500008102" TargetMode="External" /><Relationship Type="http://schemas.openxmlformats.org/officeDocument/2006/relationships/hyperlink" Id="rId163" Target="https://doi.org/10.1111/gcb.14282" TargetMode="External" /><Relationship Type="http://schemas.openxmlformats.org/officeDocument/2006/relationships/hyperlink" Id="rId189" Target="https://doi.org/10.1152/physiol.00040.2018" TargetMode="External" /><Relationship Type="http://schemas.openxmlformats.org/officeDocument/2006/relationships/hyperlink" Id="rId175" Target="https://doi.org/10.21105/joss.00821" TargetMode="External" /><Relationship Type="http://schemas.openxmlformats.org/officeDocument/2006/relationships/hyperlink" Id="rId126" Target="https://doi.org/10.3354/meps14588" TargetMode="External" /><Relationship Type="http://schemas.openxmlformats.org/officeDocument/2006/relationships/hyperlink" Id="rId161" Target="https://doi.org/10.3389/fmars.2019.00734" TargetMode="External" /><Relationship Type="http://schemas.openxmlformats.org/officeDocument/2006/relationships/hyperlink" Id="rId130"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81"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51"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EFFECT OF HEATWAVES ON SEAGRASSES</dc:description>
  <cp:keywords>Remote Sensing, Pigment Composition, Seagrass, Coastal Ecosystems, Heatwaves</cp:keywords>
  <dcterms:created xsi:type="dcterms:W3CDTF">2024-11-04T10:23:22Z</dcterms:created>
  <dcterms:modified xsi:type="dcterms:W3CDTF">2024-11-04T10:23:22Z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Nanozostera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vt:lpwstr>
  </property>
  <property fmtid="{D5CDD505-2E9C-101B-9397-08002B2CF9AE}" pid="5" name="apaauthor">
    <vt:lpwstr/>
  </property>
  <property fmtid="{D5CDD505-2E9C-101B-9397-08002B2CF9AE}" pid="6" name="apadate">
    <vt:lpwstr>2024-11-04</vt:lpwstr>
  </property>
  <property fmtid="{D5CDD505-2E9C-101B-9397-08002B2CF9AE}" pid="7" name="apatitle">
    <vt:lpwstr>Effect of Marine and Atmospheric Heatwaves on Reflectance and Pigment Composition of Intertidal Nanozostera noltei</vt:lpwstr>
  </property>
  <property fmtid="{D5CDD505-2E9C-101B-9397-08002B2CF9AE}" pid="8" name="apatitledisplay">
    <vt:lpwstr>Effect of Marine and Atmospheric Heatwaves on Reflectance and Pigment Composition of Intertidal Nanozostera noltei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itation">
    <vt:lpwstr/>
  </property>
  <property fmtid="{D5CDD505-2E9C-101B-9397-08002B2CF9AE}" pid="15" name="clear-hidden-classes">
    <vt:lpwstr>none</vt:lpwstr>
  </property>
  <property fmtid="{D5CDD505-2E9C-101B-9397-08002B2CF9AE}" pid="16" name="csl">
    <vt:lpwstr>RSE.csl</vt:lpwstr>
  </property>
  <property fmtid="{D5CDD505-2E9C-101B-9397-08002B2CF9AE}" pid="17" name="documentmode">
    <vt:lpwstr>man</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key-points">
    <vt:lpwstr/>
  </property>
  <property fmtid="{D5CDD505-2E9C-101B-9397-08002B2CF9AE}" pid="26" name="knitr">
    <vt:lpwstr/>
  </property>
  <property fmtid="{D5CDD505-2E9C-101B-9397-08002B2CF9AE}" pid="27" name="labels">
    <vt:lpwstr/>
  </property>
  <property fmtid="{D5CDD505-2E9C-101B-9397-08002B2CF9AE}" pid="28" name="language">
    <vt:lpwstr/>
  </property>
  <property fmtid="{D5CDD505-2E9C-101B-9397-08002B2CF9AE}" pid="29" name="lightbox">
    <vt:lpwstr>auto</vt:lpwstr>
  </property>
  <property fmtid="{D5CDD505-2E9C-101B-9397-08002B2CF9AE}" pid="30" name="link-citations">
    <vt:lpwstr>True</vt:lpwstr>
  </property>
  <property fmtid="{D5CDD505-2E9C-101B-9397-08002B2CF9AE}" pid="31" name="manuscript">
    <vt:lpwstr/>
  </property>
  <property fmtid="{D5CDD505-2E9C-101B-9397-08002B2CF9AE}" pid="32" name="no-ampersand-parenthetical">
    <vt:lpwstr>False</vt:lpwstr>
  </property>
  <property fmtid="{D5CDD505-2E9C-101B-9397-08002B2CF9AE}" pid="33" name="notebook-preview-options">
    <vt:lpwstr/>
  </property>
  <property fmtid="{D5CDD505-2E9C-101B-9397-08002B2CF9AE}" pid="34" name="numbered-lines">
    <vt:lpwstr>True</vt:lpwstr>
  </property>
  <property fmtid="{D5CDD505-2E9C-101B-9397-08002B2CF9AE}" pid="35" name="oneaffiliation">
    <vt:lpwstr>False</vt:lpwstr>
  </property>
  <property fmtid="{D5CDD505-2E9C-101B-9397-08002B2CF9AE}" pid="36" name="oneauthor">
    <vt:lpwstr>False</vt:lpwstr>
  </property>
  <property fmtid="{D5CDD505-2E9C-101B-9397-08002B2CF9AE}" pid="37" name="plain-language-summary">
    <vt:lpwstr>To be written</vt:lpwstr>
  </property>
  <property fmtid="{D5CDD505-2E9C-101B-9397-08002B2CF9AE}" pid="38" name="quarto-internal">
    <vt:lpwstr/>
  </property>
  <property fmtid="{D5CDD505-2E9C-101B-9397-08002B2CF9AE}" pid="39" name="references">
    <vt:lpwstr/>
  </property>
  <property fmtid="{D5CDD505-2E9C-101B-9397-08002B2CF9AE}" pid="40" name="remove-hidden">
    <vt:lpwstr>all</vt:lpwstr>
  </property>
  <property fmtid="{D5CDD505-2E9C-101B-9397-08002B2CF9AE}" pid="41" name="resources">
    <vt:lpwstr/>
  </property>
  <property fmtid="{D5CDD505-2E9C-101B-9397-08002B2CF9AE}" pid="42" name="revealjs-plugins">
    <vt:lpwstr/>
  </property>
  <property fmtid="{D5CDD505-2E9C-101B-9397-08002B2CF9AE}" pid="43" name="shorttitle">
    <vt:lpwstr>EFFECT OF HEATWAVES ON SEAGRASSES</vt:lpwstr>
  </property>
  <property fmtid="{D5CDD505-2E9C-101B-9397-08002B2CF9AE}" pid="44" name="suppress-abstract">
    <vt:lpwstr>False</vt:lpwstr>
  </property>
  <property fmtid="{D5CDD505-2E9C-101B-9397-08002B2CF9AE}" pid="45" name="suppress-affiliation">
    <vt:lpwstr>False</vt:lpwstr>
  </property>
  <property fmtid="{D5CDD505-2E9C-101B-9397-08002B2CF9AE}" pid="46" name="suppress-author">
    <vt:lpwstr>False</vt:lpwstr>
  </property>
  <property fmtid="{D5CDD505-2E9C-101B-9397-08002B2CF9AE}" pid="47" name="suppress-author-note">
    <vt:lpwstr>False</vt:lpwstr>
  </property>
  <property fmtid="{D5CDD505-2E9C-101B-9397-08002B2CF9AE}" pid="48" name="suppress-corresponding-address">
    <vt:lpwstr>False</vt:lpwstr>
  </property>
  <property fmtid="{D5CDD505-2E9C-101B-9397-08002B2CF9AE}" pid="49" name="suppress-corresponding-affiliation-name">
    <vt:lpwstr>False</vt:lpwstr>
  </property>
  <property fmtid="{D5CDD505-2E9C-101B-9397-08002B2CF9AE}" pid="50" name="suppress-corresponding-city">
    <vt:lpwstr>False</vt:lpwstr>
  </property>
  <property fmtid="{D5CDD505-2E9C-101B-9397-08002B2CF9AE}" pid="51" name="suppress-corresponding-department">
    <vt:lpwstr>False</vt:lpwstr>
  </property>
  <property fmtid="{D5CDD505-2E9C-101B-9397-08002B2CF9AE}" pid="52" name="suppress-corresponding-email">
    <vt:lpwstr>False</vt:lpwstr>
  </property>
  <property fmtid="{D5CDD505-2E9C-101B-9397-08002B2CF9AE}" pid="53" name="suppress-corresponding-group">
    <vt:lpwstr>False</vt:lpwstr>
  </property>
  <property fmtid="{D5CDD505-2E9C-101B-9397-08002B2CF9AE}" pid="54" name="suppress-corresponding-paragraph">
    <vt:lpwstr>False</vt:lpwstr>
  </property>
  <property fmtid="{D5CDD505-2E9C-101B-9397-08002B2CF9AE}" pid="55" name="suppress-corresponding-postal-code">
    <vt:lpwstr>False</vt:lpwstr>
  </property>
  <property fmtid="{D5CDD505-2E9C-101B-9397-08002B2CF9AE}" pid="56" name="suppress-corresponding-region">
    <vt:lpwstr>False</vt:lpwstr>
  </property>
  <property fmtid="{D5CDD505-2E9C-101B-9397-08002B2CF9AE}" pid="57" name="suppress-credit-statement">
    <vt:lpwstr>False</vt:lpwstr>
  </property>
  <property fmtid="{D5CDD505-2E9C-101B-9397-08002B2CF9AE}" pid="58" name="suppress-disclosures-paragraph">
    <vt:lpwstr>False</vt:lpwstr>
  </property>
  <property fmtid="{D5CDD505-2E9C-101B-9397-08002B2CF9AE}" pid="59" name="suppress-keywords">
    <vt:lpwstr>False</vt:lpwstr>
  </property>
  <property fmtid="{D5CDD505-2E9C-101B-9397-08002B2CF9AE}" pid="60" name="suppress-orcid">
    <vt:lpwstr>False</vt:lpwstr>
  </property>
  <property fmtid="{D5CDD505-2E9C-101B-9397-08002B2CF9AE}" pid="61" name="suppress-short-title">
    <vt:lpwstr>False</vt:lpwstr>
  </property>
  <property fmtid="{D5CDD505-2E9C-101B-9397-08002B2CF9AE}" pid="62" name="suppress-status-change-paragraph">
    <vt:lpwstr>False</vt:lpwstr>
  </property>
  <property fmtid="{D5CDD505-2E9C-101B-9397-08002B2CF9AE}" pid="63" name="suppress-title">
    <vt:lpwstr>False</vt:lpwstr>
  </property>
  <property fmtid="{D5CDD505-2E9C-101B-9397-08002B2CF9AE}" pid="64" name="suppress-title-introduction">
    <vt:lpwstr>False</vt:lpwstr>
  </property>
  <property fmtid="{D5CDD505-2E9C-101B-9397-08002B2CF9AE}" pid="65" name="suppress-title-page">
    <vt:lpwstr>False</vt:lpwstr>
  </property>
  <property fmtid="{D5CDD505-2E9C-101B-9397-08002B2CF9AE}" pid="66" name="suppress-title-page-number">
    <vt:lpwstr>False</vt:lpwstr>
  </property>
  <property fmtid="{D5CDD505-2E9C-101B-9397-08002B2CF9AE}" pid="67" name="tbl-cap-location">
    <vt:lpwstr>top</vt:lpwstr>
  </property>
  <property fmtid="{D5CDD505-2E9C-101B-9397-08002B2CF9AE}" pid="68" name="template-partials">
    <vt:lpwstr/>
  </property>
  <property fmtid="{D5CDD505-2E9C-101B-9397-08002B2CF9AE}" pid="69" name="theme">
    <vt:lpwstr>cosmo</vt:lpwstr>
  </property>
  <property fmtid="{D5CDD505-2E9C-101B-9397-08002B2CF9AE}" pid="70" name="title-block-style">
    <vt:lpwstr>manuscript</vt:lpwstr>
  </property>
  <property fmtid="{D5CDD505-2E9C-101B-9397-08002B2CF9AE}" pid="71" name="toc-title">
    <vt:lpwstr>Table of contents</vt:lpwstr>
  </property>
  <property fmtid="{D5CDD505-2E9C-101B-9397-08002B2CF9AE}" pid="72" name="unroll-markdown-cells">
    <vt:lpwstr>True</vt:lpwstr>
  </property>
  <property fmtid="{D5CDD505-2E9C-101B-9397-08002B2CF9AE}" pid="73" name="zerocitations">
    <vt:lpwstr>False</vt:lpwstr>
  </property>
</Properties>
</file>