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1.png" ContentType="image/png"/>
  <Override PartName="/word/media/rId115.png" ContentType="image/png"/>
  <Override PartName="/word/media/rId31.png" ContentType="image/png"/>
  <Override PartName="/word/media/rId25.png" ContentType="image/png"/>
  <Override PartName="/word/media/rId102.png" ContentType="image/png"/>
  <Override PartName="/word/media/rId86.png" ContentType="image/png"/>
  <Override PartName="/word/media/rId49.png" ContentType="image/png"/>
  <Override PartName="/word/media/rId79.png" ContentType="image/png"/>
  <Override PartName="/word/media/rId92.png" ContentType="image/png"/>
  <Override PartName="/word/media/rId97.png" ContentType="image/png"/>
  <Override PartName="/word/media/rId54.png" ContentType="image/png"/>
  <Override PartName="/word/media/rId74.png" ContentType="image/png"/>
  <Override PartName="/word/media/rId68.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Intertidal</w:t>
      </w:r>
      <w:r>
        <w:t xml:space="preserve"> </w:t>
      </w:r>
      <w:r>
        <w:t xml:space="preserve">Seagrass:</w:t>
      </w:r>
      <w:r>
        <w:t xml:space="preserve"> </w:t>
      </w:r>
      <w:r>
        <w:t xml:space="preserve">Experimental</w:t>
      </w:r>
      <w:r>
        <w:t xml:space="preserve"> </w:t>
      </w:r>
      <w:r>
        <w:t xml:space="preserve">Spectroradiometry</w:t>
      </w:r>
      <w:r>
        <w:t xml:space="preserve"> </w:t>
      </w:r>
      <w:r>
        <w:t xml:space="preserve">and</w:t>
      </w:r>
      <w:r>
        <w:t xml:space="preserve"> </w:t>
      </w:r>
      <w:r>
        <w:t xml:space="preserve">Satellite-Based</w:t>
      </w:r>
      <w:r>
        <w:t xml:space="preserve"> </w:t>
      </w:r>
      <w:r>
        <w:t xml:space="preserve">Insights</w:t>
      </w:r>
    </w:p>
    <w:p>
      <w:pPr>
        <w:pStyle w:val="Author"/>
      </w:pPr>
      <w:r>
        <w:t xml:space="preserve">Simon</w:t>
      </w:r>
      <w:r>
        <w:t xml:space="preserve"> </w:t>
      </w:r>
      <w:r>
        <w:t xml:space="preserve">Oiry</w:t>
      </w:r>
      <w:r>
        <w:rPr>
          <w:rStyle w:val="FootnoteReference"/>
        </w:rPr>
        <w:footnoteReference w:id="20"/>
      </w:r>
    </w:p>
    <w:p>
      <w:pPr>
        <w:pStyle w:val="Author"/>
      </w:pPr>
      <w:r>
        <w:t xml:space="preserve">Bede</w:t>
      </w:r>
      <w:r>
        <w:t xml:space="preserve"> </w:t>
      </w:r>
      <w:r>
        <w:t xml:space="preserve">Ffinian</w:t>
      </w:r>
      <w:r>
        <w:t xml:space="preserve"> </w:t>
      </w:r>
      <w:r>
        <w:t xml:space="preserve">Rowe</w:t>
      </w:r>
      <w:r>
        <w:t xml:space="preserve"> </w:t>
      </w:r>
      <w:r>
        <w:t xml:space="preserve">Davies¹</w:t>
      </w:r>
    </w:p>
    <w:p>
      <w:pPr>
        <w:pStyle w:val="Author"/>
      </w:pPr>
      <w:r>
        <w:t xml:space="preserve">Philippe</w:t>
      </w:r>
      <w:r>
        <w:t xml:space="preserve"> </w:t>
      </w:r>
      <w:r>
        <w:t xml:space="preserve">Rosa¹</w:t>
      </w:r>
    </w:p>
    <w:p>
      <w:pPr>
        <w:pStyle w:val="Author"/>
      </w:pPr>
      <w:r>
        <w:t xml:space="preserve">Augustin</w:t>
      </w:r>
      <w:r>
        <w:t xml:space="preserve"> </w:t>
      </w:r>
      <w:r>
        <w:t xml:space="preserve">Debly¹</w:t>
      </w:r>
    </w:p>
    <w:p>
      <w:pPr>
        <w:pStyle w:val="Author"/>
      </w:pPr>
      <w:r>
        <w:t xml:space="preserve">Maria</w:t>
      </w:r>
      <w:r>
        <w:t xml:space="preserve"> </w:t>
      </w:r>
      <w:r>
        <w:t xml:space="preserve">Laura</w:t>
      </w:r>
      <w:r>
        <w:t xml:space="preserve"> </w:t>
      </w:r>
      <w:r>
        <w:t xml:space="preserve">Zoffoli</w:t>
      </w:r>
      <w:r>
        <w:rPr>
          <w:rStyle w:val="FootnoteReference"/>
        </w:rPr>
        <w:footnoteReference w:id="21"/>
      </w:r>
    </w:p>
    <w:p>
      <w:pPr>
        <w:pStyle w:val="Author"/>
      </w:pPr>
      <w:r>
        <w:t xml:space="preserve">Anne-Laure</w:t>
      </w:r>
      <w:r>
        <w:t xml:space="preserve"> </w:t>
      </w:r>
      <w:r>
        <w:t xml:space="preserve">Barillé</w:t>
      </w:r>
      <w:r>
        <w:rPr>
          <w:rStyle w:val="FootnoteReference"/>
        </w:rPr>
        <w:footnoteReference w:id="22"/>
      </w:r>
    </w:p>
    <w:p>
      <w:pPr>
        <w:pStyle w:val="Author"/>
      </w:pPr>
      <w:r>
        <w:t xml:space="preserve">Nicolas</w:t>
      </w:r>
      <w:r>
        <w:t xml:space="preserve"> </w:t>
      </w:r>
      <w:r>
        <w:t xml:space="preserve">Harin³</w:t>
      </w:r>
    </w:p>
    <w:p>
      <w:pPr>
        <w:pStyle w:val="Author"/>
      </w:pPr>
      <w:r>
        <w:t xml:space="preserve">Pierre</w:t>
      </w:r>
      <w:r>
        <w:t xml:space="preserve"> </w:t>
      </w:r>
      <w:r>
        <w:t xml:space="preserve">Gernez¹</w:t>
      </w:r>
    </w:p>
    <w:p>
      <w:pPr>
        <w:pStyle w:val="Author"/>
      </w:pPr>
      <w:r>
        <w:t xml:space="preserve">Laurent</w:t>
      </w:r>
      <w:r>
        <w:t xml:space="preserve"> </w:t>
      </w:r>
      <w:r>
        <w:t xml:space="preserve">Barillé¹</w:t>
      </w:r>
    </w:p>
    <w:p>
      <w:pPr>
        <w:pStyle w:val="Date"/>
      </w:pPr>
      <w:r>
        <w:t xml:space="preserve">2025-02-14</w:t>
      </w:r>
    </w:p>
    <w:p>
      <w:pPr>
        <w:pStyle w:val="AbstractTitle"/>
      </w:pPr>
      <w:r>
        <w:t xml:space="preserve">Abstract</w:t>
      </w:r>
    </w:p>
    <w:p>
      <w:pPr>
        <w:pStyle w:val="Abstract"/>
      </w:pPr>
      <w:r>
        <w:t xml:space="preserve">Seagrasses</w:t>
      </w:r>
      <w:r>
        <w:t xml:space="preserve"> </w:t>
      </w:r>
      <w:r>
        <w:t xml:space="preserve">play</w:t>
      </w:r>
      <w:r>
        <w:t xml:space="preserve"> </w:t>
      </w:r>
      <w:r>
        <w:t xml:space="preserve">a</w:t>
      </w:r>
      <w:r>
        <w:t xml:space="preserve"> </w:t>
      </w:r>
      <w:r>
        <w:t xml:space="preserve">vital</w:t>
      </w:r>
      <w:r>
        <w:t xml:space="preserve"> </w:t>
      </w:r>
      <w:r>
        <w:t xml:space="preserve">role</w:t>
      </w:r>
      <w:r>
        <w:t xml:space="preserve"> </w:t>
      </w:r>
      <w:r>
        <w:t xml:space="preserve">in</w:t>
      </w:r>
      <w:r>
        <w:t xml:space="preserve"> </w:t>
      </w:r>
      <w:r>
        <w:t xml:space="preserve">coastal</w:t>
      </w:r>
      <w:r>
        <w:t xml:space="preserve"> </w:t>
      </w:r>
      <w:r>
        <w:t xml:space="preserve">ecosystems,</w:t>
      </w:r>
      <w:r>
        <w:t xml:space="preserve"> </w:t>
      </w:r>
      <w:r>
        <w:t xml:space="preserve">providing</w:t>
      </w:r>
      <w:r>
        <w:t xml:space="preserve"> </w:t>
      </w:r>
      <w:r>
        <w:t xml:space="preserve">habitat,</w:t>
      </w:r>
      <w:r>
        <w:t xml:space="preserve"> </w:t>
      </w:r>
      <w:r>
        <w:t xml:space="preserve">stabilizing</w:t>
      </w:r>
      <w:r>
        <w:t xml:space="preserve"> </w:t>
      </w:r>
      <w:r>
        <w:t xml:space="preserve">sediments,</w:t>
      </w:r>
      <w:r>
        <w:t xml:space="preserve"> </w:t>
      </w:r>
      <w:r>
        <w:t xml:space="preserve">and</w:t>
      </w:r>
      <w:r>
        <w:t xml:space="preserve"> </w:t>
      </w:r>
      <w:r>
        <w:t xml:space="preserve">contributing</w:t>
      </w:r>
      <w:r>
        <w:t xml:space="preserve"> </w:t>
      </w:r>
      <w:r>
        <w:t xml:space="preserve">to</w:t>
      </w:r>
      <w:r>
        <w:t xml:space="preserve"> </w:t>
      </w:r>
      <w:r>
        <w:t xml:space="preserve">carbon</w:t>
      </w:r>
      <w:r>
        <w:t xml:space="preserve"> </w:t>
      </w:r>
      <w:r>
        <w:t xml:space="preserve">sequestration.</w:t>
      </w:r>
      <w:r>
        <w:t xml:space="preserve"> </w:t>
      </w:r>
      <w:r>
        <w:t xml:space="preserve">However,</w:t>
      </w:r>
      <w:r>
        <w:t xml:space="preserve"> </w:t>
      </w:r>
      <w:r>
        <w:t xml:space="preserve">climate</w:t>
      </w:r>
      <w:r>
        <w:t xml:space="preserve"> </w:t>
      </w:r>
      <w:r>
        <w:t xml:space="preserve">change</w:t>
      </w:r>
      <w:r>
        <w:t xml:space="preserve"> </w:t>
      </w:r>
      <w:r>
        <w:t xml:space="preserve">has</w:t>
      </w:r>
      <w:r>
        <w:t xml:space="preserve"> </w:t>
      </w:r>
      <w:r>
        <w:t xml:space="preserve">increased</w:t>
      </w:r>
      <w:r>
        <w:t xml:space="preserve"> </w:t>
      </w:r>
      <w:r>
        <w:t xml:space="preserve">the</w:t>
      </w:r>
      <w:r>
        <w:t xml:space="preserve"> </w:t>
      </w:r>
      <w:r>
        <w:t xml:space="preserve">frequency</w:t>
      </w:r>
      <w:r>
        <w:t xml:space="preserve"> </w:t>
      </w:r>
      <w:r>
        <w:t xml:space="preserve">and</w:t>
      </w:r>
      <w:r>
        <w:t xml:space="preserve"> </w:t>
      </w:r>
      <w:r>
        <w:t xml:space="preserve">intensity</w:t>
      </w:r>
      <w:r>
        <w:t xml:space="preserve"> </w:t>
      </w:r>
      <w:r>
        <w:t xml:space="preserve">of</w:t>
      </w:r>
      <w:r>
        <w:t xml:space="preserve"> </w:t>
      </w:r>
      <w:r>
        <w:t xml:space="preserve">heatwaves,</w:t>
      </w:r>
      <w:r>
        <w:t xml:space="preserve"> </w:t>
      </w:r>
      <w:r>
        <w:t xml:space="preserve">posing</w:t>
      </w:r>
      <w:r>
        <w:t xml:space="preserve"> </w:t>
      </w:r>
      <w:r>
        <w:t xml:space="preserve">a</w:t>
      </w:r>
      <w:r>
        <w:t xml:space="preserve"> </w:t>
      </w:r>
      <w:r>
        <w:t xml:space="preserve">significant</w:t>
      </w:r>
      <w:r>
        <w:t xml:space="preserve"> </w:t>
      </w:r>
      <w:r>
        <w:t xml:space="preserve">threat</w:t>
      </w:r>
      <w:r>
        <w:t xml:space="preserve"> </w:t>
      </w:r>
      <w:r>
        <w:t xml:space="preserve">to</w:t>
      </w:r>
      <w:r>
        <w:t xml:space="preserve"> </w:t>
      </w:r>
      <w:r>
        <w:t xml:space="preserve">seagrass</w:t>
      </w:r>
      <w:r>
        <w:t xml:space="preserve"> </w:t>
      </w:r>
      <w:r>
        <w:t xml:space="preserve">health.</w:t>
      </w:r>
      <w:r>
        <w:t xml:space="preserve"> </w:t>
      </w:r>
      <w:r>
        <w:t xml:space="preserve">This</w:t>
      </w:r>
      <w:r>
        <w:t xml:space="preserve"> </w:t>
      </w:r>
      <w:r>
        <w:t xml:space="preserve">study</w:t>
      </w:r>
      <w:r>
        <w:t xml:space="preserve"> </w:t>
      </w:r>
      <w:r>
        <w:t xml:space="preserve">investigates</w:t>
      </w:r>
      <w:r>
        <w:t xml:space="preserve"> </w:t>
      </w:r>
      <w:r>
        <w:t xml:space="preserve">the</w:t>
      </w:r>
      <w:r>
        <w:t xml:space="preserve"> </w:t>
      </w:r>
      <w:r>
        <w:t xml:space="preserve">effects</w:t>
      </w:r>
      <w:r>
        <w:t xml:space="preserve"> </w:t>
      </w:r>
      <w:r>
        <w:t xml:space="preserve">of</w:t>
      </w:r>
      <w:r>
        <w:t xml:space="preserve"> </w:t>
      </w:r>
      <w:r>
        <w:t xml:space="preserve">marine</w:t>
      </w:r>
      <w:r>
        <w:t xml:space="preserve"> </w:t>
      </w:r>
      <w:r>
        <w:t xml:space="preserve">and</w:t>
      </w:r>
      <w:r>
        <w:t xml:space="preserve"> </w:t>
      </w:r>
      <w:r>
        <w:t xml:space="preserve">atmospheric</w:t>
      </w:r>
      <w:r>
        <w:t xml:space="preserve"> </w:t>
      </w:r>
      <w:r>
        <w:t xml:space="preserve">heatwaves</w:t>
      </w:r>
      <w:r>
        <w:t xml:space="preserve"> </w:t>
      </w:r>
      <w:r>
        <w:t xml:space="preserve">on</w:t>
      </w:r>
      <w:r>
        <w:t xml:space="preserve"> </w:t>
      </w:r>
      <w:r>
        <w:t xml:space="preserve">the</w:t>
      </w:r>
      <w:r>
        <w:t xml:space="preserve"> </w:t>
      </w:r>
      <w:r>
        <w:t xml:space="preserve">spectral</w:t>
      </w:r>
      <w:r>
        <w:t xml:space="preserve"> </w:t>
      </w:r>
      <w:r>
        <w:t xml:space="preserve">reflectance</w:t>
      </w:r>
      <w:r>
        <w:t xml:space="preserve"> </w:t>
      </w:r>
      <w:r>
        <w:t xml:space="preserve">of</w:t>
      </w:r>
      <w:r>
        <w:t xml:space="preserve"> </w:t>
      </w:r>
      <w:r>
        <w:t xml:space="preserve">the</w:t>
      </w:r>
      <w:r>
        <w:t xml:space="preserve"> </w:t>
      </w:r>
      <w:r>
        <w:t xml:space="preserve">intertidal</w:t>
      </w:r>
      <w:r>
        <w:t xml:space="preserve"> </w:t>
      </w:r>
      <w:r>
        <w:t xml:space="preserve">seagrass</w:t>
      </w:r>
      <w:r>
        <w:t xml:space="preserve"> </w:t>
      </w:r>
      <w:r>
        <w:t xml:space="preserve">Zostera</w:t>
      </w:r>
      <w:r>
        <w:t xml:space="preserve"> </w:t>
      </w:r>
      <w:r>
        <w:t xml:space="preserve">noltei.</w:t>
      </w:r>
      <w:r>
        <w:t xml:space="preserve"> </w:t>
      </w:r>
      <w:r>
        <w:t xml:space="preserve">Laboratory</w:t>
      </w:r>
      <w:r>
        <w:t xml:space="preserve"> </w:t>
      </w:r>
      <w:r>
        <w:t xml:space="preserve">experiments</w:t>
      </w:r>
      <w:r>
        <w:t xml:space="preserve"> </w:t>
      </w:r>
      <w:r>
        <w:t xml:space="preserve">were</w:t>
      </w:r>
      <w:r>
        <w:t xml:space="preserve"> </w:t>
      </w:r>
      <w:r>
        <w:t xml:space="preserve">conducted</w:t>
      </w:r>
      <w:r>
        <w:t xml:space="preserve"> </w:t>
      </w:r>
      <w:r>
        <w:t xml:space="preserve">under</w:t>
      </w:r>
      <w:r>
        <w:t xml:space="preserve"> </w:t>
      </w:r>
      <w:r>
        <w:t xml:space="preserve">controlled</w:t>
      </w:r>
      <w:r>
        <w:t xml:space="preserve"> </w:t>
      </w:r>
      <w:r>
        <w:t xml:space="preserve">heatwave</w:t>
      </w:r>
      <w:r>
        <w:t xml:space="preserve"> </w:t>
      </w:r>
      <w:r>
        <w:t xml:space="preserve">conditions,</w:t>
      </w:r>
      <w:r>
        <w:t xml:space="preserve"> </w:t>
      </w:r>
      <w:r>
        <w:t xml:space="preserve">where</w:t>
      </w:r>
      <w:r>
        <w:t xml:space="preserve"> </w:t>
      </w:r>
      <w:r>
        <w:t xml:space="preserve">hyperspectral</w:t>
      </w:r>
      <w:r>
        <w:t xml:space="preserve"> </w:t>
      </w:r>
      <w:r>
        <w:t xml:space="preserve">reflectance</w:t>
      </w:r>
      <w:r>
        <w:t xml:space="preserve"> </w:t>
      </w:r>
      <w:r>
        <w:t xml:space="preserve">measurements</w:t>
      </w:r>
      <w:r>
        <w:t xml:space="preserve"> </w:t>
      </w:r>
      <w:r>
        <w:t xml:space="preserve">were</w:t>
      </w:r>
      <w:r>
        <w:t xml:space="preserve"> </w:t>
      </w:r>
      <w:r>
        <w:t xml:space="preserve">taken</w:t>
      </w:r>
      <w:r>
        <w:t xml:space="preserve"> </w:t>
      </w:r>
      <w:r>
        <w:t xml:space="preserve">to</w:t>
      </w:r>
      <w:r>
        <w:t xml:space="preserve"> </w:t>
      </w:r>
      <w:r>
        <w:t xml:space="preserve">assess</w:t>
      </w:r>
      <w:r>
        <w:t xml:space="preserve"> </w:t>
      </w:r>
      <w:r>
        <w:t xml:space="preserve">the</w:t>
      </w:r>
      <w:r>
        <w:t xml:space="preserve"> </w:t>
      </w:r>
      <w:r>
        <w:t xml:space="preserve">impacts</w:t>
      </w:r>
      <w:r>
        <w:t xml:space="preserve"> </w:t>
      </w:r>
      <w:r>
        <w:t xml:space="preserve">over</w:t>
      </w:r>
      <w:r>
        <w:t xml:space="preserve"> </w:t>
      </w:r>
      <w:r>
        <w:t xml:space="preserve">time.</w:t>
      </w:r>
      <w:r>
        <w:t xml:space="preserve"> </w:t>
      </w:r>
      <w:r>
        <w:t xml:space="preserve">Heatwaves</w:t>
      </w:r>
      <w:r>
        <w:t xml:space="preserve"> </w:t>
      </w:r>
      <w:r>
        <w:t xml:space="preserve">caused</w:t>
      </w:r>
      <w:r>
        <w:t xml:space="preserve"> </w:t>
      </w:r>
      <w:r>
        <w:t xml:space="preserve">a</w:t>
      </w:r>
      <w:r>
        <w:t xml:space="preserve"> </w:t>
      </w:r>
      <w:r>
        <w:t xml:space="preserve">substantial</w:t>
      </w:r>
      <w:r>
        <w:t xml:space="preserve"> </w:t>
      </w:r>
      <w:r>
        <w:t xml:space="preserve">decline</w:t>
      </w:r>
      <w:r>
        <w:t xml:space="preserve"> </w:t>
      </w:r>
      <w:r>
        <w:t xml:space="preserve">in</w:t>
      </w:r>
      <w:r>
        <w:t xml:space="preserve"> </w:t>
      </w:r>
      <w:r>
        <w:t xml:space="preserve">seagrass</w:t>
      </w:r>
      <w:r>
        <w:t xml:space="preserve"> </w:t>
      </w:r>
      <w:r>
        <w:t xml:space="preserve">reflectance,</w:t>
      </w:r>
      <w:r>
        <w:t xml:space="preserve"> </w:t>
      </w:r>
      <w:r>
        <w:t xml:space="preserve">particularly</w:t>
      </w:r>
      <w:r>
        <w:t xml:space="preserve"> </w:t>
      </w:r>
      <w:r>
        <w:t xml:space="preserve">in</w:t>
      </w:r>
      <w:r>
        <w:t xml:space="preserve"> </w:t>
      </w:r>
      <w:r>
        <w:t xml:space="preserve">the</w:t>
      </w:r>
      <w:r>
        <w:t xml:space="preserve"> </w:t>
      </w:r>
      <w:r>
        <w:t xml:space="preserve">green</w:t>
      </w:r>
      <w:r>
        <w:t xml:space="preserve"> </w:t>
      </w:r>
      <w:r>
        <w:t xml:space="preserve">and</w:t>
      </w:r>
      <w:r>
        <w:t xml:space="preserve"> </w:t>
      </w:r>
      <w:r>
        <w:t xml:space="preserve">near-infrared</w:t>
      </w:r>
      <w:r>
        <w:t xml:space="preserve"> </w:t>
      </w:r>
      <w:r>
        <w:t xml:space="preserve">regions,</w:t>
      </w:r>
      <w:r>
        <w:t xml:space="preserve"> </w:t>
      </w:r>
      <w:r>
        <w:t xml:space="preserve">corresponding</w:t>
      </w:r>
      <w:r>
        <w:t xml:space="preserve"> </w:t>
      </w:r>
      <w:r>
        <w:t xml:space="preserve">to</w:t>
      </w:r>
      <w:r>
        <w:t xml:space="preserve"> </w:t>
      </w:r>
      <w:r>
        <w:t xml:space="preserve">the</w:t>
      </w:r>
      <w:r>
        <w:t xml:space="preserve"> </w:t>
      </w:r>
      <w:r>
        <w:t xml:space="preserve">browning</w:t>
      </w:r>
      <w:r>
        <w:t xml:space="preserve"> </w:t>
      </w:r>
      <w:r>
        <w:t xml:space="preserve">of</w:t>
      </w:r>
      <w:r>
        <w:t xml:space="preserve"> </w:t>
      </w:r>
      <w:r>
        <w:t xml:space="preserve">green</w:t>
      </w:r>
      <w:r>
        <w:t xml:space="preserve"> </w:t>
      </w:r>
      <w:r>
        <w:t xml:space="preserve">leaves.</w:t>
      </w:r>
      <w:r>
        <w:t xml:space="preserve"> </w:t>
      </w:r>
      <w:r>
        <w:t xml:space="preserve">Key</w:t>
      </w:r>
      <w:r>
        <w:t xml:space="preserve"> </w:t>
      </w:r>
      <w:r>
        <w:t xml:space="preserve">vegetation</w:t>
      </w:r>
      <w:r>
        <w:t xml:space="preserve"> </w:t>
      </w:r>
      <w:r>
        <w:t xml:space="preserve">indices,</w:t>
      </w:r>
      <w:r>
        <w:t xml:space="preserve"> </w:t>
      </w:r>
      <w:r>
        <w:t xml:space="preserve">including</w:t>
      </w:r>
      <w:r>
        <w:t xml:space="preserve"> </w:t>
      </w:r>
      <w:r>
        <w:t xml:space="preserve">the</w:t>
      </w:r>
      <w:r>
        <w:t xml:space="preserve"> </w:t>
      </w:r>
      <w:r>
        <w:t xml:space="preserve">Normalized</w:t>
      </w:r>
      <w:r>
        <w:t xml:space="preserve"> </w:t>
      </w:r>
      <w:r>
        <w:t xml:space="preserve">Difference</w:t>
      </w:r>
      <w:r>
        <w:t xml:space="preserve"> </w:t>
      </w:r>
      <w:r>
        <w:t xml:space="preserve">Vegetation</w:t>
      </w:r>
      <w:r>
        <w:t xml:space="preserve"> </w:t>
      </w:r>
      <w:r>
        <w:t xml:space="preserve">Index</w:t>
      </w:r>
      <w:r>
        <w:t xml:space="preserve"> </w:t>
      </w:r>
      <w:r>
        <w:t xml:space="preserve">(NDVI)</w:t>
      </w:r>
      <w:r>
        <w:t xml:space="preserve"> </w:t>
      </w:r>
      <w:r>
        <w:t xml:space="preserve">and</w:t>
      </w:r>
      <w:r>
        <w:t xml:space="preserve"> </w:t>
      </w:r>
      <w:r>
        <w:t xml:space="preserve">Green</w:t>
      </w:r>
      <w:r>
        <w:t xml:space="preserve"> </w:t>
      </w:r>
      <w:r>
        <w:t xml:space="preserve">Leaf</w:t>
      </w:r>
      <w:r>
        <w:t xml:space="preserve"> </w:t>
      </w:r>
      <w:r>
        <w:t xml:space="preserve">Index</w:t>
      </w:r>
      <w:r>
        <w:t xml:space="preserve"> </w:t>
      </w:r>
      <w:r>
        <w:t xml:space="preserve">(GLI),</w:t>
      </w:r>
      <w:r>
        <w:t xml:space="preserve"> </w:t>
      </w:r>
      <w:r>
        <w:t xml:space="preserve">showed</w:t>
      </w:r>
      <w:r>
        <w:t xml:space="preserve"> </w:t>
      </w:r>
      <w:r>
        <w:t xml:space="preserve">pronounced</w:t>
      </w:r>
      <w:r>
        <w:t xml:space="preserve"> </w:t>
      </w:r>
      <w:r>
        <w:t xml:space="preserve">reductions</w:t>
      </w:r>
      <w:r>
        <w:t xml:space="preserve"> </w:t>
      </w:r>
      <w:r>
        <w:t xml:space="preserve">under</w:t>
      </w:r>
      <w:r>
        <w:t xml:space="preserve"> </w:t>
      </w:r>
      <w:r>
        <w:t xml:space="preserve">heatwave</w:t>
      </w:r>
      <w:r>
        <w:t xml:space="preserve"> </w:t>
      </w:r>
      <w:r>
        <w:t xml:space="preserve">stress,</w:t>
      </w:r>
      <w:r>
        <w:t xml:space="preserve"> </w:t>
      </w:r>
      <w:r>
        <w:t xml:space="preserve">with</w:t>
      </w:r>
      <w:r>
        <w:t xml:space="preserve"> </w:t>
      </w:r>
      <w:r>
        <w:t xml:space="preserve">NDVI</w:t>
      </w:r>
      <w:r>
        <w:t xml:space="preserve"> </w:t>
      </w:r>
      <w:r>
        <w:t xml:space="preserve">values</w:t>
      </w:r>
      <w:r>
        <w:t xml:space="preserve"> </w:t>
      </w:r>
      <w:r>
        <w:t xml:space="preserve">decreasing</w:t>
      </w:r>
      <w:r>
        <w:t xml:space="preserve"> </w:t>
      </w:r>
      <w:r>
        <w:t xml:space="preserve">by</w:t>
      </w:r>
      <w:r>
        <w:t xml:space="preserve"> </w:t>
      </w:r>
      <w:r>
        <w:t xml:space="preserve">up</w:t>
      </w:r>
      <w:r>
        <w:t xml:space="preserve"> </w:t>
      </w:r>
      <w:r>
        <w:t xml:space="preserve">to</w:t>
      </w:r>
      <w:r>
        <w:t xml:space="preserve"> </w:t>
      </w:r>
      <w:r>
        <w:t xml:space="preserve">34%</w:t>
      </w:r>
      <w:r>
        <w:t xml:space="preserve"> </w:t>
      </w:r>
      <w:r>
        <w:t xml:space="preserve">and</w:t>
      </w:r>
      <w:r>
        <w:t xml:space="preserve"> </w:t>
      </w:r>
      <w:r>
        <w:t xml:space="preserve">GLI</w:t>
      </w:r>
      <w:r>
        <w:t xml:space="preserve"> </w:t>
      </w:r>
      <w:r>
        <w:t xml:space="preserve">by</w:t>
      </w:r>
      <w:r>
        <w:t xml:space="preserve"> </w:t>
      </w:r>
      <w:r>
        <w:t xml:space="preserve">57%.</w:t>
      </w:r>
      <w:r>
        <w:t xml:space="preserve"> </w:t>
      </w:r>
      <w:r>
        <w:t xml:space="preserve">A</w:t>
      </w:r>
      <w:r>
        <w:t xml:space="preserve"> </w:t>
      </w:r>
      <w:r>
        <w:t xml:space="preserve">novel</w:t>
      </w:r>
      <w:r>
        <w:t xml:space="preserve"> </w:t>
      </w:r>
      <w:r>
        <w:t xml:space="preserve">metric,</w:t>
      </w:r>
      <w:r>
        <w:t xml:space="preserve"> </w:t>
      </w:r>
      <w:r>
        <w:t xml:space="preserve">the</w:t>
      </w:r>
      <w:r>
        <w:t xml:space="preserve"> </w:t>
      </w:r>
      <w:r>
        <w:t xml:space="preserve">Seagrass</w:t>
      </w:r>
      <w:r>
        <w:t xml:space="preserve"> </w:t>
      </w:r>
      <w:r>
        <w:t xml:space="preserve">Heat</w:t>
      </w:r>
      <w:r>
        <w:t xml:space="preserve"> </w:t>
      </w:r>
      <w:r>
        <w:t xml:space="preserve">Shock</w:t>
      </w:r>
      <w:r>
        <w:t xml:space="preserve"> </w:t>
      </w:r>
      <w:r>
        <w:t xml:space="preserve">Index</w:t>
      </w:r>
      <w:r>
        <w:t xml:space="preserve"> </w:t>
      </w:r>
      <w:r>
        <w:t xml:space="preserve">(SHSI),</w:t>
      </w:r>
      <w:r>
        <w:t xml:space="preserve"> </w:t>
      </w:r>
      <w:r>
        <w:t xml:space="preserve">was</w:t>
      </w:r>
      <w:r>
        <w:t xml:space="preserve"> </w:t>
      </w:r>
      <w:r>
        <w:t xml:space="preserve">developed</w:t>
      </w:r>
      <w:r>
        <w:t xml:space="preserve"> </w:t>
      </w:r>
      <w:r>
        <w:t xml:space="preserve">to</w:t>
      </w:r>
      <w:r>
        <w:t xml:space="preserve"> </w:t>
      </w:r>
      <w:r>
        <w:t xml:space="preserve">quantify</w:t>
      </w:r>
      <w:r>
        <w:t xml:space="preserve"> </w:t>
      </w:r>
      <w:r>
        <w:t xml:space="preserve">the</w:t>
      </w:r>
      <w:r>
        <w:t xml:space="preserve"> </w:t>
      </w:r>
      <w:r>
        <w:t xml:space="preserve">transition</w:t>
      </w:r>
      <w:r>
        <w:t xml:space="preserve"> </w:t>
      </w:r>
      <w:r>
        <w:t xml:space="preserve">of</w:t>
      </w:r>
      <w:r>
        <w:t xml:space="preserve"> </w:t>
      </w:r>
      <w:r>
        <w:t xml:space="preserve">seagrass</w:t>
      </w:r>
      <w:r>
        <w:t xml:space="preserve"> </w:t>
      </w:r>
      <w:r>
        <w:t xml:space="preserve">leaves</w:t>
      </w:r>
      <w:r>
        <w:t xml:space="preserve"> </w:t>
      </w:r>
      <w:r>
        <w:t xml:space="preserve">from</w:t>
      </w:r>
      <w:r>
        <w:t xml:space="preserve"> </w:t>
      </w:r>
      <w:r>
        <w:t xml:space="preserve">green</w:t>
      </w:r>
      <w:r>
        <w:t xml:space="preserve"> </w:t>
      </w:r>
      <w:r>
        <w:t xml:space="preserve">to</w:t>
      </w:r>
      <w:r>
        <w:t xml:space="preserve"> </w:t>
      </w:r>
      <w:r>
        <w:t xml:space="preserve">brown,</w:t>
      </w:r>
      <w:r>
        <w:t xml:space="preserve"> </w:t>
      </w:r>
      <w:r>
        <w:t xml:space="preserve">demonstrating</w:t>
      </w:r>
      <w:r>
        <w:t xml:space="preserve"> </w:t>
      </w:r>
      <w:r>
        <w:t xml:space="preserve">a</w:t>
      </w:r>
      <w:r>
        <w:t xml:space="preserve"> </w:t>
      </w:r>
      <w:r>
        <w:t xml:space="preserve">strong</w:t>
      </w:r>
      <w:r>
        <w:t xml:space="preserve"> </w:t>
      </w:r>
      <w:r>
        <w:t xml:space="preserve">ability</w:t>
      </w:r>
      <w:r>
        <w:t xml:space="preserve"> </w:t>
      </w:r>
      <w:r>
        <w:t xml:space="preserve">to</w:t>
      </w:r>
      <w:r>
        <w:t xml:space="preserve"> </w:t>
      </w:r>
      <w:r>
        <w:t xml:space="preserve">capture</w:t>
      </w:r>
      <w:r>
        <w:t xml:space="preserve"> </w:t>
      </w:r>
      <w:r>
        <w:t xml:space="preserve">the</w:t>
      </w:r>
      <w:r>
        <w:t xml:space="preserve"> </w:t>
      </w:r>
      <w:r>
        <w:t xml:space="preserve">effects</w:t>
      </w:r>
      <w:r>
        <w:t xml:space="preserve"> </w:t>
      </w:r>
      <w:r>
        <w:t xml:space="preserve">of</w:t>
      </w:r>
      <w:r>
        <w:t xml:space="preserve"> </w:t>
      </w:r>
      <w:r>
        <w:t xml:space="preserve">heatwave</w:t>
      </w:r>
      <w:r>
        <w:t xml:space="preserve"> </w:t>
      </w:r>
      <w:r>
        <w:t xml:space="preserve">exposure</w:t>
      </w:r>
      <w:r>
        <w:t xml:space="preserve"> </w:t>
      </w:r>
      <w:r>
        <w:t xml:space="preserve">on</w:t>
      </w:r>
      <w:r>
        <w:t xml:space="preserve"> </w:t>
      </w:r>
      <w:r>
        <w:t xml:space="preserve">seagrass</w:t>
      </w:r>
      <w:r>
        <w:t xml:space="preserve"> </w:t>
      </w:r>
      <w:r>
        <w:t xml:space="preserve">coloration.</w:t>
      </w:r>
      <w:r>
        <w:t xml:space="preserve"> </w:t>
      </w:r>
      <w:r>
        <w:t xml:space="preserve">Multispectral</w:t>
      </w:r>
      <w:r>
        <w:t xml:space="preserve"> </w:t>
      </w:r>
      <w:r>
        <w:t xml:space="preserve">satellite</w:t>
      </w:r>
      <w:r>
        <w:t xml:space="preserve"> </w:t>
      </w:r>
      <w:r>
        <w:t xml:space="preserve">observations</w:t>
      </w:r>
      <w:r>
        <w:t xml:space="preserve"> </w:t>
      </w:r>
      <w:r>
        <w:t xml:space="preserve">corroborated</w:t>
      </w:r>
      <w:r>
        <w:t xml:space="preserve"> </w:t>
      </w:r>
      <w:r>
        <w:t xml:space="preserve">the</w:t>
      </w:r>
      <w:r>
        <w:t xml:space="preserve"> </w:t>
      </w:r>
      <w:r>
        <w:t xml:space="preserve">laboratory</w:t>
      </w:r>
      <w:r>
        <w:t xml:space="preserve"> </w:t>
      </w:r>
      <w:r>
        <w:t xml:space="preserve">results,</w:t>
      </w:r>
      <w:r>
        <w:t xml:space="preserve"> </w:t>
      </w:r>
      <w:r>
        <w:t xml:space="preserve">revealing</w:t>
      </w:r>
      <w:r>
        <w:t xml:space="preserve"> </w:t>
      </w:r>
      <w:r>
        <w:t xml:space="preserve">widespread</w:t>
      </w:r>
      <w:r>
        <w:t xml:space="preserve"> </w:t>
      </w:r>
      <w:r>
        <w:t xml:space="preserve">browning</w:t>
      </w:r>
      <w:r>
        <w:t xml:space="preserve"> </w:t>
      </w:r>
      <w:r>
        <w:t xml:space="preserve">of</w:t>
      </w:r>
      <w:r>
        <w:t xml:space="preserve"> </w:t>
      </w:r>
      <w:r>
        <w:t xml:space="preserve">seagrass</w:t>
      </w:r>
      <w:r>
        <w:t xml:space="preserve"> </w:t>
      </w:r>
      <w:r>
        <w:t xml:space="preserve">leaves</w:t>
      </w:r>
      <w:r>
        <w:t xml:space="preserve"> </w:t>
      </w:r>
      <w:r>
        <w:t xml:space="preserve">during</w:t>
      </w:r>
      <w:r>
        <w:t xml:space="preserve"> </w:t>
      </w:r>
      <w:r>
        <w:t xml:space="preserve">marine</w:t>
      </w:r>
      <w:r>
        <w:t xml:space="preserve"> </w:t>
      </w:r>
      <w:r>
        <w:t xml:space="preserve">and</w:t>
      </w:r>
      <w:r>
        <w:t xml:space="preserve"> </w:t>
      </w:r>
      <w:r>
        <w:t xml:space="preserve">atmospheric</w:t>
      </w:r>
      <w:r>
        <w:t xml:space="preserve"> </w:t>
      </w:r>
      <w:r>
        <w:t xml:space="preserve">heatwave</w:t>
      </w:r>
      <w:r>
        <w:t xml:space="preserve"> </w:t>
      </w:r>
      <w:r>
        <w:t xml:space="preserve">events</w:t>
      </w:r>
      <w:r>
        <w:t xml:space="preserve"> </w:t>
      </w:r>
      <w:r>
        <w:t xml:space="preserve">in</w:t>
      </w:r>
      <w:r>
        <w:t xml:space="preserve"> </w:t>
      </w:r>
      <w:r>
        <w:t xml:space="preserve">South</w:t>
      </w:r>
      <w:r>
        <w:t xml:space="preserve"> </w:t>
      </w:r>
      <w:r>
        <w:t xml:space="preserve">Brittany,</w:t>
      </w:r>
      <w:r>
        <w:t xml:space="preserve"> </w:t>
      </w:r>
      <w:r>
        <w:t xml:space="preserve">France.</w:t>
      </w:r>
      <w:r>
        <w:t xml:space="preserve"> </w:t>
      </w:r>
      <w:r>
        <w:t xml:space="preserve">Notably,</w:t>
      </w:r>
      <w:r>
        <w:t xml:space="preserve"> </w:t>
      </w:r>
      <w:r>
        <w:t xml:space="preserve">darkened</w:t>
      </w:r>
      <w:r>
        <w:t xml:space="preserve"> </w:t>
      </w:r>
      <w:r>
        <w:t xml:space="preserve">seagrass</w:t>
      </w:r>
      <w:r>
        <w:t xml:space="preserve"> </w:t>
      </w:r>
      <w:r>
        <w:t xml:space="preserve">patches</w:t>
      </w:r>
      <w:r>
        <w:t xml:space="preserve"> </w:t>
      </w:r>
      <w:r>
        <w:t xml:space="preserve">were</w:t>
      </w:r>
      <w:r>
        <w:t xml:space="preserve"> </w:t>
      </w:r>
      <w:r>
        <w:t xml:space="preserve">observed</w:t>
      </w:r>
      <w:r>
        <w:t xml:space="preserve"> </w:t>
      </w:r>
      <w:r>
        <w:t xml:space="preserve">in</w:t>
      </w:r>
      <w:r>
        <w:t xml:space="preserve"> </w:t>
      </w:r>
      <w:r>
        <w:t xml:space="preserve">intertidal</w:t>
      </w:r>
      <w:r>
        <w:t xml:space="preserve"> </w:t>
      </w:r>
      <w:r>
        <w:t xml:space="preserve">areas</w:t>
      </w:r>
      <w:r>
        <w:t xml:space="preserve"> </w:t>
      </w:r>
      <w:r>
        <w:t xml:space="preserve">exposed</w:t>
      </w:r>
      <w:r>
        <w:t xml:space="preserve"> </w:t>
      </w:r>
      <w:r>
        <w:t xml:space="preserve">to</w:t>
      </w:r>
      <w:r>
        <w:t xml:space="preserve"> </w:t>
      </w:r>
      <w:r>
        <w:t xml:space="preserve">temperatures</w:t>
      </w:r>
      <w:r>
        <w:t xml:space="preserve"> </w:t>
      </w:r>
      <w:r>
        <w:t xml:space="preserve">exceeding</w:t>
      </w:r>
      <w:r>
        <w:t xml:space="preserve"> </w:t>
      </w:r>
      <w:r>
        <w:t xml:space="preserve">32°C</w:t>
      </w:r>
      <w:r>
        <w:t xml:space="preserve"> </w:t>
      </w:r>
      <w:r>
        <w:t xml:space="preserve">for</w:t>
      </w:r>
      <w:r>
        <w:t xml:space="preserve"> </w:t>
      </w:r>
      <w:r>
        <w:t xml:space="preserve">over</w:t>
      </w:r>
      <w:r>
        <w:t xml:space="preserve"> </w:t>
      </w:r>
      <w:r>
        <w:t xml:space="preserve">13.5</w:t>
      </w:r>
      <w:r>
        <w:t xml:space="preserve"> </w:t>
      </w:r>
      <w:r>
        <w:t xml:space="preserve">hours</w:t>
      </w:r>
      <w:r>
        <w:t xml:space="preserve"> </w:t>
      </w:r>
      <w:r>
        <w:t xml:space="preserve">per</w:t>
      </w:r>
      <w:r>
        <w:t xml:space="preserve"> </w:t>
      </w:r>
      <w:r>
        <w:t xml:space="preserve">day.</w:t>
      </w:r>
      <w:r>
        <w:t xml:space="preserve"> </w:t>
      </w:r>
      <w:r>
        <w:t xml:space="preserve">These</w:t>
      </w:r>
      <w:r>
        <w:t xml:space="preserve"> </w:t>
      </w:r>
      <w:r>
        <w:t xml:space="preserve">findings</w:t>
      </w:r>
      <w:r>
        <w:t xml:space="preserve"> </w:t>
      </w:r>
      <w:r>
        <w:t xml:space="preserve">highlight</w:t>
      </w:r>
      <w:r>
        <w:t xml:space="preserve"> </w:t>
      </w:r>
      <w:r>
        <w:t xml:space="preserve">the</w:t>
      </w:r>
      <w:r>
        <w:t xml:space="preserve"> </w:t>
      </w:r>
      <w:r>
        <w:t xml:space="preserve">potential</w:t>
      </w:r>
      <w:r>
        <w:t xml:space="preserve"> </w:t>
      </w:r>
      <w:r>
        <w:t xml:space="preserve">of</w:t>
      </w:r>
      <w:r>
        <w:t xml:space="preserve"> </w:t>
      </w:r>
      <w:r>
        <w:t xml:space="preserve">spectral</w:t>
      </w:r>
      <w:r>
        <w:t xml:space="preserve"> </w:t>
      </w:r>
      <w:r>
        <w:t xml:space="preserve">reflectance</w:t>
      </w:r>
      <w:r>
        <w:t xml:space="preserve"> </w:t>
      </w:r>
      <w:r>
        <w:t xml:space="preserve">as</w:t>
      </w:r>
      <w:r>
        <w:t xml:space="preserve"> </w:t>
      </w:r>
      <w:r>
        <w:t xml:space="preserve">a</w:t>
      </w:r>
      <w:r>
        <w:t xml:space="preserve"> </w:t>
      </w:r>
      <w:r>
        <w:t xml:space="preserve">tool</w:t>
      </w:r>
      <w:r>
        <w:t xml:space="preserve"> </w:t>
      </w:r>
      <w:r>
        <w:t xml:space="preserve">for</w:t>
      </w:r>
      <w:r>
        <w:t xml:space="preserve"> </w:t>
      </w:r>
      <w:r>
        <w:t xml:space="preserve">detecting</w:t>
      </w:r>
      <w:r>
        <w:t xml:space="preserve"> </w:t>
      </w:r>
      <w:r>
        <w:t xml:space="preserve">early</w:t>
      </w:r>
      <w:r>
        <w:t xml:space="preserve"> </w:t>
      </w:r>
      <w:r>
        <w:t xml:space="preserve">signs</w:t>
      </w:r>
      <w:r>
        <w:t xml:space="preserve"> </w:t>
      </w:r>
      <w:r>
        <w:t xml:space="preserve">of</w:t>
      </w:r>
      <w:r>
        <w:t xml:space="preserve"> </w:t>
      </w:r>
      <w:r>
        <w:t xml:space="preserve">heatwave-induced</w:t>
      </w:r>
      <w:r>
        <w:t xml:space="preserve"> </w:t>
      </w:r>
      <w:r>
        <w:t xml:space="preserve">stress</w:t>
      </w:r>
      <w:r>
        <w:t xml:space="preserve"> </w:t>
      </w:r>
      <w:r>
        <w:t xml:space="preserve">in</w:t>
      </w:r>
      <w:r>
        <w:t xml:space="preserve"> </w:t>
      </w:r>
      <w:r>
        <w:t xml:space="preserve">seagrasses,</w:t>
      </w:r>
      <w:r>
        <w:t xml:space="preserve"> </w:t>
      </w:r>
      <w:r>
        <w:t xml:space="preserve">offering</w:t>
      </w:r>
      <w:r>
        <w:t xml:space="preserve"> </w:t>
      </w:r>
      <w:r>
        <w:t xml:space="preserve">a</w:t>
      </w:r>
      <w:r>
        <w:t xml:space="preserve"> </w:t>
      </w:r>
      <w:r>
        <w:t xml:space="preserve">valuable</w:t>
      </w:r>
      <w:r>
        <w:t xml:space="preserve"> </w:t>
      </w:r>
      <w:r>
        <w:t xml:space="preserve">method</w:t>
      </w:r>
      <w:r>
        <w:t xml:space="preserve"> </w:t>
      </w:r>
      <w:r>
        <w:t xml:space="preserve">for</w:t>
      </w:r>
      <w:r>
        <w:t xml:space="preserve"> </w:t>
      </w:r>
      <w:r>
        <w:t xml:space="preserve">remote</w:t>
      </w:r>
      <w:r>
        <w:t xml:space="preserve"> </w:t>
      </w:r>
      <w:r>
        <w:t xml:space="preserve">sensing-based</w:t>
      </w:r>
      <w:r>
        <w:t xml:space="preserve"> </w:t>
      </w:r>
      <w:r>
        <w:t xml:space="preserve">habitat</w:t>
      </w:r>
      <w:r>
        <w:t xml:space="preserve"> </w:t>
      </w:r>
      <w:r>
        <w:t xml:space="preserve">assessment,</w:t>
      </w:r>
      <w:r>
        <w:t xml:space="preserve"> </w:t>
      </w:r>
      <w:r>
        <w:t xml:space="preserve">and</w:t>
      </w:r>
      <w:r>
        <w:t xml:space="preserve"> </w:t>
      </w:r>
      <w:r>
        <w:t xml:space="preserve">the</w:t>
      </w:r>
      <w:r>
        <w:t xml:space="preserve"> </w:t>
      </w:r>
      <w:r>
        <w:t xml:space="preserve">need</w:t>
      </w:r>
      <w:r>
        <w:t xml:space="preserve"> </w:t>
      </w:r>
      <w:r>
        <w:t xml:space="preserve">for</w:t>
      </w:r>
      <w:r>
        <w:t xml:space="preserve"> </w:t>
      </w:r>
      <w:r>
        <w:t xml:space="preserve">continuous</w:t>
      </w:r>
      <w:r>
        <w:t xml:space="preserve"> </w:t>
      </w:r>
      <w:r>
        <w:t xml:space="preserve">monitoring</w:t>
      </w:r>
      <w:r>
        <w:t xml:space="preserve"> </w:t>
      </w:r>
      <w:r>
        <w:t xml:space="preserve">of</w:t>
      </w:r>
      <w:r>
        <w:t xml:space="preserve"> </w:t>
      </w:r>
      <w:r>
        <w:t xml:space="preserve">seagrass</w:t>
      </w:r>
      <w:r>
        <w:t xml:space="preserve"> </w:t>
      </w:r>
      <w:r>
        <w:t xml:space="preserve">meadows</w:t>
      </w:r>
      <w:r>
        <w:t xml:space="preserve"> </w:t>
      </w:r>
      <w:r>
        <w:t xml:space="preserve">under</w:t>
      </w:r>
      <w:r>
        <w:t xml:space="preserve"> </w:t>
      </w:r>
      <w:r>
        <w:t xml:space="preserve">the</w:t>
      </w:r>
      <w:r>
        <w:t xml:space="preserve"> </w:t>
      </w:r>
      <w:r>
        <w:t xml:space="preserve">current</w:t>
      </w:r>
      <w:r>
        <w:t xml:space="preserve"> </w:t>
      </w:r>
      <w:r>
        <w:t xml:space="preserve">and</w:t>
      </w:r>
      <w:r>
        <w:t xml:space="preserve"> </w:t>
      </w:r>
      <w:r>
        <w:t xml:space="preserve">future</w:t>
      </w:r>
      <w:r>
        <w:t xml:space="preserve"> </w:t>
      </w:r>
      <w:r>
        <w:t xml:space="preserve">climate</w:t>
      </w:r>
      <w:r>
        <w:t xml:space="preserve"> </w:t>
      </w:r>
      <w:r>
        <w:t xml:space="preserve">regimes,</w:t>
      </w:r>
      <w:r>
        <w:t xml:space="preserve"> </w:t>
      </w:r>
      <w:r>
        <w:t xml:space="preserve">underscoring</w:t>
      </w:r>
      <w:r>
        <w:t xml:space="preserve"> </w:t>
      </w:r>
      <w:r>
        <w:t xml:space="preserve">the</w:t>
      </w:r>
      <w:r>
        <w:t xml:space="preserve"> </w:t>
      </w:r>
      <w:r>
        <w:t xml:space="preserve">potential</w:t>
      </w:r>
      <w:r>
        <w:t xml:space="preserve"> </w:t>
      </w:r>
      <w:r>
        <w:t xml:space="preserve">of</w:t>
      </w:r>
      <w:r>
        <w:t xml:space="preserve"> </w:t>
      </w:r>
      <w:r>
        <w:t xml:space="preserve">remote</w:t>
      </w:r>
      <w:r>
        <w:t xml:space="preserve"> </w:t>
      </w:r>
      <w:r>
        <w:t xml:space="preserve">sensing</w:t>
      </w:r>
      <w:r>
        <w:t xml:space="preserve"> </w:t>
      </w:r>
      <w:r>
        <w:t xml:space="preserve">to</w:t>
      </w:r>
      <w:r>
        <w:t xml:space="preserve"> </w:t>
      </w:r>
      <w:r>
        <w:t xml:space="preserve">capture</w:t>
      </w:r>
      <w:r>
        <w:t xml:space="preserve"> </w:t>
      </w:r>
      <w:r>
        <w:t xml:space="preserve">rapid</w:t>
      </w:r>
      <w:r>
        <w:t xml:space="preserve"> </w:t>
      </w:r>
      <w:r>
        <w:t xml:space="preserve">environmental</w:t>
      </w:r>
      <w:r>
        <w:t xml:space="preserve"> </w:t>
      </w:r>
      <w:r>
        <w:t xml:space="preserve">changes</w:t>
      </w:r>
      <w:r>
        <w:t xml:space="preserve"> </w:t>
      </w:r>
      <w:r>
        <w:t xml:space="preserve">in</w:t>
      </w:r>
      <w:r>
        <w:t xml:space="preserve"> </w:t>
      </w:r>
      <w:r>
        <w:t xml:space="preserve">intertidal</w:t>
      </w:r>
      <w:r>
        <w:t xml:space="preserve"> </w:t>
      </w:r>
      <w:r>
        <w:t xml:space="preserve">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 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These habitats are subjected to a combination of aquatic and aerial conditions, facing impact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HWs,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plans to underscore the potential of remote sensing to enhance our understanding of seagrass responses to extreme thermal events across diverse settings and timescales.</w:t>
      </w:r>
    </w:p>
    <w:bookmarkEnd w:id="24"/>
    <w:bookmarkStart w:id="67"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This coring devices reduced the variability between each sample.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from a nearby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2 days after the start of the HW event.</w:t>
            </w:r>
          </w:p>
          <w:bookmarkEnd w:id="28"/>
        </w:tc>
      </w:tr>
    </w:tbl>
    <w:bookmarkEnd w:id="29"/>
    <w:bookmarkEnd w:id="30"/>
    <w:bookmarkStart w:id="36" w:name="experimental-design"/>
    <w:p>
      <w:pPr>
        <w:pStyle w:val="Heading3"/>
      </w:pPr>
      <w:r>
        <w:t xml:space="preserve">3.1.2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transition between low tide and high tide was binary and took about 15 minutes to be completed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Field temperature was measured using</w:t>
      </w:r>
      <w:r>
        <w:t xml:space="preserve"> </w:t>
      </w:r>
      <w:r>
        <w:rPr>
          <w:i/>
          <w:iCs/>
        </w:rPr>
        <w:t xml:space="preserve">in situ sensors</w:t>
      </w:r>
      <w:r>
        <w:t xml:space="preserve"> </w:t>
      </w:r>
      <w:r>
        <w:t xml:space="preserve">(T7.3 EnvLoggers from ElectricBlue®) deployed at the sampling site in August 2024.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tansk, was repeated three times to obtain replicates (hereafter referred to as</w:t>
      </w:r>
      <w:r>
        <w:t xml:space="preserve"> </w:t>
      </w:r>
      <w:r>
        <w:t xml:space="preserve">“</w:t>
      </w:r>
      <w:r>
        <w:t xml:space="preserve">Run</w:t>
      </w:r>
      <w:r>
        <w:t xml:space="preserve">”</w:t>
      </w:r>
      <w:r>
        <w:t xml:space="preserve">).</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4"/>
        </w:tc>
      </w:tr>
    </w:tbl>
    <w:bookmarkEnd w:id="35"/>
    <w:bookmarkEnd w:id="36"/>
    <w:bookmarkStart w:id="47" w:name="optical-measurements"/>
    <w:p>
      <w:pPr>
        <w:pStyle w:val="Heading3"/>
      </w:pPr>
      <w:r>
        <w:t xml:space="preserve">3.1.3 Optical measurements</w:t>
      </w:r>
    </w:p>
    <w:bookmarkStart w:id="37" w:name="hyperspectral-reflectance-measurements"/>
    <w:p>
      <w:pPr>
        <w:pStyle w:val="Heading4"/>
      </w:pPr>
      <w:r>
        <w:t xml:space="preserve">3.1.3.1 Hyperspectral reflectance measurements</w:t>
      </w:r>
    </w:p>
    <w:p>
      <w:pPr>
        <w:pStyle w:val="FirstParagraph"/>
      </w:pPr>
      <w:r>
        <w:t xml:space="preserve">Throughout the experiment, the hyperspectral reflectance,</w:t>
      </w:r>
      <w:r>
        <w:t xml:space="preserve"> </w:t>
      </w:r>
      <m:oMath>
        <m:r>
          <m:t>R</m:t>
        </m:r>
        <m:d>
          <m:dPr>
            <m:begChr m:val="("/>
            <m:endChr m:val=")"/>
            <m:sep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endChr m:val=")"/>
            <m:sepChr m:val=""/>
            <m:grow/>
          </m:dPr>
          <m:e>
            <m:r>
              <m:t>λ</m:t>
            </m:r>
          </m:e>
        </m:d>
      </m:oMath>
      <w:r>
        <w:t xml:space="preserve"> </w:t>
      </w:r>
      <w:r>
        <w:t xml:space="preserve">without opening the chamber. An average of five</w:t>
      </w:r>
      <w:r>
        <w:t xml:space="preserve"> </w:t>
      </w:r>
      <m:oMath>
        <m:r>
          <m:t>R</m:t>
        </m:r>
        <m:d>
          <m:dPr>
            <m:begChr m:val="("/>
            <m:endChr m:val=")"/>
            <m:sep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endChr m:val=")"/>
            <m:sep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w:t>
      </w:r>
      <w:r>
        <w:t xml:space="preserve">hsdar</w:t>
      </w:r>
      <w:r>
        <w:t xml:space="preserve">”</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endChr m:val=")"/>
            <m:sep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the green (at 550 nm) and in the blue (at 450 nm) spectral bands, respectively.</w:t>
      </w:r>
    </w:p>
    <w:p>
      <w:pPr>
        <w:pStyle w:val="BodyText"/>
      </w:pPr>
      <w:r>
        <w:t xml:space="preserve">Based on the observed spectral changes in seagrasses exposed to HWs, we developed a new radiometric index to better detect the radiometric change caused by the HW. The browning of the leaves was characterized by substantial radiometric changes in both the green and red-edge spectral regions.</w:t>
      </w:r>
      <w:r>
        <w:t xml:space="preserve"> </w:t>
      </w:r>
      <w:r>
        <w:t xml:space="preserve">The Seagrass Heat Shock Index (SHSI) was introduced as the reflectance line height at 740 nm, compared to the 560 - 842 nm baseline (</w:t>
      </w:r>
      <w:hyperlink w:anchor="fig-SHSI">
        <w:r>
          <w:rPr>
            <w:rStyle w:val="Hyperlink"/>
          </w:rPr>
          <w:t xml:space="preserve">Figure 3</w:t>
        </w:r>
      </w:hyperlink>
      <w:r>
        <w:t xml:space="preserve">). Namely the SHSI subtracts the reflectance observed at 740 nm to the linearly interpolated reflectance between 560 and 842 nm, so that the index is positive in the case of brown, HW-impacted seagrass leaves, and negative in the case of green, non-impacted leaves: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the reflectance at 560, 740, and 842 nm, respectively, and</w:t>
      </w:r>
      <w:r>
        <w:t xml:space="preserve"> </w:t>
      </w:r>
      <m:oMath>
        <m:r>
          <m:t>τ</m:t>
        </m:r>
      </m:oMath>
      <w:r>
        <w:t xml:space="preserve"> </w:t>
      </w:r>
      <w:r>
        <w:t xml:space="preserve">is equal to a contant of 0.64. These wavelengths were selected to align with the spectral resolution of satellites missions such as Sentinel-2, for broader remote sensing application.</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High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4"/>
        </w:tc>
      </w:tr>
    </w:tbl>
    <w:bookmarkEnd w:id="45"/>
    <w:bookmarkEnd w:id="46"/>
    <w:bookmarkEnd w:id="47"/>
    <w:bookmarkEnd w:id="48"/>
    <w:bookmarkStart w:id="65" w:name="X53c8231f04157ff9451ec0257d89262a154cfec"/>
    <w:p>
      <w:pPr>
        <w:pStyle w:val="Heading2"/>
      </w:pPr>
      <w:r>
        <w:t xml:space="preserve">3.2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2"/>
        </w:tc>
      </w:tr>
    </w:tbl>
    <w:bookmarkEnd w:id="53"/>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692781" cy="1785257"/>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7"/>
        </w:tc>
      </w:tr>
    </w:tbl>
    <w:bookmarkEnd w:id="58"/>
    <w:bookmarkStart w:id="62" w:name="temperature-data-and-hw-detection"/>
    <w:p>
      <w:pPr>
        <w:pStyle w:val="Heading3"/>
      </w:pPr>
      <w:r>
        <w:t xml:space="preserve">3.2.1 Temperature data and HW detection</w:t>
      </w:r>
    </w:p>
    <w:bookmarkStart w:id="59" w:name="air-temperature"/>
    <w:p>
      <w:pPr>
        <w:pStyle w:val="Heading4"/>
      </w:pPr>
      <w:r>
        <w:t xml:space="preserve">3.2.1.1 Air temperature</w:t>
      </w:r>
    </w:p>
    <w:p>
      <w:pPr>
        <w:pStyle w:val="FirstParagraph"/>
      </w:pPr>
      <w:r>
        <w:t xml:space="preserve">Since 2024, Meteo France weather data has been freely and openly accessible. Hourly air temperature data from a nearby weather station (Lorient-Lann Bihoue, 47°45’46”N 3°26’11”W) was retrieved. For this station, more than 395,000 hourly observations were available since 1952.</w:t>
      </w:r>
    </w:p>
    <w:bookmarkEnd w:id="59"/>
    <w:bookmarkStart w:id="60" w:name="water-temperature"/>
    <w:p>
      <w:pPr>
        <w:pStyle w:val="Heading4"/>
      </w:pPr>
      <w:r>
        <w:t xml:space="preserve">3.2.1.2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60"/>
    <w:bookmarkStart w:id="61" w:name="heatwave-detection-and-characterization"/>
    <w:p>
      <w:pPr>
        <w:pStyle w:val="Heading4"/>
      </w:pPr>
      <w:r>
        <w:t xml:space="preserve">3.2.1.3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1"/>
    <w:bookmarkEnd w:id="62"/>
    <w:bookmarkStart w:id="63" w:name="satellite-observations"/>
    <w:p>
      <w:pPr>
        <w:pStyle w:val="Heading3"/>
      </w:pPr>
      <w:r>
        <w:t xml:space="preserve">3.2.2 Satellite observations</w:t>
      </w:r>
    </w:p>
    <w:p>
      <w:pPr>
        <w:pStyle w:val="FirstParagraph"/>
      </w:pPr>
      <w:r>
        <w:t xml:space="preserve">Three Sentinel-2 images of the study site were selected in 2021 to assess the effect of thecombined AHW and MHW (</w:t>
      </w:r>
      <w:r>
        <w:t xml:space="preserve">“</w:t>
      </w:r>
      <w:r>
        <w:t xml:space="preserve">HW event</w:t>
      </w:r>
      <w:r>
        <w:t xml:space="preserve">”</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3"/>
    <w:bookmarkStart w:id="64" w:name="emersion-time-of-the-seagrass-meadow"/>
    <w:p>
      <w:pPr>
        <w:pStyle w:val="Heading3"/>
      </w:pPr>
      <w:r>
        <w:t xml:space="preserve">3.2.3 Emersion time of the seagrass meadow</w:t>
      </w:r>
    </w:p>
    <w:p>
      <w:pPr>
        <w:pStyle w:val="FirstParagraph"/>
      </w:pPr>
      <w:r>
        <w:t xml:space="preserve">The post-HW seagrass discoloration is likely related to the emersion time and intertidal topography. 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4"/>
    <w:bookmarkEnd w:id="65"/>
    <w:bookmarkStart w:id="66"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indices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w:t>
      </w:r>
      <w:r>
        <w:t xml:space="preserve">brms</w:t>
      </w:r>
      <w:r>
        <w:t xml:space="preserve">”</w:t>
      </w:r>
      <w:r>
        <w:t xml:space="preserve"> </w:t>
      </w:r>
      <w:r>
        <w:t xml:space="preserve">and</w:t>
      </w:r>
      <w:r>
        <w:t xml:space="preserve"> </w:t>
      </w:r>
      <w:r>
        <w:t xml:space="preserve">“</w:t>
      </w:r>
      <w:r>
        <w:t xml:space="preserve">RStan</w:t>
      </w:r>
      <w:r>
        <w:t xml:space="preserve">”</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6"/>
    <w:bookmarkEnd w:id="67"/>
    <w:bookmarkStart w:id="109" w:name="results"/>
    <w:p>
      <w:pPr>
        <w:pStyle w:val="Heading1"/>
      </w:pPr>
      <w:r>
        <w:t xml:space="preserve">4. Results</w:t>
      </w:r>
    </w:p>
    <w:bookmarkStart w:id="85" w:name="laboratory-experiment-1"/>
    <w:p>
      <w:pPr>
        <w:pStyle w:val="Heading2"/>
      </w:pPr>
      <w:r>
        <w:t xml:space="preserve">4.1 Laboratory Experiment</w:t>
      </w:r>
    </w:p>
    <w:bookmarkStart w:id="73" w:name="heatwave-effect-on-seagrass-reflectance"/>
    <w:p>
      <w:pPr>
        <w:pStyle w:val="Heading3"/>
      </w:pPr>
      <w:r>
        <w:t xml:space="preserve">4.1.1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endChr m:val=")"/>
            <m:sep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endChr m:val=")"/>
            <m:sepChr m:val=""/>
            <m:grow/>
          </m:dPr>
          <m:e>
            <m:r>
              <m:t>λ</m:t>
            </m:r>
          </m:e>
        </m:d>
      </m:oMath>
      <w:r>
        <w:t xml:space="preserve"> </w:t>
      </w:r>
      <w:r>
        <w:t xml:space="preserve">showed severe changes throughout the experiment. During day 1, the Treatment</w:t>
      </w:r>
      <w:r>
        <w:t xml:space="preserve"> </w:t>
      </w:r>
      <m:oMath>
        <m:r>
          <m:t>R</m:t>
        </m:r>
        <m:d>
          <m:dPr>
            <m:begChr m:val="("/>
            <m:endChr m:val=")"/>
            <m:sepChr m:val=""/>
            <m:grow/>
          </m:dPr>
          <m:e>
            <m:r>
              <m:t>λ</m:t>
            </m:r>
          </m:e>
        </m:d>
      </m:oMath>
      <w:r>
        <w:t xml:space="preserve"> </w:t>
      </w:r>
      <w:r>
        <w:t xml:space="preserve">was generally similar to the Control</w:t>
      </w:r>
      <w:r>
        <w:t xml:space="preserve"> </w:t>
      </w:r>
      <m:oMath>
        <m:r>
          <m:t>R</m:t>
        </m:r>
        <m:d>
          <m:dPr>
            <m:begChr m:val="("/>
            <m:endChr m:val=")"/>
            <m:sepChr m:val=""/>
            <m:grow/>
          </m:dPr>
          <m:e>
            <m:r>
              <m:t>λ</m:t>
            </m:r>
          </m:e>
        </m:d>
      </m:oMath>
      <w:r>
        <w:t xml:space="preserve">, despite a slightly less marked peak around 560 nm and slightly lower NIR values from 750 – 900 nm. A drastic decrease was then observed during days 2 and 3 across all wavelengths, particularly in the green – yellow spectral region (from 500 – 650 nm) and in the NIR (from 750 - 900 nm). During day 3, the collapse in</w:t>
      </w:r>
      <w:r>
        <w:t xml:space="preserve"> </w:t>
      </w:r>
      <m:oMath>
        <m:r>
          <m:t>R</m:t>
        </m:r>
        <m:d>
          <m:dPr>
            <m:begChr m:val="("/>
            <m:endChr m:val=")"/>
            <m:sepChr m:val=""/>
            <m:grow/>
          </m:dPr>
          <m:e>
            <m:r>
              <m:t>λ</m:t>
            </m:r>
          </m:e>
        </m:d>
      </m:oMath>
      <w:r>
        <w:t xml:space="preserve"> </w:t>
      </w:r>
      <w:r>
        <w:t xml:space="preserve">appeared to stabilize in the NIR, whereas it slightly continued in the green spectral region. At the end of the HW experiment, the</w:t>
      </w:r>
      <w:r>
        <w:t xml:space="preserve"> </w:t>
      </w:r>
      <m:oMath>
        <m:r>
          <m:t>R</m:t>
        </m:r>
        <m:d>
          <m:dPr>
            <m:begChr m:val="("/>
            <m:endChr m:val=")"/>
            <m:sepChr m:val=""/>
            <m:grow/>
          </m:dPr>
          <m:e>
            <m:r>
              <m:t>λ</m:t>
            </m:r>
          </m:e>
        </m:d>
      </m:oMath>
      <w:r>
        <w:t xml:space="preserve"> </w:t>
      </w:r>
      <w:r>
        <w:t xml:space="preserve">valley around 665 nm was also less pronounced, suggesting a decrease of chlorophyll-a concentration.</w:t>
      </w:r>
    </w:p>
    <w:bookmarkStart w:id="72" w:name="cell-fig-Exp_Spectra"/>
    <w:tbl>
      <w:tblPr>
        <w:tblStyle w:val="Table"/>
        <w:tblW w:type="pct" w:w="5000"/>
        <w:tblLayout w:type="fixed"/>
        <w:tblLook w:firstRow="0" w:lastRow="0" w:firstColumn="0" w:lastColumn="0" w:noHBand="0" w:noVBand="0" w:val="0000"/>
      </w:tblPr>
      <w:tblGrid>
        <w:gridCol w:w="7920"/>
      </w:tblGrid>
      <w:tr>
        <w:tc>
          <w:tcPr/>
          <w:bookmarkStart w:id="71" w:name="fig-Exp_Spectra"/>
          <w:p>
            <w:pPr>
              <w:pStyle w:val="Compact"/>
              <w:jc w:val="center"/>
            </w:pPr>
            <w:r>
              <w:drawing>
                <wp:inline>
                  <wp:extent cx="5646420" cy="2823210"/>
                  <wp:effectExtent b="0" l="0" r="0" t="0"/>
                  <wp:docPr descr="" title="" id="69" name="Picture"/>
                  <a:graphic>
                    <a:graphicData uri="http://schemas.openxmlformats.org/drawingml/2006/picture">
                      <pic:pic>
                        <pic:nvPicPr>
                          <pic:cNvPr descr="Figs/Low_res/plot_Spectra_exp.png" id="70" name="Picture"/>
                          <pic:cNvPicPr>
                            <a:picLocks noChangeArrowheads="1" noChangeAspect="1"/>
                          </pic:cNvPicPr>
                        </pic:nvPicPr>
                        <pic:blipFill>
                          <a:blip r:embed="rId68"/>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measurments. The color indicates the progression along the experiment from the beginning (Day 1: Green), middle (Day 2: Yellow) and end (Day 3: Brown). A min-max standardization has been applied to each individual spectrum.</w:t>
            </w:r>
          </w:p>
          <w:bookmarkEnd w:id="71"/>
        </w:tc>
      </w:tr>
    </w:tbl>
    <w:bookmarkEnd w:id="72"/>
    <w:bookmarkEnd w:id="73"/>
    <w:bookmarkStart w:id="84" w:name="heatwave-effect-on-radiometric-indices"/>
    <w:p>
      <w:pPr>
        <w:pStyle w:val="Heading3"/>
      </w:pPr>
      <w:r>
        <w:t xml:space="preserve">4.1.2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were impacted by the experimental heatwave (</w:t>
      </w:r>
      <w:hyperlink w:anchor="fig-Exp_Spectral_indices">
        <w:r>
          <w:rPr>
            <w:rStyle w:val="Hyperlink"/>
          </w:rPr>
          <w:t xml:space="preserve">Figure 7</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55 % higher than that of the Control at the start of the experiment (day 1 ;</w:t>
      </w:r>
      <w:r>
        <w:t xml:space="preserve"> </w:t>
      </w:r>
      <w:hyperlink w:anchor="fig-Exp_Spectral_indices">
        <w:r>
          <w:rPr>
            <w:rStyle w:val="Hyperlink"/>
          </w:rPr>
          <w:t xml:space="preserve">Figure 7</w:t>
        </w:r>
      </w:hyperlink>
      <w:r>
        <w:t xml:space="preserve"> </w:t>
      </w:r>
      <w:r>
        <w:t xml:space="preserve">D). By day 2, the SHSI exhibited a rapid increase of approximately 241 %, eventually reaching an overall rise of 420 % by day 3.</w:t>
      </w:r>
    </w:p>
    <w:p>
      <w:pPr>
        <w:pStyle w:val="BodyText"/>
      </w:pPr>
      <w:r>
        <w:t xml:space="preserve">With a maximum deviation of 420 %, SHSI emerges as the most sensitive index for detecting seagrass browning. Consequently, only this index was considered for the next steps of the study.</w:t>
      </w:r>
    </w:p>
    <w:bookmarkStart w:id="78" w:name="cell-fig-Exp_Spectral_indices"/>
    <w:tbl>
      <w:tblPr>
        <w:tblStyle w:val="Table"/>
        <w:tblW w:type="pct" w:w="5000"/>
        <w:tblLayout w:type="fixed"/>
        <w:tblLook w:firstRow="0" w:lastRow="0" w:firstColumn="0" w:lastColumn="0" w:noHBand="0" w:noVBand="0" w:val="0000"/>
      </w:tblPr>
      <w:tblGrid>
        <w:gridCol w:w="7920"/>
      </w:tblGrid>
      <w:tr>
        <w:tc>
          <w:tcPr/>
          <w:bookmarkStart w:id="77" w:name="fig-Exp_Spectral_indices"/>
          <w:p>
            <w:pPr>
              <w:pStyle w:val="Compact"/>
              <w:jc w:val="center"/>
            </w:pPr>
            <w:r>
              <w:drawing>
                <wp:inline>
                  <wp:extent cx="5646420" cy="5646420"/>
                  <wp:effectExtent b="0" l="0" r="0" t="0"/>
                  <wp:docPr descr="" title="" id="75" name="Picture"/>
                  <a:graphic>
                    <a:graphicData uri="http://schemas.openxmlformats.org/drawingml/2006/picture">
                      <pic:pic>
                        <pic:nvPicPr>
                          <pic:cNvPr descr="Figs/Low_res/merged_indices.png" id="76" name="Picture"/>
                          <pic:cNvPicPr>
                            <a:picLocks noChangeArrowheads="1" noChangeAspect="1"/>
                          </pic:cNvPicPr>
                        </pic:nvPicPr>
                        <pic:blipFill>
                          <a:blip r:embed="rId74"/>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Control and the Treatment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7"/>
        </w:tc>
      </w:tr>
    </w:tbl>
    <w:bookmarkEnd w:id="78"/>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-0.11 and -0.08, respectively. By the end of the experiment, seagrasses in the Treatment group exhibited a median SHSI of 0.15, consistent with their visibly darkened appearance. In contrast, the Control group retained a green appearance throughout the experiment, with a median SHSI of -0.07. In the following section, a negative SHSI will be considered indicative of non-impacted seagrasses, while a positive SHSI will be used as a marker for impacted seagrasses.</w:t>
      </w:r>
    </w:p>
    <w:bookmarkStart w:id="83" w:name="cell-fig-SDI_over_Time"/>
    <w:tbl>
      <w:tblPr>
        <w:tblStyle w:val="Table"/>
        <w:tblW w:type="pct" w:w="5000"/>
        <w:tblLayout w:type="fixed"/>
        <w:tblLook w:firstRow="0" w:lastRow="0" w:firstColumn="0" w:lastColumn="0" w:noHBand="0" w:noVBand="0" w:val="0000"/>
      </w:tblPr>
      <w:tblGrid>
        <w:gridCol w:w="7920"/>
      </w:tblGrid>
      <w:tr>
        <w:tc>
          <w:tcPr/>
          <w:bookmarkStart w:id="82" w:name="fig-SDI_over_Time"/>
          <w:p>
            <w:pPr>
              <w:pStyle w:val="Compact"/>
              <w:jc w:val="center"/>
            </w:pPr>
            <w:r>
              <w:drawing>
                <wp:inline>
                  <wp:extent cx="5646420" cy="3387852"/>
                  <wp:effectExtent b="0" l="0" r="0" t="0"/>
                  <wp:docPr descr="" title="" id="80" name="Picture"/>
                  <a:graphic>
                    <a:graphicData uri="http://schemas.openxmlformats.org/drawingml/2006/picture">
                      <pic:pic>
                        <pic:nvPicPr>
                          <pic:cNvPr descr="Figs/Low_res/SDI_exp_overtime.png" id="81" name="Picture"/>
                          <pic:cNvPicPr>
                            <a:picLocks noChangeArrowheads="1" noChangeAspect="1"/>
                          </pic:cNvPicPr>
                        </pic:nvPicPr>
                        <pic:blipFill>
                          <a:blip r:embed="rId79"/>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2"/>
        </w:tc>
      </w:tr>
    </w:tbl>
    <w:bookmarkEnd w:id="83"/>
    <w:bookmarkEnd w:id="84"/>
    <w:bookmarkEnd w:id="85"/>
    <w:bookmarkStart w:id="108" w:name="X8f6520fb2cd603cd376acac4efc8d29f28e0a7a"/>
    <w:p>
      <w:pPr>
        <w:pStyle w:val="Heading2"/>
      </w:pPr>
      <w:r>
        <w:t xml:space="preserve">4.2 HW of September 2021 in Quiberon, South Brittany</w:t>
      </w:r>
    </w:p>
    <w:bookmarkStart w:id="91" w:name="spectral-changes"/>
    <w:p>
      <w:pPr>
        <w:pStyle w:val="Heading3"/>
      </w:pPr>
      <w:r>
        <w:t xml:space="preserve">4.2.1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90" w:name="cell-fig-S2_comparison"/>
    <w:tbl>
      <w:tblPr>
        <w:tblStyle w:val="Table"/>
        <w:tblW w:type="pct" w:w="5000"/>
        <w:tblLayout w:type="fixed"/>
        <w:tblLook w:firstRow="0" w:lastRow="0" w:firstColumn="0" w:lastColumn="0" w:noHBand="0" w:noVBand="0" w:val="0000"/>
      </w:tblPr>
      <w:tblGrid>
        <w:gridCol w:w="7920"/>
      </w:tblGrid>
      <w:tr>
        <w:tc>
          <w:tcPr/>
          <w:bookmarkStart w:id="89" w:name="fig-S2_comparison"/>
          <w:p>
            <w:pPr>
              <w:pStyle w:val="Compact"/>
              <w:jc w:val="center"/>
            </w:pPr>
            <w:r>
              <w:drawing>
                <wp:inline>
                  <wp:extent cx="5646420" cy="5392331"/>
                  <wp:effectExtent b="0" l="0" r="0" t="0"/>
                  <wp:docPr descr="" title="" id="87" name="Picture"/>
                  <a:graphic>
                    <a:graphicData uri="http://schemas.openxmlformats.org/drawingml/2006/picture">
                      <pic:pic>
                        <pic:nvPicPr>
                          <pic:cNvPr descr="Figs/Low_res/Heatwaves_S2_plot.png" id="88" name="Picture"/>
                          <pic:cNvPicPr>
                            <a:picLocks noChangeArrowheads="1" noChangeAspect="1"/>
                          </pic:cNvPicPr>
                        </pic:nvPicPr>
                        <pic:blipFill>
                          <a:blip r:embed="rId86"/>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9"/>
        </w:tc>
      </w:tr>
    </w:tbl>
    <w:bookmarkEnd w:id="90"/>
    <w:bookmarkEnd w:id="91"/>
    <w:bookmarkStart w:id="107" w:name="shsi-metric-applied-to-sentinel-2"/>
    <w:p>
      <w:pPr>
        <w:pStyle w:val="Heading3"/>
      </w:pPr>
      <w:r>
        <w:t xml:space="preserve">4.2.2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6" w:name="cell-fig-NDVI_GLI_SPC"/>
    <w:tbl>
      <w:tblPr>
        <w:tblStyle w:val="Table"/>
        <w:tblW w:type="pct" w:w="5000"/>
        <w:tblLayout w:type="fixed"/>
        <w:tblLook w:firstRow="0" w:lastRow="0" w:firstColumn="0" w:lastColumn="0" w:noHBand="0" w:noVBand="0" w:val="0000"/>
      </w:tblPr>
      <w:tblGrid>
        <w:gridCol w:w="7920"/>
      </w:tblGrid>
      <w:tr>
        <w:tc>
          <w:tcPr/>
          <w:bookmarkStart w:id="95" w:name="fig-NDVI_GLI_SPC"/>
          <w:p>
            <w:pPr>
              <w:pStyle w:val="Compact"/>
              <w:jc w:val="center"/>
            </w:pPr>
            <w:r>
              <w:drawing>
                <wp:inline>
                  <wp:extent cx="5646420" cy="2823210"/>
                  <wp:effectExtent b="0" l="0" r="0" t="0"/>
                  <wp:docPr descr="" title="" id="93" name="Picture"/>
                  <a:graphic>
                    <a:graphicData uri="http://schemas.openxmlformats.org/drawingml/2006/picture">
                      <pic:pic>
                        <pic:nvPicPr>
                          <pic:cNvPr descr="Figs/Low_res/SHSI_S2.png" id="94" name="Picture"/>
                          <pic:cNvPicPr>
                            <a:picLocks noChangeArrowheads="1" noChangeAspect="1"/>
                          </pic:cNvPicPr>
                        </pic:nvPicPr>
                        <pic:blipFill>
                          <a:blip r:embed="rId9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Quardrat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5"/>
        </w:tc>
      </w:tr>
    </w:tbl>
    <w:bookmarkEnd w:id="96"/>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1" w:name="cell-fig-Map_darkening_Bathy"/>
    <w:tbl>
      <w:tblPr>
        <w:tblStyle w:val="Table"/>
        <w:tblW w:type="pct" w:w="5000"/>
        <w:tblLayout w:type="fixed"/>
        <w:tblLook w:firstRow="0" w:lastRow="0" w:firstColumn="0" w:lastColumn="0" w:noHBand="0" w:noVBand="0" w:val="0000"/>
      </w:tblPr>
      <w:tblGrid>
        <w:gridCol w:w="7920"/>
      </w:tblGrid>
      <w:tr>
        <w:tc>
          <w:tcPr/>
          <w:bookmarkStart w:id="100" w:name="fig-Map_darkening_Bathy"/>
          <w:p>
            <w:pPr>
              <w:pStyle w:val="Compact"/>
              <w:jc w:val="center"/>
            </w:pPr>
            <w:r>
              <w:drawing>
                <wp:inline>
                  <wp:extent cx="5646420" cy="4076715"/>
                  <wp:effectExtent b="0" l="0" r="0" t="0"/>
                  <wp:docPr descr="" title="" id="98" name="Picture"/>
                  <a:graphic>
                    <a:graphicData uri="http://schemas.openxmlformats.org/drawingml/2006/picture">
                      <pic:pic>
                        <pic:nvPicPr>
                          <pic:cNvPr descr="Figs/Low_res/SHSI_S2_map.png" id="99" name="Picture"/>
                          <pic:cNvPicPr>
                            <a:picLocks noChangeArrowheads="1" noChangeAspect="1"/>
                          </pic:cNvPicPr>
                        </pic:nvPicPr>
                        <pic:blipFill>
                          <a:blip r:embed="rId97"/>
                          <a:stretch>
                            <a:fillRect/>
                          </a:stretch>
                        </pic:blipFill>
                        <pic:spPr bwMode="auto">
                          <a:xfrm>
                            <a:off x="0" y="0"/>
                            <a:ext cx="5646420" cy="40767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During (B) and After (C) the HW and SHSI applied to the same Sentinel-2 images Before (D), During (E) and After (F) the HW.</w:t>
            </w:r>
          </w:p>
          <w:bookmarkEnd w:id="100"/>
        </w:tc>
      </w:tr>
    </w:tbl>
    <w:bookmarkEnd w:id="101"/>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6" w:name="cell-fig-GAM_Emersion"/>
    <w:tbl>
      <w:tblPr>
        <w:tblStyle w:val="Table"/>
        <w:tblW w:type="pct" w:w="5000"/>
        <w:tblLayout w:type="fixed"/>
        <w:tblLook w:firstRow="0" w:lastRow="0" w:firstColumn="0" w:lastColumn="0" w:noHBand="0" w:noVBand="0" w:val="0000"/>
      </w:tblPr>
      <w:tblGrid>
        <w:gridCol w:w="7920"/>
      </w:tblGrid>
      <w:tr>
        <w:tc>
          <w:tcPr/>
          <w:bookmarkStart w:id="105" w:name="fig-GAM_Emersion"/>
          <w:p>
            <w:pPr>
              <w:pStyle w:val="Compact"/>
              <w:jc w:val="center"/>
            </w:pPr>
            <w:r>
              <w:drawing>
                <wp:inline>
                  <wp:extent cx="5646420" cy="2823210"/>
                  <wp:effectExtent b="0" l="0" r="0" t="0"/>
                  <wp:docPr descr="" title="" id="103" name="Picture"/>
                  <a:graphic>
                    <a:graphicData uri="http://schemas.openxmlformats.org/drawingml/2006/picture">
                      <pic:pic>
                        <pic:nvPicPr>
                          <pic:cNvPr descr="Figs/Low_res/GAM_emersion.png" id="104" name="Picture"/>
                          <pic:cNvPicPr>
                            <a:picLocks noChangeArrowheads="1" noChangeAspect="1"/>
                          </pic:cNvPicPr>
                        </pic:nvPicPr>
                        <pic:blipFill>
                          <a:blip r:embed="rId102"/>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5"/>
        </w:tc>
      </w:tr>
    </w:tbl>
    <w:bookmarkEnd w:id="106"/>
    <w:bookmarkEnd w:id="107"/>
    <w:bookmarkEnd w:id="108"/>
    <w:bookmarkEnd w:id="109"/>
    <w:bookmarkStart w:id="113" w:name="discussion"/>
    <w:p>
      <w:pPr>
        <w:pStyle w:val="Heading1"/>
      </w:pPr>
      <w:r>
        <w:t xml:space="preserve">5. Discussion</w:t>
      </w:r>
    </w:p>
    <w:bookmarkStart w:id="110"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w:t>
      </w:r>
      <w:r>
        <w:t xml:space="preserve"> </w:t>
      </w:r>
      <w:r>
        <w:t xml:space="preserve">(Arias-Ortiz et al., 2018; Deguette et al., 2022; Strydom et al., 2020)</w:t>
      </w:r>
      <w:r>
        <w:t xml:space="preserve">, little attention has been given to intertidal habitats and even less to the effect of atmospheric extreme events on intertidal seagrass. This study initiates an exploration of how intertidal seagrasses respond to the dual influence of MHWs and AHWs, underscoring the need for further investigation in this under-explored area.</w:t>
      </w:r>
    </w:p>
    <w:p>
      <w:pPr>
        <w:pStyle w:val="BodyText"/>
      </w:pPr>
      <w:r>
        <w:t xml:space="preserve">In the present study, significant changes in the reflectance of seagrasses exposed to HWs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A, B &amp; C) all demonstrated a clear decline over the experimental period. These changes suggest a progressive reduction in photosynthetic activity as well as potential structural or physiological changes to the leaves, such as degraded pigmentation or altered light absorption in the treatment group relative to the control as a consequence of the simulated HW event. In contrast, SHSI showed a marked increase, reaching up to 600% for some samples by day 3 (</w:t>
      </w:r>
      <w:hyperlink w:anchor="fig-Exp_Spectral_indices">
        <w:r>
          <w:rPr>
            <w:rStyle w:val="Hyperlink"/>
          </w:rPr>
          <w:t xml:space="preserve">Figure 7</w:t>
        </w:r>
      </w:hyperlink>
      <w:r>
        <w:t xml:space="preserve"> </w:t>
      </w:r>
      <w:r>
        <w:t xml:space="preserve">D). This positive trend in SHSI demonstrates its sensitivity at quantifing seagrass browning. While the general trends are consistent across experimental runs, there is some variability, particularly evident in the confidence intervals, which are wider for SHSI than for the other indices. This suggests that while darkening is a consistent response, it may vary in intensity between individual samples or experimental runs. Furthermore, the contrasting magnitudes of change—especially the pronounced increases in SHSI versus the declines in other indices—highlight the sensitivity of SHSI to changes associated with seagrass darkening, which could be indicative of stress or adaptation responses specific to the treatment conditions.</w:t>
      </w:r>
    </w:p>
    <w:p>
      <w:pPr>
        <w:pStyle w:val="BodyText"/>
      </w:pPr>
      <w:r>
        <w:t xml:space="preserve">Change in vegetation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have been effective in reducing these oxidative reactions. In the absence of photosynthesis, membrane integrity is also compromised, allowing polyphenol oxidase to interact with phenolic compounds, thereby accelerating darkening. Furthermore, high temperatures can destabilize membranes, especially in chloroplasts, disrupting photosystem II and impairing recovery of photosynthetic function. As chlorophyll-a degrades, the ratio of pigments shifts,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hydric stress; drying out.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emerged during prolonged periods (</w:t>
      </w:r>
      <w:hyperlink w:anchor="fig-GAM_Emersion">
        <w:r>
          <w:rPr>
            <w:rStyle w:val="Hyperlink"/>
          </w:rPr>
          <w:t xml:space="preserve">Figure 12</w:t>
        </w:r>
      </w:hyperlink>
      <w:r>
        <w:t xml:space="preserve">). Under such hydric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In healthy plant leaves, the high infrared reflectance in the near-infrared spectral range (700 - 1300 nm) is primarily due to the internal cellular structure that scatters light, as well as the absence of light absorption by pigments in that spectral range. Once sunlight enters the leaf, it is diffused through various layers, particularly the spongy mesophyll, which contains air spaces and cell walls with different refractive indices. The scattering effect in the NIR is intensified because there is minimal absorption allowing light to reflect back through the leaf surface. Therefore, once the membranes (chloroplasts, thylakoids, cell walls) are destroyed due to oxidative stress, the reflectance in the Red Edge and the NIR regions decreases significantly</w:t>
      </w:r>
      <w:r>
        <w:t xml:space="preserve"> </w:t>
      </w:r>
      <w:r>
        <w:t xml:space="preserve">(Knipling, 1970)</w:t>
      </w:r>
      <w:r>
        <w:t xml:space="preserve">.</w:t>
      </w:r>
    </w:p>
    <w:p>
      <w:pPr>
        <w:pStyle w:val="BodyText"/>
      </w:pPr>
      <w:r>
        <w:t xml:space="preserve">The influence of heat stress on seagrass enables the detection of leaves darkening using remote sensing. The SHSI (</w:t>
      </w:r>
      <w:hyperlink w:anchor="eq-SDI">
        <w:r>
          <w:rPr>
            <w:rStyle w:val="Hyperlink"/>
          </w:rPr>
          <w:t xml:space="preserve">Equation 3</w:t>
        </w:r>
      </w:hyperlink>
      <w:r>
        <w:t xml:space="preserve">) developed in this study leverages key reflectance bands (560, 740 and 840 nm) to detect reductions in the green and the Red-Edge regions. SHSI can be used to assess the extent and severity of darkening events across intertidal seagrass meadows from space. Current multi-spectral satellite missions, including Sentinel-2, Pleiades-Neo, WorldView-3, SkySat, and GeoSat-2 along with upcoming missions (Sentinel-2 Next Generation and Landsat Next), capture reflectance in the three wavelengths used as input for SHSI. As climate change advances, remote sensing becomes a crucial tool for monitoring cumulative ecological impacts on seagrass meadows due to HWs. Although the physiological and structural changes occur at the cellular level over short temporal scales, their synchronous manifestation across the entire meadow causes changes at large spatial scales. Remote sensing, with its synoptic views and real-time acquisition capabilities, enables the monitoring of these rapid biological responses to anthropogenic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0"/>
    <w:bookmarkStart w:id="111" w:name="seagrass-resilience-to-heatwaves"/>
    <w:p>
      <w:pPr>
        <w:pStyle w:val="Heading2"/>
      </w:pPr>
      <w:r>
        <w:t xml:space="preserve">5.2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 crucial, especially for temperate seagrass meadows composed of slow-growing, long-lived species like</w:t>
      </w:r>
      <w:r>
        <w:t xml:space="preserve"> </w:t>
      </w:r>
      <w:r>
        <w:rPr>
          <w:i/>
          <w:iCs/>
        </w:rPr>
        <w:t xml:space="preserve">Posidonia</w:t>
      </w:r>
      <w:r>
        <w:t xml:space="preserve"> </w:t>
      </w:r>
      <w:r>
        <w:t xml:space="preserve">spp.,</w:t>
      </w:r>
      <w:r>
        <w:t xml:space="preserve"> </w:t>
      </w:r>
      <w:r>
        <w:rPr>
          <w:i/>
          <w:iCs/>
        </w:rPr>
        <w:t xml:space="preserve">Amphibolis</w:t>
      </w:r>
      <w:r>
        <w:t xml:space="preserve"> </w:t>
      </w:r>
      <w:r>
        <w:t xml:space="preserve">spp. or</w:t>
      </w:r>
      <w:r>
        <w:t xml:space="preserve"> </w:t>
      </w:r>
      <w:r>
        <w:rPr>
          <w:i/>
          <w:iCs/>
        </w:rPr>
        <w:t xml:space="preserve">Zostera</w:t>
      </w:r>
      <w:r>
        <w:t xml:space="preserve"> </w:t>
      </w:r>
      <w:r>
        <w:t xml:space="preserve">spp.. 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 </w:t>
      </w:r>
      <w:r>
        <w:t xml:space="preserve">spp.,</w:t>
      </w:r>
      <w:r>
        <w:t xml:space="preserve"> </w:t>
      </w:r>
      <w:r>
        <w:rPr>
          <w:i/>
          <w:iCs/>
        </w:rPr>
        <w:t xml:space="preserve">Halophila</w:t>
      </w:r>
      <w:r>
        <w:t xml:space="preserve"> </w:t>
      </w:r>
      <w:r>
        <w:t xml:space="preserve">spp., and</w:t>
      </w:r>
      <w:r>
        <w:t xml:space="preserve"> </w:t>
      </w:r>
      <w:r>
        <w:rPr>
          <w:i/>
          <w:iCs/>
        </w:rPr>
        <w:t xml:space="preserve">Syringodium</w:t>
      </w:r>
      <w:r>
        <w:t xml:space="preserve"> </w:t>
      </w:r>
      <w:r>
        <w:t xml:space="preserve">spp.,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In our study, we observed a browning effect in the seagrasses, using an experimental setup simulating tides with a uniformed period of daily exposure. In natural settings, however, bathymetry plays a significant role, and depending on depth variations, seagrasses may be exposed for even longer periods during low tides (</w:t>
      </w:r>
      <w:hyperlink w:anchor="fig-GAM_Emersion">
        <w:r>
          <w:rPr>
            <w:rStyle w:val="Hyperlink"/>
          </w:rPr>
          <w:t xml:space="preserve">Figure 12</w:t>
        </w:r>
      </w:hyperlink>
      <w:r>
        <w:t xml:space="preserve">). This suggests that in situ exposure times could exacerbate the stress effects observed, as seagrasses may endure prolonged air exposure. The impact of HWs on seagrass ecosystems is further intensified by tidal variations, especially in temperate regions with large tidal ranges that can exceed 10 meters, such as Mont Saint Michel Bay ,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increasing their vulnerability to AHWs. Conversely, seagrasses in the lower intertidal zone experience prolonged immersion throughout the tidal cycle, making them susceptible to extreme MHWs. As a result, both marine and atmospheric HWs can increase stress on intertidal seagrass meadows, with effects that may be intensified by tidal timing and amplitude. In our study, we observed a darkening effect in the seagrasses, using an experimental setup simulating tides with a uniformed period of daily exposure.</w:t>
      </w:r>
    </w:p>
    <w:p>
      <w:pPr>
        <w:pStyle w:val="BodyText"/>
      </w:pPr>
      <w:r>
        <w:t xml:space="preserve">In a simulated heatwave experiment on Zostera noltei,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In the present study, Sentinel-2 images acquired before, during, and after a heatwave (HW) event enabled the assessment of leaf darkening using the SHSI index. During the HW, Sentinel-2 imagery indicated that impacted seagrass patches (i.e., areas exhibiting seagrass darkening) also experienced a sharp decline in NDVI. The Sentinel-2 image acquired one month after the HW showed that the NDVI of impacted seagrass patches had not recovered to its initial level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higher NDVI values associated with greater seagrass coverage and lower NDVI values indicating reduced cover. Our findings demonstrate that heatwaves alter the spectral signature of seagrasses, causing a decrease in NDVI—and consequently, in the satellite-derived estimate of seagrass cover—while the actual coverage observed in the field remains stable (see</w:t>
      </w:r>
      <w:r>
        <w:t xml:space="preserve"> </w:t>
      </w:r>
      <w:hyperlink w:anchor="fig-QuiberonImg">
        <w:r>
          <w:rPr>
            <w:rStyle w:val="Hyperlink"/>
          </w:rPr>
          <w:t xml:space="preserve">Figure 5</w:t>
        </w:r>
      </w:hyperlink>
      <w:r>
        <w:t xml:space="preserve">). This discrepancy underscores a limitation of remote sensing in accurately capturing true seagrass cover during stress events. It was only after the heatwave that leaf detachment began, leading to an actual decline in seagrass density. The delayed response in seagrass cover (SC) highlights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bookmarkEnd w:id="111"/>
    <w:bookmarkStart w:id="112" w:name="big-picture"/>
    <w:p>
      <w:pPr>
        <w:pStyle w:val="Heading2"/>
      </w:pPr>
      <w:r>
        <w:t xml:space="preserve">5.3 Big picture</w:t>
      </w:r>
    </w:p>
    <w:p>
      <w:pPr>
        <w:pStyle w:val="FirstParagraph"/>
      </w:pP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HW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 meadows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2"/>
    <w:bookmarkEnd w:id="113"/>
    <w:bookmarkStart w:id="114"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under controlled experimental conditions and validating these findings with satellite observations, we aimed at understanding how extreme heat events affect seagrass health and assess the potential of remote sensing to monitor HW impacts. Our findings revealed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By connecting our findings with satellite data, we also documented the broader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seagrass resilience and guide adaptive management practices. As climate change accelerates, with a predicted increase in the frequency and intensity of heatwaves in the next decades, the vulnerability of intertidal zones to such events will likely intensify, compromising meadows survival and their ecosystem functions.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conservation of intertidal seagrass meadows in a warming world.</w:t>
      </w:r>
    </w:p>
    <w:bookmarkEnd w:id="114"/>
    <w:bookmarkStart w:id="119" w:name="annexes"/>
    <w:p>
      <w:pPr>
        <w:pStyle w:val="Heading1"/>
      </w:pPr>
      <w:r>
        <w:t xml:space="preserve">7. Annexes</w:t>
      </w:r>
    </w:p>
    <w:bookmarkStart w:id="118"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6" name="Picture"/>
            <a:graphic>
              <a:graphicData uri="http://schemas.openxmlformats.org/drawingml/2006/picture">
                <pic:pic>
                  <pic:nvPicPr>
                    <pic:cNvPr descr="Figs/High_res/Temperature_compare.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8"/>
    <w:bookmarkEnd w:id="119"/>
    <w:bookmarkStart w:id="217" w:name="references"/>
    <w:p>
      <w:pPr>
        <w:pStyle w:val="Heading1"/>
      </w:pPr>
      <w:r>
        <w:t xml:space="preserve">8. References</w:t>
      </w:r>
    </w:p>
    <w:bookmarkStart w:id="216" w:name="refs"/>
    <w:bookmarkStart w:id="120"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20"/>
    <w:bookmarkStart w:id="121"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1"/>
    <w:bookmarkStart w:id="122"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2"/>
    <w:bookmarkStart w:id="124"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3">
        <w:r>
          <w:rPr>
            <w:rStyle w:val="Hyperlink"/>
          </w:rPr>
          <w:t xml:space="preserve">https://doi.org/10.3354/meps14588</w:t>
        </w:r>
      </w:hyperlink>
    </w:p>
    <w:bookmarkEnd w:id="124"/>
    <w:bookmarkStart w:id="125"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5"/>
    <w:bookmarkStart w:id="127" w:name="ref-JSSv100i05"/>
    <w:p>
      <w:pPr>
        <w:pStyle w:val="Bibliography"/>
      </w:pPr>
      <w:r>
        <w:t xml:space="preserve">Bürkner, P.-C., 2021. Bayesian item response modeling in r with brms and stan. Journal of Statistical Software 100, 1–54.</w:t>
      </w:r>
      <w:r>
        <w:t xml:space="preserve"> </w:t>
      </w:r>
      <w:hyperlink r:id="rId126">
        <w:r>
          <w:rPr>
            <w:rStyle w:val="Hyperlink"/>
          </w:rPr>
          <w:t xml:space="preserve">https://doi.org/10.18637/jss.v100.i05</w:t>
        </w:r>
      </w:hyperlink>
    </w:p>
    <w:bookmarkEnd w:id="127"/>
    <w:bookmarkStart w:id="128"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8"/>
    <w:bookmarkStart w:id="129"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9"/>
    <w:bookmarkStart w:id="130" w:name="ref-canadell2021ecosystem"/>
    <w:p>
      <w:pPr>
        <w:pStyle w:val="Bibliography"/>
      </w:pPr>
      <w:r>
        <w:t xml:space="preserve">Canadell, J.G., Jackson, R.B., 2021. Ecosystem collapse and climate change. Springer.</w:t>
      </w:r>
    </w:p>
    <w:bookmarkEnd w:id="130"/>
    <w:bookmarkStart w:id="131"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31"/>
    <w:bookmarkStart w:id="133"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2">
        <w:r>
          <w:rPr>
            <w:rStyle w:val="Hyperlink"/>
          </w:rPr>
          <w:t xml:space="preserve">https://doi.org/10.18637/jss.v076.i01</w:t>
        </w:r>
      </w:hyperlink>
    </w:p>
    <w:bookmarkEnd w:id="133"/>
    <w:bookmarkStart w:id="135"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4">
        <w:r>
          <w:rPr>
            <w:rStyle w:val="Hyperlink"/>
          </w:rPr>
          <w:t xml:space="preserve">https://doi.org/10.48670/moi-00311</w:t>
        </w:r>
      </w:hyperlink>
    </w:p>
    <w:bookmarkEnd w:id="135"/>
    <w:bookmarkStart w:id="137"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6">
        <w:r>
          <w:rPr>
            <w:rStyle w:val="Hyperlink"/>
          </w:rPr>
          <w:t xml:space="preserve">https://doi.org/10.1007/s11099-007-0084-3</w:t>
        </w:r>
      </w:hyperlink>
    </w:p>
    <w:bookmarkEnd w:id="137"/>
    <w:bookmarkStart w:id="138"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38"/>
    <w:bookmarkStart w:id="140"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39">
        <w:r>
          <w:rPr>
            <w:rStyle w:val="Hyperlink"/>
          </w:rPr>
          <w:t xml:space="preserve">https://doi.org/10.1038/s43247-024-01543-z</w:t>
        </w:r>
      </w:hyperlink>
    </w:p>
    <w:bookmarkEnd w:id="140"/>
    <w:bookmarkStart w:id="142"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1">
        <w:r>
          <w:rPr>
            <w:rStyle w:val="Hyperlink"/>
          </w:rPr>
          <w:t xml:space="preserve">https://doi.org/10.1016/j.rse.2024.114340</w:t>
        </w:r>
      </w:hyperlink>
    </w:p>
    <w:bookmarkEnd w:id="142"/>
    <w:bookmarkStart w:id="143"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3"/>
    <w:bookmarkStart w:id="144" w:name="ref-deguette2022physiological"/>
    <w:p>
      <w:pPr>
        <w:pStyle w:val="Bibliography"/>
      </w:pPr>
      <w:r>
        <w:t xml:space="preserve">Deguette, A., Barrote, I., Silva, J., 2022. Physiological and morphological effects of a marine heatwave on the seagrass cymodocea nodosa. Scientific Reports 12, 7950.</w:t>
      </w:r>
    </w:p>
    <w:bookmarkEnd w:id="144"/>
    <w:bookmarkStart w:id="145" w:name="ref-douay2022new"/>
    <w:p>
      <w:pPr>
        <w:pStyle w:val="Bibliography"/>
      </w:pPr>
      <w:r>
        <w:t xml:space="preserve">Douay, F., Verpoorter, C., Duong, G., Spilmont, N., Gevaert, F., 2022. New hyperspectral procedure to discriminate intertidal macroalgae. Remote Sensing 14, 346.</w:t>
      </w:r>
    </w:p>
    <w:bookmarkEnd w:id="145"/>
    <w:bookmarkStart w:id="147" w:name="ref-electricblue_intertidal_chamber"/>
    <w:p>
      <w:pPr>
        <w:pStyle w:val="Bibliography"/>
      </w:pPr>
      <w:r>
        <w:t xml:space="preserve">Electric Blue, 2023.</w:t>
      </w:r>
      <w:r>
        <w:t xml:space="preserve"> </w:t>
      </w:r>
      <w:hyperlink r:id="rId146">
        <w:r>
          <w:rPr>
            <w:rStyle w:val="Hyperlink"/>
          </w:rPr>
          <w:t xml:space="preserve">Intertidal chamber</w:t>
        </w:r>
      </w:hyperlink>
      <w:r>
        <w:t xml:space="preserve">.</w:t>
      </w:r>
    </w:p>
    <w:bookmarkEnd w:id="147"/>
    <w:bookmarkStart w:id="148" w:name="ref-sen2cor"/>
    <w:p>
      <w:pPr>
        <w:pStyle w:val="Bibliography"/>
      </w:pPr>
      <w:r>
        <w:t xml:space="preserve">European Space Agency, 2024b. Sen2Cor: Sentinel-2 atmospheric correction processor.</w:t>
      </w:r>
    </w:p>
    <w:bookmarkEnd w:id="148"/>
    <w:bookmarkStart w:id="149" w:name="ref-copernicus_sentinel2"/>
    <w:p>
      <w:pPr>
        <w:pStyle w:val="Bibliography"/>
      </w:pPr>
      <w:r>
        <w:t xml:space="preserve">European Space Agency, 2024a. Copernicus open access hub.</w:t>
      </w:r>
    </w:p>
    <w:bookmarkEnd w:id="149"/>
    <w:bookmarkStart w:id="150"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0"/>
    <w:bookmarkStart w:id="151"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1"/>
    <w:bookmarkStart w:id="152"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2"/>
    <w:bookmarkStart w:id="153"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3"/>
    <w:bookmarkStart w:id="154" w:name="ref-gardner2018global"/>
    <w:p>
      <w:pPr>
        <w:pStyle w:val="Bibliography"/>
      </w:pPr>
      <w:r>
        <w:t xml:space="preserve">Gardner, R.C., Finlayson, C., 2018. Global wetland outlook: State of the world’s wetlands and their services to people, in: Ramsar Convention Secretariat. pp. 2020–5.</w:t>
      </w:r>
    </w:p>
    <w:bookmarkEnd w:id="154"/>
    <w:bookmarkStart w:id="155"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55"/>
    <w:bookmarkStart w:id="156" w:name="ref-green2021historical"/>
    <w:p>
      <w:pPr>
        <w:pStyle w:val="Bibliography"/>
      </w:pPr>
      <w:r>
        <w:t xml:space="preserve">Green, A.E., Unsworth, R.K., Chadwick, M.A., Jones, P.J., 2021. Historical analysis exposes catastrophic seagrass loss for the united kingdom. Frontiers in plant science 12, 629962.</w:t>
      </w:r>
    </w:p>
    <w:bookmarkEnd w:id="156"/>
    <w:bookmarkStart w:id="157"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7"/>
    <w:bookmarkStart w:id="159"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8">
        <w:r>
          <w:rPr>
            <w:rStyle w:val="Hyperlink"/>
          </w:rPr>
          <w:t xml:space="preserve">https://doi.org/10.1002/aqc.4210</w:t>
        </w:r>
      </w:hyperlink>
    </w:p>
    <w:bookmarkEnd w:id="159"/>
    <w:bookmarkStart w:id="160"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0"/>
    <w:bookmarkStart w:id="161"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1"/>
    <w:bookmarkStart w:id="162"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62"/>
    <w:bookmarkStart w:id="164" w:name="ref-ioc_sea_level_lecy"/>
    <w:p>
      <w:pPr>
        <w:pStyle w:val="Bibliography"/>
      </w:pPr>
      <w:r>
        <w:t xml:space="preserve">IOC, 2024.</w:t>
      </w:r>
      <w:r>
        <w:t xml:space="preserve"> </w:t>
      </w:r>
      <w:hyperlink r:id="rId163">
        <w:r>
          <w:rPr>
            <w:rStyle w:val="Hyperlink"/>
          </w:rPr>
          <w:t xml:space="preserve">Intergovernmental oceanographic commission ; sea level monitoring station - le conquet, france (LECY)</w:t>
        </w:r>
      </w:hyperlink>
      <w:r>
        <w:t xml:space="preserve">.</w:t>
      </w:r>
    </w:p>
    <w:bookmarkEnd w:id="164"/>
    <w:bookmarkStart w:id="165"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5"/>
    <w:bookmarkStart w:id="167"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6">
        <w:r>
          <w:rPr>
            <w:rStyle w:val="Hyperlink"/>
          </w:rPr>
          <w:t xml:space="preserve">https://doi.org/10.1016/S0304-4238(05)80016-0</w:t>
        </w:r>
      </w:hyperlink>
    </w:p>
    <w:bookmarkEnd w:id="167"/>
    <w:bookmarkStart w:id="169"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68">
        <w:r>
          <w:rPr>
            <w:rStyle w:val="Hyperlink"/>
          </w:rPr>
          <w:t xml:space="preserve">https://doi.org/10.1016/S0034-4257(70)80021-9</w:t>
        </w:r>
      </w:hyperlink>
    </w:p>
    <w:bookmarkEnd w:id="169"/>
    <w:bookmarkStart w:id="170" w:name="ref-hsdar"/>
    <w:p>
      <w:pPr>
        <w:pStyle w:val="Bibliography"/>
      </w:pPr>
      <w:r>
        <w:t xml:space="preserve">Lehnert, L.W., Meyer, H., Bendix, J., 2017. Hsdar: Manage, analyse and simulate hyperspectral data in r.</w:t>
      </w:r>
    </w:p>
    <w:bookmarkEnd w:id="170"/>
    <w:bookmarkStart w:id="171" w:name="ref-loarie2009velocity"/>
    <w:p>
      <w:pPr>
        <w:pStyle w:val="Bibliography"/>
      </w:pPr>
      <w:r>
        <w:t xml:space="preserve">Loarie, S.R., Duffy, P.B., Hamilton, H., Asner, G.P., Field, C.B., Ackerly, D.D., 2009. The velocity of climate change. Nature 462, 1052–1055.</w:t>
      </w:r>
    </w:p>
    <w:bookmarkEnd w:id="171"/>
    <w:bookmarkStart w:id="172"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2"/>
    <w:bookmarkStart w:id="174" w:name="ref-malvern_panalytical_rs3"/>
    <w:p>
      <w:pPr>
        <w:pStyle w:val="Bibliography"/>
      </w:pPr>
      <w:r>
        <w:t xml:space="preserve">Malvern Panalytical, 2023.</w:t>
      </w:r>
      <w:r>
        <w:t xml:space="preserve"> </w:t>
      </w:r>
      <w:hyperlink r:id="rId173">
        <w:r>
          <w:rPr>
            <w:rStyle w:val="Hyperlink"/>
          </w:rPr>
          <w:t xml:space="preserve">RS3 software</w:t>
        </w:r>
      </w:hyperlink>
      <w:r>
        <w:t xml:space="preserve">.</w:t>
      </w:r>
    </w:p>
    <w:bookmarkEnd w:id="174"/>
    <w:bookmarkStart w:id="175" w:name="ref-marba2010mediterranean"/>
    <w:p>
      <w:pPr>
        <w:pStyle w:val="Bibliography"/>
      </w:pPr>
      <w:r>
        <w:t xml:space="preserve">Marbà, N., Duarte, C.M., 2010. Mediterranean warming triggers seagrass (posidonia oceanica) shoot mortality. Global change biology 16, 2366–2375.</w:t>
      </w:r>
    </w:p>
    <w:bookmarkEnd w:id="175"/>
    <w:bookmarkStart w:id="176"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6"/>
    <w:bookmarkStart w:id="177"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7"/>
    <w:bookmarkStart w:id="178"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78"/>
    <w:bookmarkStart w:id="179"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79"/>
    <w:bookmarkStart w:id="181"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0">
        <w:r>
          <w:rPr>
            <w:rStyle w:val="Hyperlink"/>
          </w:rPr>
          <w:t xml:space="preserve">https://doi.org/10.3390/rs16234383</w:t>
        </w:r>
      </w:hyperlink>
    </w:p>
    <w:bookmarkEnd w:id="181"/>
    <w:bookmarkStart w:id="182"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2"/>
    <w:bookmarkStart w:id="183"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3"/>
    <w:bookmarkStart w:id="184" w:name="ref-perkins2013measurement"/>
    <w:p>
      <w:pPr>
        <w:pStyle w:val="Bibliography"/>
      </w:pPr>
      <w:r>
        <w:t xml:space="preserve">Perkins, S.E., Alexander, L.V., 2013. On the measurement of heat waves. Journal of climate 26, 4500–4517.</w:t>
      </w:r>
    </w:p>
    <w:bookmarkEnd w:id="184"/>
    <w:bookmarkStart w:id="186" w:name="ref-Rbase"/>
    <w:p>
      <w:pPr>
        <w:pStyle w:val="Bibliography"/>
      </w:pPr>
      <w:r>
        <w:t xml:space="preserve">R Core Team, 2023.</w:t>
      </w:r>
      <w:r>
        <w:t xml:space="preserve"> </w:t>
      </w:r>
      <w:hyperlink r:id="rId185">
        <w:r>
          <w:rPr>
            <w:rStyle w:val="Hyperlink"/>
          </w:rPr>
          <w:t xml:space="preserve">R: A language and environment for statistical computing</w:t>
        </w:r>
      </w:hyperlink>
      <w:r>
        <w:t xml:space="preserve">. R Foundation for Statistical Computing, Vienna, Austria.</w:t>
      </w:r>
    </w:p>
    <w:bookmarkEnd w:id="186"/>
    <w:bookmarkStart w:id="187" w:name="ref-ramesh2020seagrass"/>
    <w:p>
      <w:pPr>
        <w:pStyle w:val="Bibliography"/>
      </w:pPr>
      <w:r>
        <w:t xml:space="preserve">Ramesh, C., Mohanraju, R., 2020. Seagrass ecosystems of andaman and nicobar islands: Status and future perspective. Environmental &amp; Earth Sciences Research Journal 7.</w:t>
      </w:r>
    </w:p>
    <w:bookmarkEnd w:id="187"/>
    <w:bookmarkStart w:id="188" w:name="ref-roman2021using"/>
    <w:p>
      <w:pPr>
        <w:pStyle w:val="Bibliography"/>
      </w:pPr>
      <w:r>
        <w:t xml:space="preserve">Román, A., Tovar-Sánchez, A., Olivé, I., Navarro, G., 2021. Using a UAV-mounted multispectral camera for the monitoring of marine macrophytes. Frontiers in Marine Science 8, 722698.</w:t>
      </w:r>
    </w:p>
    <w:bookmarkEnd w:id="188"/>
    <w:bookmarkStart w:id="189" w:name="ref-rouse1974monitoring"/>
    <w:p>
      <w:pPr>
        <w:pStyle w:val="Bibliography"/>
      </w:pPr>
      <w:r>
        <w:t xml:space="preserve">Rouse, J.W., Haas, R.H., Schell, J.A., Deering, D.W., others, 1974. Monitoring vegetation systems in the great plains with ERTS. NASA Spec. Publ 351, 309.</w:t>
      </w:r>
    </w:p>
    <w:bookmarkEnd w:id="189"/>
    <w:bookmarkStart w:id="190"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90"/>
    <w:bookmarkStart w:id="191"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91"/>
    <w:bookmarkStart w:id="19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92">
        <w:r>
          <w:rPr>
            <w:rStyle w:val="Hyperlink"/>
          </w:rPr>
          <w:t xml:space="preserve">https://doi.org/10.21105/joss.00821</w:t>
        </w:r>
      </w:hyperlink>
    </w:p>
    <w:bookmarkEnd w:id="193"/>
    <w:bookmarkStart w:id="19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94"/>
    <w:bookmarkStart w:id="196" w:name="ref-shom_ram_2022"/>
    <w:p>
      <w:pPr>
        <w:pStyle w:val="Bibliography"/>
      </w:pPr>
      <w:r>
        <w:t xml:space="preserve">SHOM, 2022.</w:t>
      </w:r>
      <w:r>
        <w:t xml:space="preserve"> </w:t>
      </w:r>
      <w:hyperlink r:id="rId195">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96"/>
    <w:bookmarkStart w:id="198" w:name="Xbef41143b4d4042e58f11cfc27e216202646012"/>
    <w:p>
      <w:pPr>
        <w:pStyle w:val="Bibliography"/>
      </w:pPr>
      <w:r>
        <w:t xml:space="preserve">SHOM, 2021.</w:t>
      </w:r>
      <w:r>
        <w:t xml:space="preserve"> </w:t>
      </w:r>
      <w:hyperlink r:id="rId197">
        <w:r>
          <w:rPr>
            <w:rStyle w:val="Hyperlink"/>
          </w:rPr>
          <w:t xml:space="preserve">Service hydrographique et océanographique de la marine ; bathymétrie Litto3D® bretagne 2018-2021</w:t>
        </w:r>
      </w:hyperlink>
      <w:r>
        <w:t xml:space="preserve">.</w:t>
      </w:r>
    </w:p>
    <w:bookmarkEnd w:id="198"/>
    <w:bookmarkStart w:id="199"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199"/>
    <w:bookmarkStart w:id="200"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00"/>
    <w:bookmarkStart w:id="201" w:name="ref-stan2020rstan"/>
    <w:p>
      <w:pPr>
        <w:pStyle w:val="Bibliography"/>
      </w:pPr>
      <w:r>
        <w:t xml:space="preserve">Stan Development Team, C., others, 2020. RStan: The r interface to stan. R package version 2.21. 2.</w:t>
      </w:r>
    </w:p>
    <w:bookmarkEnd w:id="201"/>
    <w:bookmarkStart w:id="202"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02"/>
    <w:bookmarkStart w:id="203"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03"/>
    <w:bookmarkStart w:id="204"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04"/>
    <w:bookmarkStart w:id="205" w:name="ref-unsworth2014biodiversity"/>
    <w:p>
      <w:pPr>
        <w:pStyle w:val="Bibliography"/>
      </w:pPr>
      <w:r>
        <w:t xml:space="preserve">Unsworth, R., Cullen-Unsworth, L.C., 2014. Biodiversity, ecosystem services, and the conservation of seagrass meadows. Coast. Conserv 19, 95.</w:t>
      </w:r>
    </w:p>
    <w:bookmarkEnd w:id="205"/>
    <w:bookmarkStart w:id="206" w:name="ref-unsworth2021seagrass"/>
    <w:p>
      <w:pPr>
        <w:pStyle w:val="Bibliography"/>
      </w:pPr>
      <w:r>
        <w:t xml:space="preserve">Unsworth, R.K., Butterworth, E.G., 2021. Seagrass meadows provide a significant resource in support of avifauna. Diversity 13, 363.</w:t>
      </w:r>
    </w:p>
    <w:bookmarkEnd w:id="206"/>
    <w:bookmarkStart w:id="207" w:name="ref-unsworth2022planetary"/>
    <w:p>
      <w:pPr>
        <w:pStyle w:val="Bibliography"/>
      </w:pPr>
      <w:r>
        <w:t xml:space="preserve">Unsworth, R.K., Cullen-Unsworth, L.C., Jones, B.L., Lilley, R.J., 2022. The planetary role of seagrass conservation. Science 377, 609–613.</w:t>
      </w:r>
    </w:p>
    <w:bookmarkEnd w:id="207"/>
    <w:bookmarkStart w:id="208"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08"/>
    <w:bookmarkStart w:id="209"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09"/>
    <w:bookmarkStart w:id="210"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10"/>
    <w:bookmarkStart w:id="211" w:name="ref-zahoor2023water"/>
    <w:p>
      <w:pPr>
        <w:pStyle w:val="Bibliography"/>
      </w:pPr>
      <w:r>
        <w:t xml:space="preserve">Zahoor, I., Mushtaq, A., 2023. Water pollution from agricultural activities: A critical global review. Int. J. Chem. Biochem. Sci 23, 164–176.</w:t>
      </w:r>
    </w:p>
    <w:bookmarkEnd w:id="211"/>
    <w:bookmarkStart w:id="212"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12"/>
    <w:bookmarkStart w:id="214"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13">
        <w:r>
          <w:rPr>
            <w:rStyle w:val="Hyperlink"/>
          </w:rPr>
          <w:t xml:space="preserve">https://doi.org/10.1002/rse2.319</w:t>
        </w:r>
      </w:hyperlink>
    </w:p>
    <w:bookmarkEnd w:id="214"/>
    <w:bookmarkStart w:id="215"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15"/>
    <w:bookmarkEnd w:id="216"/>
    <w:bookmarkEnd w:id="217"/>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w:t>
      </w:r>
      <w:r>
        <w:t xml:space="preserve"> </w:t>
      </w:r>
      <w:r>
        <w:t xml:space="preserve">des</w:t>
      </w:r>
      <w:r>
        <w:t xml:space="preserve"> </w:t>
      </w:r>
      <w:r>
        <w:t xml:space="preserve">Substances</w:t>
      </w:r>
      <w:r>
        <w:t xml:space="preserve"> </w:t>
      </w:r>
      <w:r>
        <w:t xml:space="preserve">et</w:t>
      </w:r>
      <w:r>
        <w:t xml:space="preserve"> </w:t>
      </w:r>
      <w:r>
        <w:t xml:space="preserve">Organismes</w:t>
      </w:r>
      <w:r>
        <w:t xml:space="preserve"> </w:t>
      </w:r>
      <w:r>
        <w:t xml:space="preserve">de</w:t>
      </w:r>
      <w:r>
        <w:t xml:space="preserve"> </w:t>
      </w:r>
      <w:r>
        <w:t xml:space="preserve">la</w:t>
      </w:r>
      <w:r>
        <w:t xml:space="preserve"> </w:t>
      </w:r>
      <w:r>
        <w:t xml:space="preserve">Mer,</w:t>
      </w:r>
      <w:r>
        <w:t xml:space="preserve"> </w:t>
      </w:r>
      <w:r>
        <w:t xml:space="preserve">ISOMer,</w:t>
      </w:r>
      <w:r>
        <w:t xml:space="preserve"> </w:t>
      </w:r>
      <w:r>
        <w:t xml:space="preserve">Nantes</w:t>
      </w:r>
      <w:r>
        <w:t xml:space="preserve"> </w:t>
      </w:r>
      <w:r>
        <w:t xml:space="preserve">Université,</w:t>
      </w:r>
      <w:r>
        <w:t xml:space="preserve"> </w:t>
      </w:r>
      <w:r>
        <w:t xml:space="preserve">UR</w:t>
      </w:r>
      <w:r>
        <w:t xml:space="preserve"> </w:t>
      </w:r>
      <w:r>
        <w:t xml:space="preserve">2160,</w:t>
      </w:r>
      <w:r>
        <w:t xml:space="preserve"> </w:t>
      </w:r>
      <w:r>
        <w:t xml:space="preserve">F-44000</w:t>
      </w:r>
      <w:r>
        <w:t xml:space="preserve"> </w:t>
      </w:r>
      <w:r>
        <w:t xml:space="preserve">Nantes,</w:t>
      </w:r>
      <w:r>
        <w:t xml:space="preserve"> </w:t>
      </w:r>
      <w:r>
        <w:t xml:space="preserve">France</w:t>
      </w:r>
    </w:p>
  </w:footnote>
  <w:footnote w:id="21">
    <w:p>
      <w:pPr>
        <w:pStyle w:val="FootnoteText"/>
      </w:pPr>
      <w:r>
        <w:rPr>
          <w:rStyle w:val="FootnoteReference"/>
        </w:rPr>
        <w:footnoteRef/>
      </w:r>
      <w:r>
        <w:t xml:space="preserve"> </w:t>
      </w:r>
      <w:r>
        <w:t xml:space="preserve">Consiglio</w:t>
      </w:r>
      <w:r>
        <w:t xml:space="preserve"> </w:t>
      </w:r>
      <w:r>
        <w:t xml:space="preserve">Nazionale</w:t>
      </w:r>
      <w:r>
        <w:t xml:space="preserve"> </w:t>
      </w:r>
      <w:r>
        <w:t xml:space="preserve">delle</w:t>
      </w:r>
      <w:r>
        <w:t xml:space="preserve"> </w:t>
      </w:r>
      <w:r>
        <w:t xml:space="preserve">Ricerche,</w:t>
      </w:r>
      <w:r>
        <w:t xml:space="preserve"> </w:t>
      </w:r>
      <w:r>
        <w:t xml:space="preserve">Istituto</w:t>
      </w:r>
      <w:r>
        <w:t xml:space="preserve"> </w:t>
      </w:r>
      <w:r>
        <w:t xml:space="preserve">di</w:t>
      </w:r>
      <w:r>
        <w:t xml:space="preserve"> </w:t>
      </w:r>
      <w:r>
        <w:t xml:space="preserve">Scienze</w:t>
      </w:r>
      <w:r>
        <w:t xml:space="preserve"> </w:t>
      </w:r>
      <w:r>
        <w:t xml:space="preserve">Marine</w:t>
      </w:r>
      <w:r>
        <w:t xml:space="preserve"> </w:t>
      </w:r>
      <w:r>
        <w:t xml:space="preserve">(CNR-ISMAR),</w:t>
      </w:r>
      <w:r>
        <w:t xml:space="preserve"> </w:t>
      </w:r>
      <w:r>
        <w:t xml:space="preserve">00133</w:t>
      </w:r>
      <w:r>
        <w:t xml:space="preserve"> </w:t>
      </w:r>
      <w:r>
        <w:t xml:space="preserve">Rome,</w:t>
      </w:r>
      <w:r>
        <w:t xml:space="preserve"> </w:t>
      </w:r>
      <w:r>
        <w:t xml:space="preserve">Italy</w:t>
      </w:r>
    </w:p>
  </w:footnote>
  <w:footnote w:id="22">
    <w:p>
      <w:pPr>
        <w:pStyle w:val="FootnoteText"/>
      </w:pPr>
      <w:r>
        <w:rPr>
          <w:rStyle w:val="FootnoteReference"/>
        </w:rPr>
        <w:footnoteRef/>
      </w:r>
      <w:r>
        <w:t xml:space="preserve"> </w:t>
      </w:r>
      <w:r>
        <w:t xml:space="preserve">Bio-littoral,</w:t>
      </w:r>
      <w:r>
        <w:t xml:space="preserve"> </w:t>
      </w:r>
      <w:r>
        <w:t xml:space="preserve">Immeuble</w:t>
      </w:r>
      <w:r>
        <w:t xml:space="preserve"> </w:t>
      </w:r>
      <w:r>
        <w:t xml:space="preserve">Le</w:t>
      </w:r>
      <w:r>
        <w:t xml:space="preserve"> </w:t>
      </w:r>
      <w:r>
        <w:t xml:space="preserve">Nevada,</w:t>
      </w:r>
      <w:r>
        <w:t xml:space="preserve"> </w:t>
      </w:r>
      <w:r>
        <w:t xml:space="preserve">2</w:t>
      </w:r>
      <w:r>
        <w:t xml:space="preserve"> </w:t>
      </w:r>
      <w:r>
        <w:t xml:space="preserve">Rue</w:t>
      </w:r>
      <w:r>
        <w:t xml:space="preserve"> </w:t>
      </w:r>
      <w:r>
        <w:t xml:space="preserve">du</w:t>
      </w:r>
      <w:r>
        <w:t xml:space="preserve"> </w:t>
      </w:r>
      <w:r>
        <w:t xml:space="preserve">Château</w:t>
      </w:r>
      <w:r>
        <w:t xml:space="preserve"> </w:t>
      </w:r>
      <w:r>
        <w:t xml:space="preserve">de</w:t>
      </w:r>
      <w:r>
        <w:t xml:space="preserve"> </w:t>
      </w:r>
      <w:r>
        <w:t xml:space="preserve">l’Eraudière,</w:t>
      </w:r>
      <w:r>
        <w:t xml:space="preserve"> </w:t>
      </w:r>
      <w:r>
        <w:t xml:space="preserve">44300</w:t>
      </w:r>
      <w:r>
        <w:t xml:space="preserve"> </w:t>
      </w:r>
      <w:r>
        <w:t xml:space="preserve">Nantes,</w:t>
      </w:r>
      <w:r>
        <w:t xml:space="preserve"> </w:t>
      </w:r>
      <w:r>
        <w:t xml:space="preserve">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115" Target="media/rId115.png" /><Relationship Type="http://schemas.openxmlformats.org/officeDocument/2006/relationships/image" Id="rId31" Target="media/rId31.png" /><Relationship Type="http://schemas.openxmlformats.org/officeDocument/2006/relationships/image" Id="rId25" Target="media/rId25.png" /><Relationship Type="http://schemas.openxmlformats.org/officeDocument/2006/relationships/image" Id="rId102" Target="media/rId102.png" /><Relationship Type="http://schemas.openxmlformats.org/officeDocument/2006/relationships/image" Id="rId86" Target="media/rId86.png" /><Relationship Type="http://schemas.openxmlformats.org/officeDocument/2006/relationships/image" Id="rId49" Target="media/rId49.png" /><Relationship Type="http://schemas.openxmlformats.org/officeDocument/2006/relationships/image" Id="rId79" Target="media/rId7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54" Target="media/rId54.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hyperlink" Id="rId19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13" Target="https://doi.org/10.1002/rse2.319" TargetMode="External" /><Relationship Type="http://schemas.openxmlformats.org/officeDocument/2006/relationships/hyperlink" Id="rId136" Target="https://doi.org/10.1007/s11099-007-0084-3" TargetMode="External" /><Relationship Type="http://schemas.openxmlformats.org/officeDocument/2006/relationships/hyperlink" Id="rId168" Target="https://doi.org/10.1016/S0034-4257(70)80021-9" TargetMode="External" /><Relationship Type="http://schemas.openxmlformats.org/officeDocument/2006/relationships/hyperlink" Id="rId166" Target="https://doi.org/10.1016/S0304-4238(05)80016-0" TargetMode="External" /><Relationship Type="http://schemas.openxmlformats.org/officeDocument/2006/relationships/hyperlink" Id="rId141" Target="https://doi.org/10.1016/j.rse.2024.114340" TargetMode="External" /><Relationship Type="http://schemas.openxmlformats.org/officeDocument/2006/relationships/hyperlink" Id="rId139"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2"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0" Target="https://doi.org/10.3390/rs16234383" TargetMode="External" /><Relationship Type="http://schemas.openxmlformats.org/officeDocument/2006/relationships/hyperlink" Id="rId134"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197" Target="https://services.data.shom.fr/geonetwork/srv/fre/catalog.search#/metadata/BATHYMETRIE_LITTO3D_BZH_2018_2021.xml" TargetMode="External" /><Relationship Type="http://schemas.openxmlformats.org/officeDocument/2006/relationships/hyperlink" Id="rId185" Target="https://www.R-project.org/" TargetMode="External" /><Relationship Type="http://schemas.openxmlformats.org/officeDocument/2006/relationships/hyperlink" Id="rId163" Target="https://www.ioc-sealevelmonitoring.org/station.php?code=lecy" TargetMode="External" /><Relationship Type="http://schemas.openxmlformats.org/officeDocument/2006/relationships/hyperlink" Id="rId173"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195" Target="https://diffusion.shom.fr/references-altimetriques-maritimes-ram.html" TargetMode="External" /><Relationship Type="http://schemas.openxmlformats.org/officeDocument/2006/relationships/hyperlink" Id="rId158" Target="https://doi.org/10.1002/aqc.4210" TargetMode="External" /><Relationship Type="http://schemas.openxmlformats.org/officeDocument/2006/relationships/hyperlink" Id="rId213" Target="https://doi.org/10.1002/rse2.319" TargetMode="External" /><Relationship Type="http://schemas.openxmlformats.org/officeDocument/2006/relationships/hyperlink" Id="rId136" Target="https://doi.org/10.1007/s11099-007-0084-3" TargetMode="External" /><Relationship Type="http://schemas.openxmlformats.org/officeDocument/2006/relationships/hyperlink" Id="rId168" Target="https://doi.org/10.1016/S0034-4257(70)80021-9" TargetMode="External" /><Relationship Type="http://schemas.openxmlformats.org/officeDocument/2006/relationships/hyperlink" Id="rId166" Target="https://doi.org/10.1016/S0304-4238(05)80016-0" TargetMode="External" /><Relationship Type="http://schemas.openxmlformats.org/officeDocument/2006/relationships/hyperlink" Id="rId141" Target="https://doi.org/10.1016/j.rse.2024.114340" TargetMode="External" /><Relationship Type="http://schemas.openxmlformats.org/officeDocument/2006/relationships/hyperlink" Id="rId139" Target="https://doi.org/10.1038/s43247-024-01543-z" TargetMode="External" /><Relationship Type="http://schemas.openxmlformats.org/officeDocument/2006/relationships/hyperlink" Id="rId132" Target="https://doi.org/10.18637/jss.v076.i01" TargetMode="External" /><Relationship Type="http://schemas.openxmlformats.org/officeDocument/2006/relationships/hyperlink" Id="rId126" Target="https://doi.org/10.18637/jss.v100.i05" TargetMode="External" /><Relationship Type="http://schemas.openxmlformats.org/officeDocument/2006/relationships/hyperlink" Id="rId192" Target="https://doi.org/10.21105/joss.00821" TargetMode="External" /><Relationship Type="http://schemas.openxmlformats.org/officeDocument/2006/relationships/hyperlink" Id="rId123" Target="https://doi.org/10.3354/meps14588" TargetMode="External" /><Relationship Type="http://schemas.openxmlformats.org/officeDocument/2006/relationships/hyperlink" Id="rId180" Target="https://doi.org/10.3390/rs16234383" TargetMode="External" /><Relationship Type="http://schemas.openxmlformats.org/officeDocument/2006/relationships/hyperlink" Id="rId134" Target="https://doi.org/10.48670/moi-00311" TargetMode="External" /><Relationship Type="http://schemas.openxmlformats.org/officeDocument/2006/relationships/hyperlink" Id="rId146" Target="https://electricblue.eu/intertidal-chamber" TargetMode="External" /><Relationship Type="http://schemas.openxmlformats.org/officeDocument/2006/relationships/hyperlink" Id="rId197" Target="https://services.data.shom.fr/geonetwork/srv/fre/catalog.search#/metadata/BATHYMETRIE_LITTO3D_BZH_2018_2021.xml" TargetMode="External" /><Relationship Type="http://schemas.openxmlformats.org/officeDocument/2006/relationships/hyperlink" Id="rId185" Target="https://www.R-project.org/" TargetMode="External" /><Relationship Type="http://schemas.openxmlformats.org/officeDocument/2006/relationships/hyperlink" Id="rId163" Target="https://www.ioc-sealevelmonitoring.org/station.php?code=lecy" TargetMode="External" /><Relationship Type="http://schemas.openxmlformats.org/officeDocument/2006/relationships/hyperlink" Id="rId173"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2025-02-14T14:44:37Z</dcterms:created>
  <dcterms:modified xsi:type="dcterms:W3CDTF">2025-02-14T14:44:37Z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and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2025-02-14</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