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EA2C" w14:textId="77777777" w:rsidR="006E2672" w:rsidRDefault="00000000">
      <w:pPr>
        <w:pStyle w:val="Titre"/>
      </w:pPr>
      <w:r>
        <w:t>Heatwave impacts on intertidal seagrass reflectance: from laboratory experiment to satellite mapping of seagrass heat shock index</w:t>
      </w:r>
    </w:p>
    <w:p w14:paraId="584462BD" w14:textId="77777777" w:rsidR="006E2672" w:rsidRDefault="00000000">
      <w:pPr>
        <w:pStyle w:val="Author"/>
      </w:pPr>
      <w:r>
        <w:t>Simon Oiry</w:t>
      </w:r>
      <w:r>
        <w:rPr>
          <w:rStyle w:val="Appelnotedebasdep"/>
        </w:rPr>
        <w:footnoteReference w:id="1"/>
      </w:r>
    </w:p>
    <w:p w14:paraId="528CD4CF" w14:textId="77777777" w:rsidR="006E2672" w:rsidRDefault="00000000">
      <w:pPr>
        <w:pStyle w:val="Author"/>
      </w:pPr>
      <w:r>
        <w:t xml:space="preserve">Bede </w:t>
      </w:r>
      <w:proofErr w:type="spellStart"/>
      <w:r>
        <w:t>Ffinian</w:t>
      </w:r>
      <w:proofErr w:type="spellEnd"/>
      <w:r>
        <w:t xml:space="preserve"> Rowe Davies¹</w:t>
      </w:r>
    </w:p>
    <w:p w14:paraId="7FCCF578" w14:textId="77777777" w:rsidR="006E2672" w:rsidRPr="00EE3A02" w:rsidRDefault="00000000">
      <w:pPr>
        <w:pStyle w:val="Author"/>
        <w:rPr>
          <w:lang w:val="fr-FR"/>
        </w:rPr>
      </w:pPr>
      <w:r w:rsidRPr="00EE3A02">
        <w:rPr>
          <w:lang w:val="fr-FR"/>
        </w:rPr>
        <w:t>Philippe Rosa¹</w:t>
      </w:r>
    </w:p>
    <w:p w14:paraId="74F1E87D" w14:textId="77777777" w:rsidR="006E2672" w:rsidRPr="00EE3A02" w:rsidRDefault="00000000">
      <w:pPr>
        <w:pStyle w:val="Author"/>
        <w:rPr>
          <w:lang w:val="fr-FR"/>
        </w:rPr>
      </w:pPr>
      <w:r w:rsidRPr="00EE3A02">
        <w:rPr>
          <w:lang w:val="fr-FR"/>
        </w:rPr>
        <w:t>Augustin Debly¹</w:t>
      </w:r>
    </w:p>
    <w:p w14:paraId="7F70F2D3" w14:textId="77777777" w:rsidR="006E2672" w:rsidRPr="00EE3A02" w:rsidRDefault="00000000">
      <w:pPr>
        <w:pStyle w:val="Author"/>
        <w:rPr>
          <w:lang w:val="fr-FR"/>
        </w:rPr>
      </w:pPr>
      <w:r w:rsidRPr="00EE3A02">
        <w:rPr>
          <w:lang w:val="fr-FR"/>
        </w:rPr>
        <w:t xml:space="preserve">Maria Laura </w:t>
      </w:r>
      <w:proofErr w:type="spellStart"/>
      <w:r w:rsidRPr="00EE3A02">
        <w:rPr>
          <w:lang w:val="fr-FR"/>
        </w:rPr>
        <w:t>Zoffoli</w:t>
      </w:r>
      <w:proofErr w:type="spellEnd"/>
      <w:r>
        <w:rPr>
          <w:rStyle w:val="Appelnotedebasdep"/>
        </w:rPr>
        <w:footnoteReference w:id="2"/>
      </w:r>
    </w:p>
    <w:p w14:paraId="2B208CC1" w14:textId="77777777" w:rsidR="006E2672" w:rsidRPr="00EE3A02" w:rsidRDefault="00000000">
      <w:pPr>
        <w:pStyle w:val="Author"/>
        <w:rPr>
          <w:lang w:val="fr-FR"/>
        </w:rPr>
      </w:pPr>
      <w:r w:rsidRPr="00EE3A02">
        <w:rPr>
          <w:lang w:val="fr-FR"/>
        </w:rPr>
        <w:t>Anne-Laure Barillé</w:t>
      </w:r>
      <w:r>
        <w:rPr>
          <w:rStyle w:val="Appelnotedebasdep"/>
        </w:rPr>
        <w:footnoteReference w:id="3"/>
      </w:r>
    </w:p>
    <w:p w14:paraId="5ADAE2B7" w14:textId="1A387EF8" w:rsidR="00704D03" w:rsidRPr="00704D03" w:rsidRDefault="00000000" w:rsidP="00704D03">
      <w:pPr>
        <w:pStyle w:val="Author"/>
        <w:rPr>
          <w:lang w:val="fr-FR"/>
        </w:rPr>
      </w:pPr>
      <w:r w:rsidRPr="00EE3A02">
        <w:rPr>
          <w:lang w:val="fr-FR"/>
        </w:rPr>
        <w:t>Nicolas Harin³</w:t>
      </w:r>
    </w:p>
    <w:p w14:paraId="001F1203" w14:textId="77777777" w:rsidR="006E2672" w:rsidRPr="00EE3A02" w:rsidRDefault="00000000">
      <w:pPr>
        <w:pStyle w:val="Author"/>
        <w:rPr>
          <w:lang w:val="fr-FR"/>
        </w:rPr>
      </w:pPr>
      <w:r w:rsidRPr="00EE3A02">
        <w:rPr>
          <w:lang w:val="fr-FR"/>
        </w:rPr>
        <w:t>Marta Román¹⁴</w:t>
      </w:r>
    </w:p>
    <w:p w14:paraId="4302B450" w14:textId="77777777" w:rsidR="006E2672" w:rsidRPr="00EE3A02" w:rsidRDefault="00000000">
      <w:pPr>
        <w:pStyle w:val="Author"/>
        <w:rPr>
          <w:lang w:val="fr-FR"/>
        </w:rPr>
      </w:pPr>
      <w:r w:rsidRPr="00EE3A02">
        <w:rPr>
          <w:lang w:val="fr-FR"/>
        </w:rPr>
        <w:t>Pierre Gernez¹</w:t>
      </w:r>
    </w:p>
    <w:p w14:paraId="59CC35E2" w14:textId="77777777" w:rsidR="006E2672" w:rsidRPr="00EE3A02" w:rsidRDefault="00000000">
      <w:pPr>
        <w:pStyle w:val="Author"/>
        <w:rPr>
          <w:lang w:val="fr-FR"/>
        </w:rPr>
      </w:pPr>
      <w:r w:rsidRPr="00EE3A02">
        <w:rPr>
          <w:lang w:val="fr-FR"/>
        </w:rPr>
        <w:t>Laurent Barillé¹</w:t>
      </w:r>
    </w:p>
    <w:p w14:paraId="0A3BF8A5" w14:textId="77777777" w:rsidR="006E2672" w:rsidRDefault="00000000">
      <w:pPr>
        <w:pStyle w:val="Date"/>
      </w:pPr>
      <w:r>
        <w:t>2025-09-30</w:t>
      </w:r>
    </w:p>
    <w:p w14:paraId="39BE87BE" w14:textId="77777777" w:rsidR="006E2672" w:rsidRDefault="00000000">
      <w:r>
        <w:t>Abstract</w:t>
      </w:r>
    </w:p>
    <w:p w14:paraId="5D6A4788" w14:textId="77777777" w:rsidR="006E2672" w:rsidRDefault="00000000">
      <w:pPr>
        <w:pStyle w:val="Abstract"/>
      </w:pPr>
      <w:r>
        <w:lastRenderedPageBreak/>
        <w:t xml:space="preserve">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w:t>
      </w:r>
      <w:r>
        <w:rPr>
          <w:i/>
          <w:iCs/>
        </w:rPr>
        <w:t xml:space="preserve">Zostera </w:t>
      </w:r>
      <w:proofErr w:type="spellStart"/>
      <w:r>
        <w:rPr>
          <w:i/>
          <w:iCs/>
        </w:rPr>
        <w:t>noltei</w:t>
      </w:r>
      <w:proofErr w:type="spellEnd"/>
      <w:r>
        <w:t>.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enabling for continuous monitoring of seagrass meadows under the current and future climate regimes.</w:t>
      </w:r>
    </w:p>
    <w:p w14:paraId="51471F7F" w14:textId="77777777" w:rsidR="006E2672" w:rsidRDefault="00000000">
      <w:pPr>
        <w:pStyle w:val="Titre1"/>
      </w:pPr>
      <w:bookmarkStart w:id="0" w:name="introduction"/>
      <w:r>
        <w:t>1. Introduction</w:t>
      </w:r>
    </w:p>
    <w:p w14:paraId="309024FA" w14:textId="77777777" w:rsidR="006E2672" w:rsidRDefault="00000000">
      <w:pPr>
        <w:pStyle w:val="FirstParagraph"/>
      </w:pPr>
      <w:r>
        <w:t>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changes due to their sensitivity to water quality variations (</w:t>
      </w:r>
      <w:proofErr w:type="spellStart"/>
      <w:r>
        <w:t>Zoffoli</w:t>
      </w:r>
      <w:proofErr w:type="spellEnd"/>
      <w:r>
        <w:t xml:space="preserve">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w:t>
      </w:r>
      <w:proofErr w:type="spellStart"/>
      <w:r>
        <w:t>Zoffoli</w:t>
      </w:r>
      <w:proofErr w:type="spellEnd"/>
      <w:r>
        <w:t xml:space="preserve"> et al., 2023). Understanding and preserving seagrass is vital for maintaining the biodiversity and productivity of coastal regions (Ramesh and Mohanraju, 2020; Scott et al., 2018).</w:t>
      </w:r>
    </w:p>
    <w:p w14:paraId="24E75C7E" w14:textId="77777777" w:rsidR="006E2672" w:rsidRDefault="00000000">
      <w:pPr>
        <w:pStyle w:val="Corpsdetexte"/>
      </w:pPr>
      <w:r>
        <w:lastRenderedPageBreak/>
        <w:t xml:space="preserve">Despite their crucial role in marine ecosystems, seagrasses face numerous threats that compromise their health and functionality. Intertidal seagrasses are subjected to a combination of aquatic and aerial conditions linked with tidal cycles, and face disturbance from terrestrial and aquatic stressors. Coastal development and human activities are primary threats, reducing the available habitat for seagrasses and increasing water turbidity, limiting light penetration, and photosynthesis (Waycott et al., 2009). Seagrasses are also threatened by runoff from agricultural fields and urban areas leading to nutrient enrichment. Eutrophication promotes the growth of seaweed in coastal waters, causing macroalgal blooms that compete with seagrasses for light and nutrients (Brun et al., 2003; Oiry et al., 2024; Thomsen et al., 2023). Pollution from industrial and agricultural sources introduces harmful chemicals and heavy metals into coastal waters, posing toxic risks to seagrass health (Bastos et al., 2023; Green et al., 2021; Zahoor and Mushtaq, 2023). Among manifold anthropogenic stressors, heatwaves (HWs), exacerbated by climate change, pose a severe threat to seagrasses, with catastrophic dieback events observed </w:t>
      </w:r>
      <w:proofErr w:type="spellStart"/>
      <w:r>
        <w:t>woldwide</w:t>
      </w:r>
      <w:proofErr w:type="spellEnd"/>
      <w:r>
        <w:t xml:space="preserve"> (Carlson et al., 2018; </w:t>
      </w:r>
      <w:proofErr w:type="spellStart"/>
      <w:r>
        <w:t>Marbà</w:t>
      </w:r>
      <w:proofErr w:type="spellEnd"/>
      <w:r>
        <w:t xml:space="preserve"> and Duarte, 2010; Moore and Jarvis, 2008; Strydom et al., 2020; Thomson et al., 2015).</w:t>
      </w:r>
    </w:p>
    <w:p w14:paraId="5AD42729" w14:textId="77777777" w:rsidR="006E2672" w:rsidRDefault="00000000">
      <w:pPr>
        <w:pStyle w:val="Corpsdetexte"/>
      </w:pPr>
      <w:r>
        <w:t xml:space="preserve">Marine Heatwaves (MHWs) are defined by Hobday et al. (2016) as prolonged discrete anomalously warm water events, while Atmospheric Heatwaves (AHW) are defined by Perkins and Alexander (2013) as periods of at least three consecutive days with temperatures exceeding the 90th percentile of a time series covering at least 30 years. Subtidal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Pr>
          <w:i/>
          <w:iCs/>
        </w:rPr>
        <w:t>Zostera marina</w:t>
      </w:r>
      <w:r>
        <w:t xml:space="preserve"> exhibits high susceptibility to elevated sea surface temperatures during winter and spring, leading to advanced flowering, high mortality rates, and reduced biomass (Sawall et al., 2021). Similarly, </w:t>
      </w:r>
      <w:proofErr w:type="spellStart"/>
      <w:r>
        <w:rPr>
          <w:i/>
          <w:iCs/>
        </w:rPr>
        <w:t>Cymodocea</w:t>
      </w:r>
      <w:proofErr w:type="spellEnd"/>
      <w:r>
        <w:rPr>
          <w:i/>
          <w:iCs/>
        </w:rPr>
        <w:t xml:space="preserve"> nodosa</w:t>
      </w:r>
      <w:r>
        <w:t xml:space="preserve"> shows increased photosynthetic activity during HWs but </w:t>
      </w:r>
      <w:r>
        <w:lastRenderedPageBreak/>
        <w:t>suffers negative effects on photosynthetic performance and leaf biomass during recovery (</w:t>
      </w:r>
      <w:proofErr w:type="spellStart"/>
      <w:r>
        <w:t>Deguette</w:t>
      </w:r>
      <w:proofErr w:type="spellEnd"/>
      <w:r>
        <w:t xml:space="preserve"> et al., 2022). Additionally, different populations of Zostera marina along the European thermal gradient exhibit varied </w:t>
      </w:r>
      <w:proofErr w:type="spellStart"/>
      <w:r>
        <w:t>photophysiological</w:t>
      </w:r>
      <w:proofErr w:type="spellEnd"/>
      <w:r>
        <w:t xml:space="preserve"> responses during the recovery phase of HWs, indicating differential adaptation capabilities among populations (Winters et al., 2011). High-latitude populations exhibited prolonged declines in </w:t>
      </w:r>
      <w:proofErr w:type="spellStart"/>
      <w:r>
        <w:t>photophysiological</w:t>
      </w:r>
      <w:proofErr w:type="spellEnd"/>
      <w:r>
        <w:t xml:space="preserve"> performance even after temperatures returned to control levels, whereas the low-latitude Adriatic population showed full recovery (Winters et al., 2011). These events intensify other stressors, such as overgrazing and seed burial, compromising recruitment (Guerrero-Meseguer et al., 2020). Although extensive research exists on marine heatwaves’ effects on subtidal seagrasses (Arias-Ortiz et al., 2018; </w:t>
      </w:r>
      <w:proofErr w:type="spellStart"/>
      <w:r>
        <w:t>Deguette</w:t>
      </w:r>
      <w:proofErr w:type="spellEnd"/>
      <w:r>
        <w:t xml:space="preserve"> et al., 2022; Strydom et al., 2020), less attention has been given to intertidal habitats and even less to the effect of atmospheric extreme events on intertidal seagrass. Nonetheless, recent research showed that the low tide exposure of </w:t>
      </w:r>
      <w:r>
        <w:rPr>
          <w:i/>
          <w:iCs/>
        </w:rPr>
        <w:t xml:space="preserve">Zostera </w:t>
      </w:r>
      <w:proofErr w:type="spellStart"/>
      <w:r>
        <w:rPr>
          <w:i/>
          <w:iCs/>
        </w:rPr>
        <w:t>noltei</w:t>
      </w:r>
      <w:proofErr w:type="spellEnd"/>
      <w:r>
        <w:t xml:space="preserve"> to a simulated four-day atmospheric HW caused significant decreases in its photosynthetic efficiency, resulting in leaf necrosis and decay (Román et al., 2023).</w:t>
      </w:r>
    </w:p>
    <w:p w14:paraId="17EF447C" w14:textId="77777777" w:rsidR="006E2672" w:rsidRDefault="00000000">
      <w:pPr>
        <w:pStyle w:val="Corpsdetexte"/>
      </w:pPr>
      <w:r>
        <w:t>The increased occurrence of extreme climate events calls for the implementation of monitoring strategies able to provide detailed and spatially explicit assessments of HWs effects on seagrass meadows. In such context, remote sensing, whose ability to map seagrass distribution over a variety of spatio-temporal scales has been demonstrated (Davies et al., 2024a, 2024b; Oiry et al., 2024; Román et al., 2021), proved useful to study the changes in seagrass coverage caused by extreme HW event (Strydom et al., 2020). The pigment composition of plants, such as chlorophylls, carotenoids, and anthocyanins, significantly influences their spectral signature in the visible range due to their specific light absorption properties (Davies et al., 2023; Douay et al., 2022; Olmedo-</w:t>
      </w:r>
      <w:proofErr w:type="spellStart"/>
      <w:r>
        <w:t>Masat</w:t>
      </w:r>
      <w:proofErr w:type="spellEnd"/>
      <w:r>
        <w:t xml:space="preserve"> et al., 2020; Ustin and </w:t>
      </w:r>
      <w:proofErr w:type="spellStart"/>
      <w:r>
        <w:t>Jacquemoud</w:t>
      </w:r>
      <w:proofErr w:type="spellEnd"/>
      <w:r>
        <w:t xml:space="preserve">, 2020). During the senescence phase of seagrass’ life-cycle, the degradation of chlorophyll and the unmasking of accessory pigments result in noticeable changes in leaf coloration and </w:t>
      </w:r>
      <w:r>
        <w:lastRenderedPageBreak/>
        <w:t xml:space="preserve">reflectance, including increased reflectance in the red and green wavelengths and shifts in the red-edge position (Boyer et al., 1988; Mariën et al., 2019; </w:t>
      </w:r>
      <w:proofErr w:type="spellStart"/>
      <w:r>
        <w:t>Peñuelas</w:t>
      </w:r>
      <w:proofErr w:type="spellEnd"/>
      <w:r>
        <w:t xml:space="preserve"> et al., 2004). Leaf browning, often observed after stress events, produces reflectance changes similar to those caused by senescence, enabling the detection of vegetation stress through remote sensing (Boyer et al., 1988; </w:t>
      </w:r>
      <w:proofErr w:type="spellStart"/>
      <w:r>
        <w:t>Peñuelas</w:t>
      </w:r>
      <w:proofErr w:type="spellEnd"/>
      <w:r>
        <w:t xml:space="preserve"> et al., 2004). Spectral indices such as the Brown Pigment Index (BPI) and the Photochemical Reflectance Index (PRI) have been developed to assess changes in terrestrial plant physiological status, including oxidative and drought stress (</w:t>
      </w:r>
      <w:proofErr w:type="spellStart"/>
      <w:r>
        <w:t>Garbulsky</w:t>
      </w:r>
      <w:proofErr w:type="spellEnd"/>
      <w:r>
        <w:t xml:space="preserve"> et al., 2011; </w:t>
      </w:r>
      <w:proofErr w:type="spellStart"/>
      <w:r>
        <w:t>Skendzic</w:t>
      </w:r>
      <w:proofErr w:type="spellEnd"/>
      <w:r>
        <w:t>, 2023). While these effects are well-documented in terrestrial plants, the spectral reflectance changes associated with senescence and stress events such as MHWs or AHWs remain poorly studied on intertidal seagrasses.</w:t>
      </w:r>
    </w:p>
    <w:p w14:paraId="512314CC" w14:textId="77777777" w:rsidR="006E2672" w:rsidRDefault="00000000">
      <w:pPr>
        <w:pStyle w:val="Corpsdetexte"/>
      </w:pPr>
      <w:r>
        <w:t xml:space="preserve">This study aims to experimentally test the hypothesis that HWs alter the reflectance of the intertidal seagrass </w:t>
      </w:r>
      <w:r>
        <w:rPr>
          <w:i/>
          <w:iCs/>
        </w:rPr>
        <w:t xml:space="preserve">Zostera </w:t>
      </w:r>
      <w:proofErr w:type="spellStart"/>
      <w:r>
        <w:rPr>
          <w:i/>
          <w:iCs/>
        </w:rPr>
        <w:t>noltei</w:t>
      </w:r>
      <w:proofErr w:type="spellEnd"/>
      <w:r>
        <w:t>. Controlled experiments in intertidal chambers were conducted to evaluate the direct impact of heat stress on seagrass reflectance. The findings will then be applied to satellite remote sensing images, providing critical insights into the spatial extent and temporal dynamics of HW effects on seagrass meadows. By linking experimental results with large-scale observations of seagrass leaves’ browning, the study aims to underscore the potential of remote sensing to enhance our understanding of seagrass responses to extreme thermal events across diverse settings and timescales.</w:t>
      </w:r>
    </w:p>
    <w:p w14:paraId="49E1C873" w14:textId="77777777" w:rsidR="006E2672" w:rsidRDefault="00000000">
      <w:pPr>
        <w:pStyle w:val="Titre1"/>
      </w:pPr>
      <w:bookmarkStart w:id="1" w:name="material-methods"/>
      <w:bookmarkEnd w:id="0"/>
      <w:r>
        <w:t>2. Material &amp; Methods</w:t>
      </w:r>
    </w:p>
    <w:p w14:paraId="75D3C4A8" w14:textId="77777777" w:rsidR="006E2672" w:rsidRDefault="00000000">
      <w:pPr>
        <w:pStyle w:val="Titre2"/>
      </w:pPr>
      <w:bookmarkStart w:id="2" w:name="laboratory-experiment"/>
      <w:r>
        <w:t>2.1 Laboratory Experiment</w:t>
      </w:r>
    </w:p>
    <w:p w14:paraId="582C5BEA" w14:textId="77777777" w:rsidR="006E2672" w:rsidRDefault="00000000">
      <w:pPr>
        <w:pStyle w:val="Titre3"/>
      </w:pPr>
      <w:bookmarkStart w:id="3" w:name="sampling-and-acclimation-of-seagrasses"/>
      <w:r>
        <w:t>2.1.1 Sampling and acclimation of seagrasses</w:t>
      </w:r>
    </w:p>
    <w:p w14:paraId="38CEF5A7" w14:textId="77777777" w:rsidR="006E2672" w:rsidRDefault="00000000">
      <w:pPr>
        <w:pStyle w:val="FirstParagraph"/>
      </w:pPr>
      <w:r>
        <w:t xml:space="preserve">Seagrass samples were taken in summer 2024, at low tide, from a </w:t>
      </w:r>
      <w:r>
        <w:rPr>
          <w:i/>
          <w:iCs/>
        </w:rPr>
        <w:t xml:space="preserve">Zostera </w:t>
      </w:r>
      <w:proofErr w:type="spellStart"/>
      <w:r>
        <w:rPr>
          <w:i/>
          <w:iCs/>
        </w:rPr>
        <w:t>noltei</w:t>
      </w:r>
      <w:proofErr w:type="spellEnd"/>
      <w:r>
        <w:t xml:space="preserve"> (dwarf eelgrass) meadow located in Bourgneuf Bay, France (46°57’32.0”N, 2°10’37.0”W). A </w:t>
      </w:r>
      <w:r>
        <w:lastRenderedPageBreak/>
        <w:t>metal coring devices was used to sample seagrass from an area of 30x15x5 cm (length x width x depth, respectively), maintaining the sediment structure and avoiding damage to seagrass rhizomes and leaves (</w:t>
      </w:r>
      <w:hyperlink w:anchor="fig-design">
        <w:r w:rsidR="006E2672">
          <w:rPr>
            <w:rStyle w:val="Lienhypertexte"/>
          </w:rPr>
          <w:t>Figure 1</w:t>
        </w:r>
      </w:hyperlink>
      <w:r>
        <w:t xml:space="preserve"> A). These coring device enabled the collection of sediment samples at a consistent depth, minimizing variability between samples. A total of six samples were collected. Samples including seagrass, sediment, meiofauna, and macrofauna, were placed in plastic trays. Keeping the entire biota allowed for natural interactions between components and reduced stress on the seagrass. Seawater was added to each tray to avoid hydric stress caused by insufficient moisture during transportation (1h drive from the laboratory). Simultaneously, seawater was sampled 4km away from the seagrass sampling site and transported to the lab, where it was filtered using a 0.22 µm nitrocellulose filter to remove suspended particulate matter. The filtered seawater was used in the acclimation tank and the intertidal chambers. The seagrasses were acclimated for one week with a water temperature of 17°C, matching the </w:t>
      </w:r>
      <w:r>
        <w:rPr>
          <w:i/>
          <w:iCs/>
        </w:rPr>
        <w:t>in situ</w:t>
      </w:r>
      <w:r>
        <w:t xml:space="preserve"> temperature during sampling, and a photosynthetically active radiation (PAR) of 150 µmol.s</w:t>
      </w:r>
      <w:r>
        <w:rPr>
          <w:vertAlign w:val="superscript"/>
        </w:rPr>
        <w:t>-1</w:t>
      </w:r>
      <w:r>
        <w:t>.m</w:t>
      </w:r>
      <w:r>
        <w:rPr>
          <w:vertAlign w:val="superscript"/>
        </w:rPr>
        <w:t>-2</w:t>
      </w:r>
      <w:r>
        <w:t>.</w:t>
      </w:r>
    </w:p>
    <w:tbl>
      <w:tblPr>
        <w:tblStyle w:val="Table"/>
        <w:tblW w:w="5000" w:type="pct"/>
        <w:tblLayout w:type="fixed"/>
        <w:tblLook w:val="0000" w:firstRow="0" w:lastRow="0" w:firstColumn="0" w:lastColumn="0" w:noHBand="0" w:noVBand="0"/>
      </w:tblPr>
      <w:tblGrid>
        <w:gridCol w:w="9360"/>
      </w:tblGrid>
      <w:tr w:rsidR="006E2672" w14:paraId="06931990" w14:textId="77777777">
        <w:tc>
          <w:tcPr>
            <w:tcW w:w="7920" w:type="dxa"/>
          </w:tcPr>
          <w:p w14:paraId="76B2D2BE" w14:textId="77777777" w:rsidR="006E2672" w:rsidRDefault="00000000">
            <w:pPr>
              <w:pStyle w:val="Compact"/>
              <w:jc w:val="center"/>
            </w:pPr>
            <w:bookmarkStart w:id="4" w:name="fig-design"/>
            <w:bookmarkStart w:id="5" w:name="cell-fig-design"/>
            <w:r>
              <w:rPr>
                <w:noProof/>
              </w:rPr>
              <w:lastRenderedPageBreak/>
              <w:drawing>
                <wp:inline distT="0" distB="0" distL="0" distR="0" wp14:anchorId="63C6356C" wp14:editId="45FC4E1F">
                  <wp:extent cx="5646420" cy="555402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s/Low_res/Experimental_design.png"/>
                          <pic:cNvPicPr>
                            <a:picLocks noChangeAspect="1" noChangeArrowheads="1"/>
                          </pic:cNvPicPr>
                        </pic:nvPicPr>
                        <pic:blipFill>
                          <a:blip r:embed="rId7"/>
                          <a:stretch>
                            <a:fillRect/>
                          </a:stretch>
                        </pic:blipFill>
                        <pic:spPr bwMode="auto">
                          <a:xfrm>
                            <a:off x="0" y="0"/>
                            <a:ext cx="5646420" cy="5554024"/>
                          </a:xfrm>
                          <a:prstGeom prst="rect">
                            <a:avLst/>
                          </a:prstGeom>
                          <a:noFill/>
                          <a:ln w="9525">
                            <a:noFill/>
                            <a:headEnd/>
                            <a:tailEnd/>
                          </a:ln>
                        </pic:spPr>
                      </pic:pic>
                    </a:graphicData>
                  </a:graphic>
                </wp:inline>
              </w:drawing>
            </w:r>
          </w:p>
          <w:p w14:paraId="454BC360" w14:textId="77777777" w:rsidR="006E2672" w:rsidRDefault="00000000">
            <w:pPr>
              <w:pStyle w:val="ImageCaption"/>
              <w:spacing w:before="200"/>
            </w:pPr>
            <w:r>
              <w:t>Figure 1: Illustration of the experiment. A: Seagrass field sampling using a coring device; B: Intertidal chamber used during the experiment; C: Seagrass sample inside a chamber during the experiment at high tide; D: Treatment sample at the start of the experiment; E: Treatment sample at the end of the experiment, 3 days after the start of the HW event.</w:t>
            </w:r>
          </w:p>
        </w:tc>
        <w:bookmarkEnd w:id="4"/>
      </w:tr>
    </w:tbl>
    <w:p w14:paraId="54485B10" w14:textId="77777777" w:rsidR="006E2672" w:rsidRDefault="00000000">
      <w:pPr>
        <w:pStyle w:val="Titre3"/>
      </w:pPr>
      <w:bookmarkStart w:id="6" w:name="experimental-design"/>
      <w:bookmarkEnd w:id="3"/>
      <w:bookmarkEnd w:id="5"/>
      <w:r>
        <w:t>2.1.2 Experimental design</w:t>
      </w:r>
    </w:p>
    <w:p w14:paraId="76DA6607" w14:textId="77777777" w:rsidR="006E2672" w:rsidRDefault="00000000">
      <w:pPr>
        <w:pStyle w:val="FirstParagraph"/>
      </w:pPr>
      <w:r>
        <w:t xml:space="preserve">A tidal cycle (i.e. regularly alternating 6h of low-tide and 6h of high-tide) was simulated in the laboratory using an intertidal chamber system from </w:t>
      </w:r>
      <w:proofErr w:type="spellStart"/>
      <w:r>
        <w:t>ElectricBlue</w:t>
      </w:r>
      <w:proofErr w:type="spellEnd"/>
      <w:r>
        <w:t>® (</w:t>
      </w:r>
      <w:hyperlink w:anchor="fig-design">
        <w:r w:rsidR="006E2672">
          <w:rPr>
            <w:rStyle w:val="Lienhypertexte"/>
          </w:rPr>
          <w:t>Figure 1</w:t>
        </w:r>
      </w:hyperlink>
      <w:r>
        <w:t xml:space="preserve"> B ; Electric Blue (2023)). The experimental setup allowed only two tidal states: high tide or low tide, with no intermediate stages. The transition between these states took about 15 </w:t>
      </w:r>
      <w:r>
        <w:lastRenderedPageBreak/>
        <w:t>minutes to complete after initiation. During the phase of high tide, a volume of 30 L of filtered seawater was pumped and circulated through the chamber (</w:t>
      </w:r>
      <w:hyperlink w:anchor="fig-design">
        <w:r w:rsidR="006E2672">
          <w:rPr>
            <w:rStyle w:val="Lienhypertexte"/>
          </w:rPr>
          <w:t>Figure 1</w:t>
        </w:r>
      </w:hyperlink>
      <w:r>
        <w:t xml:space="preserve"> B, C). During low tide, the seagrass sample was emerged. The acclimated seagrasses were split into two subsets and placed in two independent chambers used in parallel, with one chamber used for control and the other for the experimental treatment. The intertidal chambers were equipped with LED lights that emitted a low mount of red 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these lights (both LED and filament bulb) were turned on and off each day, at the time of sunrise and sunset, respectively.</w:t>
      </w:r>
    </w:p>
    <w:p w14:paraId="338905FE" w14:textId="77777777" w:rsidR="006E2672" w:rsidRDefault="00000000">
      <w:pPr>
        <w:pStyle w:val="Corpsdetexte"/>
      </w:pPr>
      <w:r>
        <w:t>Air temperature and water temperature were controlled inside the experiment chambers in order to reproduce the range of variability observed in the field (</w:t>
      </w:r>
      <w:hyperlink w:anchor="fig-Profile">
        <w:r w:rsidR="006E2672">
          <w:rPr>
            <w:rStyle w:val="Lienhypertexte"/>
          </w:rPr>
          <w:t>Figure 2</w:t>
        </w:r>
      </w:hyperlink>
      <w:r>
        <w:t xml:space="preserve">). Field temperature was measured using </w:t>
      </w:r>
      <w:r>
        <w:rPr>
          <w:i/>
          <w:iCs/>
        </w:rPr>
        <w:t>in situ</w:t>
      </w:r>
      <w:r>
        <w:t xml:space="preserve"> sensors (T7.3 </w:t>
      </w:r>
      <w:proofErr w:type="spellStart"/>
      <w:r>
        <w:t>EnvLoggers</w:t>
      </w:r>
      <w:proofErr w:type="spellEnd"/>
      <w:r>
        <w:t xml:space="preserve"> from </w:t>
      </w:r>
      <w:proofErr w:type="spellStart"/>
      <w:r>
        <w:t>ElectricBlue</w:t>
      </w:r>
      <w:proofErr w:type="spellEnd"/>
      <w:r>
        <w:t xml:space="preserve">®) deployed at the sampling site in August 2024. The loggers were positioned along a transect from the upper to the lower intertidal zone, attached to pre-existing wooden poles at the sediment surface. In complement, the daily temperature maxima recorded </w:t>
      </w:r>
      <w:r>
        <w:rPr>
          <w:i/>
          <w:iCs/>
        </w:rPr>
        <w:t>in situ</w:t>
      </w:r>
      <w:r>
        <w:t xml:space="preserve"> were compared with measurements from the nearest </w:t>
      </w:r>
      <w:proofErr w:type="spellStart"/>
      <w:r>
        <w:t>Météo</w:t>
      </w:r>
      <w:proofErr w:type="spellEnd"/>
      <w:r>
        <w:t xml:space="preserve"> France weather station (</w:t>
      </w:r>
      <w:proofErr w:type="spellStart"/>
      <w:r>
        <w:t>Annexe</w:t>
      </w:r>
      <w:proofErr w:type="spellEnd"/>
      <w:r>
        <w:t xml:space="preserve"> A1, </w:t>
      </w:r>
      <w:hyperlink w:anchor="sec-AnnexeA">
        <w:r w:rsidR="006E2672">
          <w:rPr>
            <w:rStyle w:val="Lienhypertexte"/>
          </w:rPr>
          <w:t>Section 6.1</w:t>
        </w:r>
      </w:hyperlink>
      <w:r>
        <w:t>). The control chamber was kept at temperatures representing typical summer conditions, with water temperatures at 18°C and air temperatures from 19°C to 23°C, following natural daily temperature fluctuations (</w:t>
      </w:r>
      <w:hyperlink w:anchor="fig-Profile">
        <w:r w:rsidR="006E2672">
          <w:rPr>
            <w:rStyle w:val="Lienhypertexte"/>
          </w:rPr>
          <w:t>Figure 2</w:t>
        </w:r>
      </w:hyperlink>
      <w:r>
        <w:t xml:space="preserve">). In the treatment chamber, the air temperature was adjusted to mimic an AHW that affected the seagrass meadow in Quiberon, South Brittany, France (47°35’40.0”N, 3°07’30.0”W), from September 2 to September 6, 2021. Air temperature in the experimental chamber was set to vary from 23°C (at night) to 35°C (daytime) during the first day of the experiment, and increase by 1°C daily during three consecutive days. </w:t>
      </w:r>
      <w:r>
        <w:lastRenderedPageBreak/>
        <w:t>Water temperature in the experimental chamber was also adjusted to mimic MHW conditions, starting at the seasonal baseline (18°C) and rising incrementally by 0.5°C daily to simulate the increasing temperatures during the event. This aimed to reproduce the thermal stress experienced by the seagrass meadow during a MHW (</w:t>
      </w:r>
      <w:hyperlink w:anchor="fig-Profile">
        <w:r w:rsidR="006E2672">
          <w:rPr>
            <w:rStyle w:val="Lienhypertexte"/>
          </w:rPr>
          <w:t>Figure 2</w:t>
        </w:r>
      </w:hyperlink>
      <w:r>
        <w:t>). The experiment, with both treatment and control chambers, was repeated three times to obtain replicates (hereafter referred to as “Run”).</w:t>
      </w:r>
    </w:p>
    <w:tbl>
      <w:tblPr>
        <w:tblStyle w:val="Table"/>
        <w:tblW w:w="5000" w:type="pct"/>
        <w:tblLayout w:type="fixed"/>
        <w:tblLook w:val="0000" w:firstRow="0" w:lastRow="0" w:firstColumn="0" w:lastColumn="0" w:noHBand="0" w:noVBand="0"/>
      </w:tblPr>
      <w:tblGrid>
        <w:gridCol w:w="9360"/>
      </w:tblGrid>
      <w:tr w:rsidR="006E2672" w14:paraId="3F2704F2" w14:textId="77777777">
        <w:tc>
          <w:tcPr>
            <w:tcW w:w="7920" w:type="dxa"/>
          </w:tcPr>
          <w:p w14:paraId="2AB7A709" w14:textId="77777777" w:rsidR="006E2672" w:rsidRDefault="00000000">
            <w:pPr>
              <w:pStyle w:val="Compact"/>
              <w:jc w:val="center"/>
            </w:pPr>
            <w:bookmarkStart w:id="7" w:name="fig-Profile"/>
            <w:bookmarkStart w:id="8" w:name="cell-fig-Profile"/>
            <w:r>
              <w:rPr>
                <w:noProof/>
              </w:rPr>
              <w:drawing>
                <wp:inline distT="0" distB="0" distL="0" distR="0" wp14:anchorId="7B4DC596" wp14:editId="71A212E3">
                  <wp:extent cx="5646420" cy="258262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s/Low_res/Chamber_Profils.png"/>
                          <pic:cNvPicPr>
                            <a:picLocks noChangeAspect="1" noChangeArrowheads="1"/>
                          </pic:cNvPicPr>
                        </pic:nvPicPr>
                        <pic:blipFill>
                          <a:blip r:embed="rId8"/>
                          <a:stretch>
                            <a:fillRect/>
                          </a:stretch>
                        </pic:blipFill>
                        <pic:spPr bwMode="auto">
                          <a:xfrm>
                            <a:off x="0" y="0"/>
                            <a:ext cx="5646420" cy="2582627"/>
                          </a:xfrm>
                          <a:prstGeom prst="rect">
                            <a:avLst/>
                          </a:prstGeom>
                          <a:noFill/>
                          <a:ln w="9525">
                            <a:noFill/>
                            <a:headEnd/>
                            <a:tailEnd/>
                          </a:ln>
                        </pic:spPr>
                      </pic:pic>
                    </a:graphicData>
                  </a:graphic>
                </wp:inline>
              </w:drawing>
            </w:r>
          </w:p>
          <w:p w14:paraId="628FBBDD" w14:textId="77777777" w:rsidR="006E2672" w:rsidRDefault="00000000">
            <w:pPr>
              <w:pStyle w:val="ImageCaption"/>
              <w:spacing w:before="200"/>
            </w:pPr>
            <w:r>
              <w:t>Figure 2: Temperature variation in the control (left) and treatment (right) intertidal chambers, during the HW experiment. The red line indicates air temperature, and the blue line water temperature. Due to the tidal cycle of immersion / emersion, the seagrasses experienced the temperatures represented by solid lines.</w:t>
            </w:r>
          </w:p>
        </w:tc>
        <w:bookmarkEnd w:id="7"/>
      </w:tr>
    </w:tbl>
    <w:p w14:paraId="56F594D3" w14:textId="77777777" w:rsidR="006E2672" w:rsidRDefault="00000000">
      <w:pPr>
        <w:pStyle w:val="Titre3"/>
      </w:pPr>
      <w:bookmarkStart w:id="9" w:name="optical-measurements"/>
      <w:bookmarkEnd w:id="6"/>
      <w:bookmarkEnd w:id="8"/>
      <w:r>
        <w:t>2.1.3 Optical measurements</w:t>
      </w:r>
    </w:p>
    <w:p w14:paraId="265B457C" w14:textId="77777777" w:rsidR="006E2672" w:rsidRDefault="00000000">
      <w:pPr>
        <w:pStyle w:val="Titre4"/>
      </w:pPr>
      <w:bookmarkStart w:id="10" w:name="hyperspectral-reflectance-measurements"/>
      <w:r>
        <w:t>2.1.3.1 Hyperspectral reflectance measurements</w:t>
      </w:r>
    </w:p>
    <w:p w14:paraId="16856FEE" w14:textId="77777777" w:rsidR="006E2672" w:rsidRDefault="00000000">
      <w:pPr>
        <w:pStyle w:val="FirstParagraph"/>
      </w:pPr>
      <w:r>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t xml:space="preserve"> spectra, each with an integration time of 544 ms, was taken every minute during daytime (Malvern Panalytical, 2023). Every 10 minutes, the fiber optic was switched </w:t>
      </w:r>
      <w:r>
        <w:lastRenderedPageBreak/>
        <w:t xml:space="preserve">from one intertidal chamber to the other, in order to measure </w:t>
      </w:r>
      <m:oMath>
        <m:r>
          <w:rPr>
            <w:rFonts w:ascii="Cambria Math" w:hAnsi="Cambria Math"/>
          </w:rPr>
          <m:t>R</m:t>
        </m:r>
        <m:d>
          <m:dPr>
            <m:ctrlPr>
              <w:rPr>
                <w:rFonts w:ascii="Cambria Math" w:hAnsi="Cambria Math"/>
              </w:rPr>
            </m:ctrlPr>
          </m:dPr>
          <m:e>
            <m:r>
              <w:rPr>
                <w:rFonts w:ascii="Cambria Math" w:hAnsi="Cambria Math"/>
              </w:rPr>
              <m:t>λ</m:t>
            </m:r>
          </m:e>
        </m:d>
      </m:oMath>
      <w:r>
        <w:t xml:space="preserve"> in both the treatment and control. Light conditions were controlled inside of the chambers and the reflectance calibration was performed each morning at the very first moment of low tide using a Spectralon white reference with 99% Lambertian reflectivity.</w:t>
      </w:r>
    </w:p>
    <w:p w14:paraId="1823B4B0" w14:textId="77777777" w:rsidR="006E2672" w:rsidRDefault="00000000">
      <w:pPr>
        <w:pStyle w:val="Titre4"/>
      </w:pPr>
      <w:bookmarkStart w:id="11" w:name="spectrum-post-processing"/>
      <w:bookmarkEnd w:id="10"/>
      <w:r>
        <w:t>2.1.3.2 Spectrum post-processing</w:t>
      </w:r>
    </w:p>
    <w:p w14:paraId="2CD77265" w14:textId="77777777" w:rsidR="006E2672" w:rsidRDefault="00000000">
      <w:pPr>
        <w:pStyle w:val="FirstParagraph"/>
      </w:pPr>
      <w:r>
        <w:t xml:space="preserve">A </w:t>
      </w:r>
      <w:proofErr w:type="spellStart"/>
      <w:r>
        <w:t>Savitzky</w:t>
      </w:r>
      <w:proofErr w:type="spellEnd"/>
      <w:r>
        <w:t>-Golay smoothing function with a 5 nm moving window was applied to each spectrum using the “</w:t>
      </w:r>
      <w:proofErr w:type="spellStart"/>
      <w:r>
        <w:t>hsdar</w:t>
      </w:r>
      <w:proofErr w:type="spellEnd"/>
      <w:r>
        <w:t>” package in R (Lehnert et al., 2017). The second derivative at 665 nm (δδ665), showing the highest variability between the control and the treatment, was tested as an indicator of the spectral changes following HWs.</w:t>
      </w:r>
    </w:p>
    <w:p w14:paraId="604C57D8" w14:textId="77777777" w:rsidR="006E2672" w:rsidRDefault="00000000">
      <w:pPr>
        <w:pStyle w:val="Corpsdetexte"/>
      </w:pPr>
      <w:r>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t xml:space="preserve"> was also quantified using two radiometric indices:</w:t>
      </w:r>
    </w:p>
    <w:p w14:paraId="6BD2DA6C" w14:textId="77777777" w:rsidR="006E2672" w:rsidRDefault="00000000">
      <w:pPr>
        <w:pStyle w:val="Compact"/>
        <w:numPr>
          <w:ilvl w:val="0"/>
          <w:numId w:val="3"/>
        </w:numPr>
      </w:pPr>
      <w:r>
        <w:t>The Normalized Difference Vegetation Index (NDVI, Rouse et al. (1974)), a proxy of chlorophyll-a concentration (</w:t>
      </w:r>
      <w:hyperlink w:anchor="eq-ndvi">
        <w:r w:rsidR="006E2672">
          <w:rPr>
            <w:rStyle w:val="Lienhypertexte"/>
          </w:rPr>
          <w:t>Equation 1</w:t>
        </w:r>
      </w:hyperlink>
      <w:r>
        <w:t>)</w:t>
      </w:r>
    </w:p>
    <w:p w14:paraId="13126317" w14:textId="77777777" w:rsidR="006E2672" w:rsidRDefault="00000000">
      <w:pPr>
        <w:pStyle w:val="FirstParagraph"/>
      </w:pPr>
      <w:bookmarkStart w:id="12"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12"/>
    </w:p>
    <w:p w14:paraId="43701497" w14:textId="77777777" w:rsidR="006E267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and 668 nm respectively.</w:t>
      </w:r>
    </w:p>
    <w:p w14:paraId="3DD2B747" w14:textId="77777777" w:rsidR="006E2672" w:rsidRDefault="00000000">
      <w:pPr>
        <w:pStyle w:val="Compact"/>
        <w:numPr>
          <w:ilvl w:val="0"/>
          <w:numId w:val="4"/>
        </w:numPr>
      </w:pPr>
      <w:r>
        <w:t xml:space="preserve">The Green Leaf Index (GLI, </w:t>
      </w:r>
      <w:proofErr w:type="spellStart"/>
      <w:r>
        <w:t>Louhaichi</w:t>
      </w:r>
      <w:proofErr w:type="spellEnd"/>
      <w:r>
        <w:t xml:space="preserve"> et al. (2001)), a quantification of the seagrass leaves greenness (</w:t>
      </w:r>
      <w:hyperlink w:anchor="eq-gli">
        <w:r w:rsidR="006E2672">
          <w:rPr>
            <w:rStyle w:val="Lienhypertexte"/>
          </w:rPr>
          <w:t>Equation 2</w:t>
        </w:r>
      </w:hyperlink>
      <w:r>
        <w:t>)</w:t>
      </w:r>
    </w:p>
    <w:p w14:paraId="57CDF123" w14:textId="77777777" w:rsidR="006E2672" w:rsidRDefault="00000000">
      <w:pPr>
        <w:pStyle w:val="FirstParagraph"/>
      </w:pPr>
      <w:bookmarkStart w:id="13"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2</m:t>
              </m:r>
            </m:e>
          </m:d>
        </m:oMath>
      </m:oMathPara>
      <w:bookmarkEnd w:id="13"/>
    </w:p>
    <w:p w14:paraId="12A8BD76" w14:textId="77777777" w:rsidR="006E267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the green (at 550 nm) and in the blue (at 450 nm) spectral bands, respectively.</w:t>
      </w:r>
    </w:p>
    <w:p w14:paraId="6E790100" w14:textId="77777777" w:rsidR="006E2672" w:rsidRDefault="00000000">
      <w:pPr>
        <w:pStyle w:val="Corpsdetexte"/>
      </w:pPr>
      <w:r>
        <w:t>Based on the observed spectral changes in seagrasses exposed to HWs, we developed a new radiometric index to better detect the radiometric change caused by the HW. The browning of the leaves was characterized by substantial radiometric changes in both the green and red-edge spectral regions. The Seagrass Heat Shock Index (SHSI) was introduced as the reflectance line height at 740 nm, compared to the 560 - 842 nm baseline (</w:t>
      </w:r>
      <w:hyperlink w:anchor="fig-SHSI">
        <w:r w:rsidR="006E2672">
          <w:rPr>
            <w:rStyle w:val="Lienhypertexte"/>
          </w:rPr>
          <w:t>Figure 3</w:t>
        </w:r>
      </w:hyperlink>
      <w:r>
        <w:t xml:space="preserve">). Namely the SHSI subtracts the reflectance observed at 740 nm to the linearly interpolated reflectance between 560 and 842 nm, so that the index is </w:t>
      </w:r>
      <w:r>
        <w:lastRenderedPageBreak/>
        <w:t>positive in the case of brown, HW-impacted seagrass leaves, and negative in the case of green, non-impacted leaves:</w:t>
      </w:r>
    </w:p>
    <w:p w14:paraId="3328527D" w14:textId="77777777" w:rsidR="006E2672" w:rsidRDefault="00000000">
      <w:pPr>
        <w:pStyle w:val="Corpsdetexte"/>
      </w:pPr>
      <w:bookmarkStart w:id="14" w:name="eq-SDI"/>
      <m:oMathPara>
        <m:oMathParaPr>
          <m:jc m:val="center"/>
        </m:oMathParaPr>
        <m:oMath>
          <m:r>
            <m:rPr>
              <m:nor/>
            </m:rPr>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3</m:t>
              </m:r>
            </m:e>
          </m:d>
        </m:oMath>
      </m:oMathPara>
      <w:bookmarkEnd w:id="14"/>
    </w:p>
    <w:p w14:paraId="2CF1580F" w14:textId="77777777" w:rsidR="006E2672" w:rsidRDefault="00000000">
      <w:pPr>
        <w:pStyle w:val="FirstParagraph"/>
      </w:pPr>
      <w:r>
        <w:t>where :</w:t>
      </w:r>
    </w:p>
    <w:p w14:paraId="41CBF856" w14:textId="77777777" w:rsidR="006E2672" w:rsidRDefault="00000000">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oMath>
      </m:oMathPara>
    </w:p>
    <w:p w14:paraId="4902E09F" w14:textId="77777777" w:rsidR="006E2672" w:rsidRDefault="00000000">
      <w:pPr>
        <w:pStyle w:val="FirstParagraph"/>
      </w:pPr>
      <w:r>
        <w:t>and :</w:t>
      </w:r>
    </w:p>
    <w:p w14:paraId="0E700463" w14:textId="77777777" w:rsidR="006E2672" w:rsidRDefault="00000000">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740</m:t>
              </m:r>
              <m:r>
                <m:rPr>
                  <m:sty m:val="p"/>
                </m:rPr>
                <w:rPr>
                  <w:rFonts w:ascii="Cambria Math" w:hAnsi="Cambria Math"/>
                </w:rPr>
                <m:t>-</m:t>
              </m:r>
              <m:r>
                <w:rPr>
                  <w:rFonts w:ascii="Cambria Math" w:hAnsi="Cambria Math"/>
                </w:rPr>
                <m:t>560</m:t>
              </m:r>
            </m:num>
            <m:den>
              <m:r>
                <w:rPr>
                  <w:rFonts w:ascii="Cambria Math" w:hAnsi="Cambria Math"/>
                </w:rPr>
                <m:t>842</m:t>
              </m:r>
              <m:r>
                <m:rPr>
                  <m:sty m:val="p"/>
                </m:rPr>
                <w:rPr>
                  <w:rFonts w:ascii="Cambria Math" w:hAnsi="Cambria Math"/>
                </w:rPr>
                <m:t>-</m:t>
              </m:r>
              <m:r>
                <w:rPr>
                  <w:rFonts w:ascii="Cambria Math" w:hAnsi="Cambria Math"/>
                </w:rPr>
                <m:t>560</m:t>
              </m:r>
            </m:den>
          </m:f>
        </m:oMath>
      </m:oMathPara>
    </w:p>
    <w:p w14:paraId="7A650E85" w14:textId="77777777" w:rsidR="006E267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the reflectance at 560, 740, and 842 nm, respectively, and </w:t>
      </w:r>
      <m:oMath>
        <m:r>
          <w:rPr>
            <w:rFonts w:ascii="Cambria Math" w:hAnsi="Cambria Math"/>
          </w:rPr>
          <m:t>τ</m:t>
        </m:r>
      </m:oMath>
      <w:r>
        <w:t xml:space="preserve"> is equal to a contant of 0.64. These wavelengths were selected to align with the spectral resolution of satellites missions such as Sentinel-2, for broader remote sensing application.</w:t>
      </w:r>
    </w:p>
    <w:tbl>
      <w:tblPr>
        <w:tblStyle w:val="Table"/>
        <w:tblW w:w="5000" w:type="pct"/>
        <w:tblLayout w:type="fixed"/>
        <w:tblLook w:val="0000" w:firstRow="0" w:lastRow="0" w:firstColumn="0" w:lastColumn="0" w:noHBand="0" w:noVBand="0"/>
      </w:tblPr>
      <w:tblGrid>
        <w:gridCol w:w="9360"/>
      </w:tblGrid>
      <w:tr w:rsidR="006E2672" w14:paraId="4046A4C8" w14:textId="77777777">
        <w:tc>
          <w:tcPr>
            <w:tcW w:w="7920" w:type="dxa"/>
          </w:tcPr>
          <w:p w14:paraId="11EB0C3D" w14:textId="77777777" w:rsidR="006E2672" w:rsidRDefault="00000000">
            <w:pPr>
              <w:pStyle w:val="Compact"/>
              <w:jc w:val="center"/>
            </w:pPr>
            <w:bookmarkStart w:id="15" w:name="fig-SHSI"/>
            <w:bookmarkStart w:id="16" w:name="cell-fig-SHSI"/>
            <w:r>
              <w:rPr>
                <w:noProof/>
              </w:rPr>
              <w:lastRenderedPageBreak/>
              <w:drawing>
                <wp:inline distT="0" distB="0" distL="0" distR="0" wp14:anchorId="71BB70FE" wp14:editId="3EEABB15">
                  <wp:extent cx="5646420" cy="56464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High_res/Plot_explain_SHSI.png"/>
                          <pic:cNvPicPr>
                            <a:picLocks noChangeAspect="1" noChangeArrowheads="1"/>
                          </pic:cNvPicPr>
                        </pic:nvPicPr>
                        <pic:blipFill>
                          <a:blip r:embed="rId9"/>
                          <a:stretch>
                            <a:fillRect/>
                          </a:stretch>
                        </pic:blipFill>
                        <pic:spPr bwMode="auto">
                          <a:xfrm>
                            <a:off x="0" y="0"/>
                            <a:ext cx="5646420" cy="5646420"/>
                          </a:xfrm>
                          <a:prstGeom prst="rect">
                            <a:avLst/>
                          </a:prstGeom>
                          <a:noFill/>
                          <a:ln w="9525">
                            <a:noFill/>
                            <a:headEnd/>
                            <a:tailEnd/>
                          </a:ln>
                        </pic:spPr>
                      </pic:pic>
                    </a:graphicData>
                  </a:graphic>
                </wp:inline>
              </w:drawing>
            </w:r>
          </w:p>
          <w:p w14:paraId="014146D2" w14:textId="77777777" w:rsidR="006E2672" w:rsidRDefault="00000000">
            <w:pPr>
              <w:pStyle w:val="ImageCaption"/>
              <w:spacing w:before="200"/>
            </w:pPr>
            <w:r>
              <w:t>Figure 3: Computation of the reflectance Seagrass Heat Shock Index (SHSI) for Impacted (A) and Unimpacted (B) seagrass leaves. The dashed line represents the reflectance interpolation between 560 and 842 nm. The red vertical at 740 nm represents the SHSI line height.</w:t>
            </w:r>
          </w:p>
        </w:tc>
        <w:bookmarkEnd w:id="15"/>
      </w:tr>
    </w:tbl>
    <w:p w14:paraId="712C52DD" w14:textId="77777777" w:rsidR="006E2672" w:rsidRDefault="00000000">
      <w:pPr>
        <w:pStyle w:val="Titre2"/>
      </w:pPr>
      <w:bookmarkStart w:id="17" w:name="X53c8231f04157ff9451ec0257d89262a154cfec"/>
      <w:bookmarkEnd w:id="2"/>
      <w:bookmarkEnd w:id="9"/>
      <w:bookmarkEnd w:id="11"/>
      <w:bookmarkEnd w:id="16"/>
      <w:r>
        <w:t>2.2 Observation of a seagrass bed impacted by a HWs</w:t>
      </w:r>
    </w:p>
    <w:p w14:paraId="4C73D528" w14:textId="77777777" w:rsidR="006E2672" w:rsidRDefault="00000000">
      <w:pPr>
        <w:pStyle w:val="FirstParagraph"/>
      </w:pPr>
      <w:r>
        <w:t xml:space="preserve">Field measurements were taken the 10th of September 2021 after an atmospheric and marine HW in order to assess the impact of heat stress on seagrass. The study site was a seagrass meadow near Quiberon (France : 46°57’32.0”N, 2°10’37.0”W, </w:t>
      </w:r>
      <w:hyperlink w:anchor="fig-quiberonMap">
        <w:r w:rsidR="006E2672">
          <w:rPr>
            <w:rStyle w:val="Lienhypertexte"/>
          </w:rPr>
          <w:t>Figure 4</w:t>
        </w:r>
      </w:hyperlink>
      <w:r>
        <w:t xml:space="preserve">). Brown seagrass leaves were observed over large patches of the meadow alongside areas </w:t>
      </w:r>
      <w:r>
        <w:lastRenderedPageBreak/>
        <w:t>covered by green seagrass (</w:t>
      </w:r>
      <w:hyperlink w:anchor="fig-QuiberonImg">
        <w:r w:rsidR="006E2672">
          <w:rPr>
            <w:rStyle w:val="Lienhypertexte"/>
          </w:rPr>
          <w:t>Figure 5</w:t>
        </w:r>
      </w:hyperlink>
      <w:r>
        <w:t>). A total of 96 Quadrat Points (QPs) were collected as georeferenced quadrat images across the meadow. These images allowed for visual assessment of vegetation type, density, and coloration. The quadrats were then divided into two categories: green seagrasses (henceforth: unimpacted QPs) and brown seagrasses (henceforth: impacted QPs), based on a visual estimation of the leaf coloration (</w:t>
      </w:r>
      <w:hyperlink w:anchor="fig-quiberonMap">
        <w:r w:rsidR="006E2672">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6E2672" w14:paraId="7877039E" w14:textId="77777777">
        <w:tc>
          <w:tcPr>
            <w:tcW w:w="7920" w:type="dxa"/>
          </w:tcPr>
          <w:p w14:paraId="12C53687" w14:textId="77777777" w:rsidR="006E2672" w:rsidRDefault="00000000">
            <w:pPr>
              <w:pStyle w:val="Compact"/>
              <w:jc w:val="center"/>
            </w:pPr>
            <w:bookmarkStart w:id="18" w:name="fig-quiberonMap"/>
            <w:bookmarkStart w:id="19" w:name="cell-fig-quiberonMap"/>
            <w:r>
              <w:rPr>
                <w:noProof/>
              </w:rPr>
              <w:drawing>
                <wp:inline distT="0" distB="0" distL="0" distR="0" wp14:anchorId="4E17E361" wp14:editId="057AD669">
                  <wp:extent cx="5646420" cy="564642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s/Low_res/Quiberon_map.png"/>
                          <pic:cNvPicPr>
                            <a:picLocks noChangeAspect="1" noChangeArrowheads="1"/>
                          </pic:cNvPicPr>
                        </pic:nvPicPr>
                        <pic:blipFill>
                          <a:blip r:embed="rId10"/>
                          <a:stretch>
                            <a:fillRect/>
                          </a:stretch>
                        </pic:blipFill>
                        <pic:spPr bwMode="auto">
                          <a:xfrm>
                            <a:off x="0" y="0"/>
                            <a:ext cx="5646420" cy="5646420"/>
                          </a:xfrm>
                          <a:prstGeom prst="rect">
                            <a:avLst/>
                          </a:prstGeom>
                          <a:noFill/>
                          <a:ln w="9525">
                            <a:noFill/>
                            <a:headEnd/>
                            <a:tailEnd/>
                          </a:ln>
                        </pic:spPr>
                      </pic:pic>
                    </a:graphicData>
                  </a:graphic>
                </wp:inline>
              </w:drawing>
            </w:r>
          </w:p>
          <w:p w14:paraId="32C98819" w14:textId="77777777" w:rsidR="006E2672" w:rsidRDefault="00000000">
            <w:pPr>
              <w:pStyle w:val="ImageCaption"/>
              <w:spacing w:before="200"/>
            </w:pPr>
            <w:r>
              <w:t xml:space="preserve">Figure 4: Location of field observations in a seagrass meadow impacted by a HW that occurred on the 10th of September 2021 in Quiberon, South Brittany, France. The red line indicates the </w:t>
            </w:r>
            <w:r>
              <w:lastRenderedPageBreak/>
              <w:t xml:space="preserve">intertidal zone (Zone between high tide and low tide, exposed during low tide), the dark green area indicates the extent of the seagrass meadow and the olive area indicate saltmarshes. Green points indicate the location of quadrat pictures over unimpacted seagrasses (i.e. showing a green </w:t>
            </w:r>
            <w:proofErr w:type="spellStart"/>
            <w:r>
              <w:t>colour</w:t>
            </w:r>
            <w:proofErr w:type="spellEnd"/>
            <w:r>
              <w:t xml:space="preserve"> on the field), and orange points indicate the location of quadrats taken over impacted seagrasses (i.e. showing a brown color on the field).</w:t>
            </w:r>
          </w:p>
        </w:tc>
        <w:bookmarkEnd w:id="18"/>
      </w:tr>
      <w:tr w:rsidR="006E2672" w14:paraId="727DA73F" w14:textId="77777777">
        <w:tc>
          <w:tcPr>
            <w:tcW w:w="7920" w:type="dxa"/>
          </w:tcPr>
          <w:p w14:paraId="08D2AAC1" w14:textId="77777777" w:rsidR="006E2672" w:rsidRDefault="00000000">
            <w:pPr>
              <w:pStyle w:val="Compact"/>
              <w:jc w:val="center"/>
            </w:pPr>
            <w:bookmarkStart w:id="20" w:name="fig-QuiberonImg"/>
            <w:bookmarkStart w:id="21" w:name="cell-fig-QuiberonImg"/>
            <w:bookmarkEnd w:id="19"/>
            <w:r>
              <w:rPr>
                <w:noProof/>
              </w:rPr>
              <w:lastRenderedPageBreak/>
              <w:drawing>
                <wp:inline distT="0" distB="0" distL="0" distR="0" wp14:anchorId="54802946" wp14:editId="53BC45EF">
                  <wp:extent cx="2692781" cy="1785257"/>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s/Low_res/img_Quiberon.png"/>
                          <pic:cNvPicPr>
                            <a:picLocks noChangeAspect="1" noChangeArrowheads="1"/>
                          </pic:cNvPicPr>
                        </pic:nvPicPr>
                        <pic:blipFill>
                          <a:blip r:embed="rId11"/>
                          <a:stretch>
                            <a:fillRect/>
                          </a:stretch>
                        </pic:blipFill>
                        <pic:spPr bwMode="auto">
                          <a:xfrm>
                            <a:off x="0" y="0"/>
                            <a:ext cx="2692781" cy="1785257"/>
                          </a:xfrm>
                          <a:prstGeom prst="rect">
                            <a:avLst/>
                          </a:prstGeom>
                          <a:noFill/>
                          <a:ln w="9525">
                            <a:noFill/>
                            <a:headEnd/>
                            <a:tailEnd/>
                          </a:ln>
                        </pic:spPr>
                      </pic:pic>
                    </a:graphicData>
                  </a:graphic>
                </wp:inline>
              </w:drawing>
            </w:r>
          </w:p>
          <w:p w14:paraId="14ED6663" w14:textId="77777777" w:rsidR="006E2672" w:rsidRDefault="00000000">
            <w:pPr>
              <w:pStyle w:val="ImageCaption"/>
              <w:spacing w:before="200"/>
            </w:pPr>
            <w:r>
              <w:t xml:space="preserve">Figure 5: Illustration of the two colorations of seagrass leaves observed </w:t>
            </w:r>
            <w:r>
              <w:rPr>
                <w:iCs/>
              </w:rPr>
              <w:t>in situ</w:t>
            </w:r>
            <w:r>
              <w:t xml:space="preserve"> on the 10th of September 2021 after a heatwave in Quiberon, South Brittany (France). A: Picture of a zone with both green and brown seagrass; B: Seagrass quadrat with green leaves; C: Seagrass quadrat with brown leaves; D: Picture of a zone where all leaves turned brown.</w:t>
            </w:r>
          </w:p>
        </w:tc>
        <w:bookmarkEnd w:id="20"/>
      </w:tr>
    </w:tbl>
    <w:p w14:paraId="5986206F" w14:textId="77777777" w:rsidR="006E2672" w:rsidRDefault="00000000">
      <w:pPr>
        <w:pStyle w:val="Titre3"/>
      </w:pPr>
      <w:bookmarkStart w:id="22" w:name="temperature-data-and-hw-detection"/>
      <w:bookmarkEnd w:id="21"/>
      <w:r>
        <w:t>2.2.1 Temperature data and HW detection</w:t>
      </w:r>
    </w:p>
    <w:p w14:paraId="0997289B" w14:textId="77777777" w:rsidR="006E2672" w:rsidRDefault="00000000">
      <w:pPr>
        <w:pStyle w:val="Titre4"/>
      </w:pPr>
      <w:bookmarkStart w:id="23" w:name="air-temperature"/>
      <w:r>
        <w:t>2.2.1.1 Air temperature</w:t>
      </w:r>
    </w:p>
    <w:p w14:paraId="06FD7377" w14:textId="77777777" w:rsidR="006E2672" w:rsidRDefault="00000000">
      <w:pPr>
        <w:pStyle w:val="FirstParagraph"/>
      </w:pPr>
      <w:r>
        <w:t xml:space="preserve">Hourly air temperature data from 1952 to 2024 (more than 395,000 observation) from a nearby weather station (Lorient-Lann Bihoue, 47°45’46”N 3°26’11”W) was retrieved from </w:t>
      </w:r>
      <w:proofErr w:type="spellStart"/>
      <w:r>
        <w:t>Meteo</w:t>
      </w:r>
      <w:proofErr w:type="spellEnd"/>
      <w:r>
        <w:t xml:space="preserve"> France (https://portail-api.meteofrance.fr).</w:t>
      </w:r>
    </w:p>
    <w:p w14:paraId="444355B3" w14:textId="77777777" w:rsidR="006E2672" w:rsidRDefault="00000000">
      <w:pPr>
        <w:pStyle w:val="Titre4"/>
      </w:pPr>
      <w:bookmarkStart w:id="24" w:name="water-temperature"/>
      <w:bookmarkEnd w:id="23"/>
      <w:r>
        <w:t>2.2.1.2 Water temperature</w:t>
      </w:r>
    </w:p>
    <w:p w14:paraId="663B9A14" w14:textId="77777777" w:rsidR="006E2672" w:rsidRDefault="00000000">
      <w:pPr>
        <w:pStyle w:val="FirstParagraph"/>
      </w:pPr>
      <w:r>
        <w:t>Sea Surface Temperature (SST) data from 1982 -2022 over the Quiberon coastal area was downloaded from the Copernicus Marine Data Store (Copernicus Marine Environment Monitoring Service, CMEMS (2024)). An area of 2700 km² was extracted and analyzed. This area was large enough to minimize missing values caused by cloud cover and small enough to limit the influence of offshore SST stability.</w:t>
      </w:r>
    </w:p>
    <w:p w14:paraId="1792DA3E" w14:textId="77777777" w:rsidR="006E2672" w:rsidRDefault="00000000">
      <w:pPr>
        <w:pStyle w:val="Titre4"/>
      </w:pPr>
      <w:bookmarkStart w:id="25" w:name="heatwave-detection-and-characterization"/>
      <w:bookmarkEnd w:id="24"/>
      <w:r>
        <w:lastRenderedPageBreak/>
        <w:t>2.2.1.3 Heatwave detection and characterization</w:t>
      </w:r>
    </w:p>
    <w:p w14:paraId="77CB425B" w14:textId="77777777" w:rsidR="006E2672" w:rsidRDefault="00000000">
      <w:pPr>
        <w:pStyle w:val="FirstParagraph"/>
      </w:pPr>
      <w:r>
        <w:t xml:space="preserve">MHW and AHW detection was performed using the </w:t>
      </w:r>
      <w:proofErr w:type="spellStart"/>
      <w:r>
        <w:t>HeatwaveR</w:t>
      </w:r>
      <w:proofErr w:type="spellEnd"/>
      <w:r>
        <w:t xml:space="preserve"> package in R (Schlegel and Smit, 2018). This package utilizes the methodology proposed by Hobday et al. (2016) to detect HW events. The annual climatology (i.e. the average temperature of each day of the year since the start of the time </w:t>
      </w:r>
      <w:proofErr w:type="spellStart"/>
      <w:r>
        <w:t>serie</w:t>
      </w:r>
      <w:proofErr w:type="spellEnd"/>
      <w:r>
        <w:t>) of both air and water temperature was computed. HWs were defined as events when the temperature exceeded the 90th percentile of the climatology during three consecutive days. Furthermore, the severity of each event was assessed using the methodology proposed by Hobday et al. (2018).</w:t>
      </w:r>
    </w:p>
    <w:p w14:paraId="4BBD81FD" w14:textId="77777777" w:rsidR="006E2672" w:rsidRDefault="00000000">
      <w:pPr>
        <w:pStyle w:val="Titre3"/>
      </w:pPr>
      <w:bookmarkStart w:id="26" w:name="satellite-observations"/>
      <w:bookmarkEnd w:id="22"/>
      <w:bookmarkEnd w:id="25"/>
      <w:r>
        <w:t>2.2.2 Satellite observations</w:t>
      </w:r>
    </w:p>
    <w:p w14:paraId="40309429" w14:textId="77777777" w:rsidR="006E2672" w:rsidRDefault="00000000">
      <w:pPr>
        <w:pStyle w:val="FirstParagraph"/>
      </w:pPr>
      <w:r>
        <w:t xml:space="preserve">Three 2021 Sentinel-2 images of the study site were selected to assess the effect of </w:t>
      </w:r>
      <w:proofErr w:type="spellStart"/>
      <w:r>
        <w:t>thecombined</w:t>
      </w:r>
      <w:proofErr w:type="spellEnd"/>
      <w:r>
        <w:t xml:space="preserve"> AHW and MHW (“HW event”, henceforth) on the seagrass meadow: the first image was taken 5 days before the HW (1st of September 2021), the second image during the HW (6th of September 2021) and the third image one month later (8th of October 2021). Level-2 data were downloaded from the Copernicus open access hub (European Space Agency, 2024a) provided by the European Space Agency (ESA). Level-2 images consist of orthorectified surface reflectance corrected from the effect of the atmosphere using ESA’s standard correction (i.e., Sen2cor, European Space Agency (2024b)).</w:t>
      </w:r>
    </w:p>
    <w:p w14:paraId="22B0CD27" w14:textId="77777777" w:rsidR="006E2672" w:rsidRDefault="00000000">
      <w:pPr>
        <w:pStyle w:val="Corpsdetexte"/>
      </w:pPr>
      <w:r>
        <w:t>The SHSI (</w:t>
      </w:r>
      <w:hyperlink w:anchor="eq-SDI">
        <w:r w:rsidR="006E2672">
          <w:rPr>
            <w:rStyle w:val="Lienhypertexte"/>
          </w:rPr>
          <w:t>Equation 3</w:t>
        </w:r>
      </w:hyperlink>
      <w:r>
        <w:t>) was computed and mapped for each image. For the pixel containing a field QP (</w:t>
      </w:r>
      <w:hyperlink w:anchor="fig-quiberonMap">
        <w:r w:rsidR="006E2672">
          <w:rPr>
            <w:rStyle w:val="Lienhypertexte"/>
          </w:rPr>
          <w:t>Figure 4</w:t>
        </w:r>
      </w:hyperlink>
      <w:r>
        <w:t>), the satellite-derived reflectance was extracted, and compared before and after the HW event.</w:t>
      </w:r>
    </w:p>
    <w:p w14:paraId="73BB05FD" w14:textId="77777777" w:rsidR="006E2672" w:rsidRDefault="00000000">
      <w:pPr>
        <w:pStyle w:val="Titre3"/>
      </w:pPr>
      <w:bookmarkStart w:id="27" w:name="emersion-time-of-the-seagrass-meadow"/>
      <w:bookmarkEnd w:id="26"/>
      <w:r>
        <w:t>2.2.3 Emersion time of the seagrass meadow</w:t>
      </w:r>
    </w:p>
    <w:p w14:paraId="68E1BD49" w14:textId="77777777" w:rsidR="006E2672" w:rsidRDefault="00000000">
      <w:pPr>
        <w:pStyle w:val="FirstParagraph"/>
      </w:pPr>
      <w:r>
        <w:t xml:space="preserve">The spatial distribution of seagrass emersion time during low tide was estimated using bathymetric and water level data. High resolution bathymetry data (Litto3D® product) for the Quiberon intertidal meadow were sourced from the “Service </w:t>
      </w:r>
      <w:proofErr w:type="spellStart"/>
      <w:r>
        <w:t>Hydrographique</w:t>
      </w:r>
      <w:proofErr w:type="spellEnd"/>
      <w:r>
        <w:t xml:space="preserve"> et </w:t>
      </w:r>
      <w:proofErr w:type="spellStart"/>
      <w:r>
        <w:t>Océanographique</w:t>
      </w:r>
      <w:proofErr w:type="spellEnd"/>
      <w:r>
        <w:t xml:space="preserve"> de la Marine” (SHOM, 2021), while one-minute interval water level </w:t>
      </w:r>
      <w:r>
        <w:lastRenderedPageBreak/>
        <w:t xml:space="preserve">data were downloaded from Intergovernmental Oceanographic Commission data portal (IOC, 2024), using measurements from the nearest tide gauge at Le </w:t>
      </w:r>
      <w:proofErr w:type="spellStart"/>
      <w:r>
        <w:t>Crouesty</w:t>
      </w:r>
      <w:proofErr w:type="spellEnd"/>
      <w:r>
        <w:t>. A 2.85 m vertical correction was applied to the Litto3D data to align its zero reference with that of the water level data (RAM, SHOM (2022))</w:t>
      </w:r>
    </w:p>
    <w:p w14:paraId="37277575" w14:textId="77777777" w:rsidR="006E2672" w:rsidRDefault="00000000">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7FD1DE78" w14:textId="77777777" w:rsidR="006E2672" w:rsidRDefault="00000000">
      <w:pPr>
        <w:pStyle w:val="Titre2"/>
      </w:pPr>
      <w:bookmarkStart w:id="28" w:name="statistics"/>
      <w:bookmarkEnd w:id="17"/>
      <w:bookmarkEnd w:id="27"/>
      <w:r>
        <w:t>2.3 Statistics</w:t>
      </w:r>
    </w:p>
    <w:p w14:paraId="3150A10C" w14:textId="77777777" w:rsidR="006E2672" w:rsidRDefault="00000000">
      <w:pPr>
        <w:pStyle w:val="FirstParagraph"/>
      </w:pPr>
      <w:r>
        <w:t>General Linear Models (GLMs) were used to assess relative differences over time in response variables (Spectral Indices) with different treatments (Impacted vs Unimpacted). To analyze the effect of HW on the reflectance indices observed during the lab experiment, the relative change was modeled as a function of Days (1-3: Discrete) with Runs (1-3: Factor) and Timestep within Run (1-6: Factor) as cross random factors. Satellite-derived SHSI were modeled as a function of Date (1-3: Discrete) and Treatment (Impacted vs Unimpacted: Categorical). A General Additive Model (GAM) was used to assess the relationship between relative SHSI change with emersion time. SHSI was modeled as a function of emersion time with a basis spline. All model parameters were estimated within a Bayesian framework using the “brms” and “</w:t>
      </w:r>
      <w:proofErr w:type="spellStart"/>
      <w:r>
        <w:t>RStan</w:t>
      </w:r>
      <w:proofErr w:type="spellEnd"/>
      <w:r>
        <w:t>” packages in R to leverage the stan language (</w:t>
      </w:r>
      <w:proofErr w:type="spellStart"/>
      <w:r>
        <w:t>Bürkner</w:t>
      </w:r>
      <w:proofErr w:type="spellEnd"/>
      <w:r>
        <w:t>, 2021; Carpenter et al., 2017; R Core Team, 2023; Stan Development Team et al., 2020). The response variables were modeled assuming a Gaussian distribution, with weakly informative priors (Student-T(3,0,2.5)). Model parameters were estimated using Markov Chain Monte Carlo (MCMC) sampling, with 4 chains of 5000 iterations and a warm-up of 500.</w:t>
      </w:r>
    </w:p>
    <w:p w14:paraId="7D3F2225" w14:textId="77777777" w:rsidR="006E2672" w:rsidRDefault="00000000">
      <w:pPr>
        <w:pStyle w:val="Titre1"/>
      </w:pPr>
      <w:bookmarkStart w:id="29" w:name="results"/>
      <w:bookmarkEnd w:id="1"/>
      <w:bookmarkEnd w:id="28"/>
      <w:r>
        <w:lastRenderedPageBreak/>
        <w:t>3. Results</w:t>
      </w:r>
    </w:p>
    <w:p w14:paraId="7A0DEF02" w14:textId="77777777" w:rsidR="006E2672" w:rsidRDefault="00000000">
      <w:pPr>
        <w:pStyle w:val="Titre2"/>
      </w:pPr>
      <w:bookmarkStart w:id="30" w:name="laboratory-experiment-1"/>
      <w:r>
        <w:t>3.1 Laboratory Experiment</w:t>
      </w:r>
    </w:p>
    <w:p w14:paraId="03970C74" w14:textId="77777777" w:rsidR="006E2672" w:rsidRDefault="00000000">
      <w:pPr>
        <w:pStyle w:val="Titre3"/>
      </w:pPr>
      <w:bookmarkStart w:id="31" w:name="heatwave-effect-on-seagrass-reflectance"/>
      <w:r>
        <w:t>3.1.1 Heatwave effect on seagrass reflectance</w:t>
      </w:r>
    </w:p>
    <w:p w14:paraId="54C560D5" w14:textId="77777777" w:rsidR="006E2672" w:rsidRDefault="00000000">
      <w:pPr>
        <w:pStyle w:val="FirstParagraph"/>
      </w:pPr>
      <w:r>
        <w:t>During the laboratory HW experiment, the seagrass reflectance was drastically impacted by the increase in both air and water temperature (</w:t>
      </w:r>
      <w:hyperlink w:anchor="fig-Exp_Spectra">
        <w:r w:rsidR="006E2672">
          <w:rPr>
            <w:rStyle w:val="Lienhypertexte"/>
          </w:rPr>
          <w:t>Figure 6</w:t>
        </w:r>
      </w:hyperlink>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displayed a spectral shape typical of seagrass, with a green peak around 560 nm, a valley associated with chlorophyll-a absorption around 665 nm, and a high near-infrared (NIR) plateau beyond 705 nm. This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was generally similar to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despite a slightly less marked peak around 560 nm and slightly lower NIR values from 750 – 900 nm. A drastic decrease was then observed during days 2 and 3 across all wavelengths, particularly in the green – yellow spectral region (from 500 – 650 nm) and in the NIR (from 750 - 900 nm).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t xml:space="preserve"> appeared to stabilize in the NIR, whereas it slightly continued in the green 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t xml:space="preserve"> valley around 665 nm was also less pronounced, suggesting a decrease of chlorophyll-a concentration.</w:t>
      </w:r>
    </w:p>
    <w:tbl>
      <w:tblPr>
        <w:tblStyle w:val="Table"/>
        <w:tblW w:w="5000" w:type="pct"/>
        <w:tblLayout w:type="fixed"/>
        <w:tblLook w:val="0000" w:firstRow="0" w:lastRow="0" w:firstColumn="0" w:lastColumn="0" w:noHBand="0" w:noVBand="0"/>
      </w:tblPr>
      <w:tblGrid>
        <w:gridCol w:w="9360"/>
      </w:tblGrid>
      <w:tr w:rsidR="006E2672" w14:paraId="693FB644" w14:textId="77777777">
        <w:tc>
          <w:tcPr>
            <w:tcW w:w="7920" w:type="dxa"/>
          </w:tcPr>
          <w:p w14:paraId="3320A90A" w14:textId="77777777" w:rsidR="006E2672" w:rsidRDefault="00000000">
            <w:pPr>
              <w:pStyle w:val="Compact"/>
              <w:jc w:val="center"/>
            </w:pPr>
            <w:bookmarkStart w:id="32" w:name="fig-Exp_Spectra"/>
            <w:bookmarkStart w:id="33" w:name="cell-fig-Exp_Spectra"/>
            <w:r>
              <w:rPr>
                <w:noProof/>
              </w:rPr>
              <w:drawing>
                <wp:inline distT="0" distB="0" distL="0" distR="0" wp14:anchorId="78D3C40D" wp14:editId="6F152BF1">
                  <wp:extent cx="5646420" cy="282321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s/Low_res/plot_Spectra_exp.png"/>
                          <pic:cNvPicPr>
                            <a:picLocks noChangeAspect="1" noChangeArrowheads="1"/>
                          </pic:cNvPicPr>
                        </pic:nvPicPr>
                        <pic:blipFill>
                          <a:blip r:embed="rId12"/>
                          <a:stretch>
                            <a:fillRect/>
                          </a:stretch>
                        </pic:blipFill>
                        <pic:spPr bwMode="auto">
                          <a:xfrm>
                            <a:off x="0" y="0"/>
                            <a:ext cx="5646420" cy="2823210"/>
                          </a:xfrm>
                          <a:prstGeom prst="rect">
                            <a:avLst/>
                          </a:prstGeom>
                          <a:noFill/>
                          <a:ln w="9525">
                            <a:noFill/>
                            <a:headEnd/>
                            <a:tailEnd/>
                          </a:ln>
                        </pic:spPr>
                      </pic:pic>
                    </a:graphicData>
                  </a:graphic>
                </wp:inline>
              </w:drawing>
            </w:r>
          </w:p>
          <w:p w14:paraId="0701C06C" w14:textId="77777777" w:rsidR="006E2672" w:rsidRDefault="00000000">
            <w:pPr>
              <w:pStyle w:val="ImageCaption"/>
              <w:spacing w:before="200"/>
            </w:pPr>
            <w:r>
              <w:lastRenderedPageBreak/>
              <w:t xml:space="preserve">Figure 6: Standardized hyperspectral reflectance of </w:t>
            </w:r>
            <w:r>
              <w:rPr>
                <w:iCs/>
              </w:rPr>
              <w:t xml:space="preserve">Z. </w:t>
            </w:r>
            <w:proofErr w:type="spellStart"/>
            <w:r>
              <w:rPr>
                <w:iCs/>
              </w:rPr>
              <w:t>noltei</w:t>
            </w:r>
            <w:proofErr w:type="spellEnd"/>
            <w:r>
              <w:t xml:space="preserve"> leaves during the HW experiment, showing the Control (Left) and Treatment (Right) measurements. The color indicates the progression along the experiment from the beginning (Day 1: Green), middle (Day 2: Yellow) and end (Day 3: Brown). A min-max standardization was applied to each individual spectrum.</w:t>
            </w:r>
          </w:p>
        </w:tc>
        <w:bookmarkEnd w:id="32"/>
      </w:tr>
    </w:tbl>
    <w:p w14:paraId="4C403009" w14:textId="77777777" w:rsidR="006E2672" w:rsidRDefault="00000000">
      <w:pPr>
        <w:pStyle w:val="Titre3"/>
      </w:pPr>
      <w:bookmarkStart w:id="34" w:name="heatwave-effect-on-radiometric-indices"/>
      <w:bookmarkEnd w:id="31"/>
      <w:bookmarkEnd w:id="33"/>
      <w:r>
        <w:lastRenderedPageBreak/>
        <w:t>3.1.2 Heatwave effect on radiometric indices</w:t>
      </w:r>
    </w:p>
    <w:p w14:paraId="557FA13C" w14:textId="77777777" w:rsidR="006E2672" w:rsidRDefault="00000000">
      <w:pPr>
        <w:pStyle w:val="FirstParagraph"/>
      </w:pPr>
      <w:r>
        <w:t xml:space="preserve">All radiometric indices,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GLI and SHSI changed after the experimental heatwave (</w:t>
      </w:r>
      <w:hyperlink w:anchor="fig-Exp_Spectral_indices">
        <w:r w:rsidR="006E2672">
          <w:rPr>
            <w:rStyle w:val="Lienhypertexte"/>
          </w:rPr>
          <w:t>Figure 7</w:t>
        </w:r>
      </w:hyperlink>
      <w:r>
        <w:t xml:space="preserve"> ; </w:t>
      </w:r>
      <w:hyperlink w:anchor="sec-AnnexeB">
        <w:r w:rsidR="006E2672">
          <w:rPr>
            <w:rStyle w:val="Lienhypertexte"/>
          </w:rPr>
          <w:t>Section 6.2</w:t>
        </w:r>
      </w:hyperlink>
      <w:r>
        <w:t>).</w:t>
      </w:r>
    </w:p>
    <w:p w14:paraId="1C595E14" w14:textId="77777777" w:rsidR="006E2672" w:rsidRDefault="00000000">
      <w:pPr>
        <w:pStyle w:val="Corpsdetexte"/>
      </w:pPr>
      <w:r>
        <w:t xml:space="preserve">At the start of the experiment (day 1), the difference between Treatment and Control was not significant 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t>
      </w:r>
      <w:hyperlink w:anchor="fig-Exp_Spectral_indices">
        <w:r w:rsidR="006E2672">
          <w:rPr>
            <w:rStyle w:val="Lienhypertexte"/>
          </w:rPr>
          <w:t>Figure 7</w:t>
        </w:r>
      </w:hyperlink>
      <w:r>
        <w:t xml:space="preserve"> A, B &amp; C). During days 2 and 3 the radiometric indices all decreased significantly,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p>
    <w:p w14:paraId="2B7AF298" w14:textId="77777777" w:rsidR="006E2672" w:rsidRDefault="00000000">
      <w:pPr>
        <w:pStyle w:val="Corpsdetexte"/>
      </w:pPr>
      <w:r>
        <w:t>Unlike the other metrics, the SHSI of the Treatment was on average 55 % higher than that of the Control in day 1 (</w:t>
      </w:r>
      <w:hyperlink w:anchor="fig-Exp_Spectral_indices">
        <w:r w:rsidR="006E2672">
          <w:rPr>
            <w:rStyle w:val="Lienhypertexte"/>
          </w:rPr>
          <w:t>Figure 7</w:t>
        </w:r>
      </w:hyperlink>
      <w:r>
        <w:t xml:space="preserve"> D). By day 2, the SHSI exhibited a rapid increase of approximately 241 %, eventually reaching an overall rise of 420 % by day 3.</w:t>
      </w:r>
    </w:p>
    <w:p w14:paraId="26B97614" w14:textId="77777777" w:rsidR="006E2672" w:rsidRDefault="00000000">
      <w:pPr>
        <w:pStyle w:val="Corpsdetexte"/>
      </w:pPr>
      <w:r>
        <w:t>With a maximum deviation of 420 %, SHSI emerges as the most sensitive index for detecting seagrass browning. Consequently, only this index was considered for the next steps of the study.</w:t>
      </w:r>
    </w:p>
    <w:tbl>
      <w:tblPr>
        <w:tblStyle w:val="Table"/>
        <w:tblW w:w="5000" w:type="pct"/>
        <w:tblLayout w:type="fixed"/>
        <w:tblLook w:val="0000" w:firstRow="0" w:lastRow="0" w:firstColumn="0" w:lastColumn="0" w:noHBand="0" w:noVBand="0"/>
      </w:tblPr>
      <w:tblGrid>
        <w:gridCol w:w="9360"/>
      </w:tblGrid>
      <w:tr w:rsidR="006E2672" w14:paraId="4255F21E" w14:textId="77777777">
        <w:tc>
          <w:tcPr>
            <w:tcW w:w="7920" w:type="dxa"/>
          </w:tcPr>
          <w:p w14:paraId="33F3B455" w14:textId="77777777" w:rsidR="006E2672" w:rsidRDefault="00000000">
            <w:pPr>
              <w:pStyle w:val="Compact"/>
              <w:jc w:val="center"/>
            </w:pPr>
            <w:bookmarkStart w:id="35" w:name="fig-Exp_Spectral_indices"/>
            <w:bookmarkStart w:id="36" w:name="cell-fig-Exp_Spectral_indices"/>
            <w:r>
              <w:rPr>
                <w:noProof/>
              </w:rPr>
              <w:lastRenderedPageBreak/>
              <w:drawing>
                <wp:inline distT="0" distB="0" distL="0" distR="0" wp14:anchorId="1A43BB42" wp14:editId="33738C73">
                  <wp:extent cx="5646420" cy="564642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s/Low_res/merged_indices.png"/>
                          <pic:cNvPicPr>
                            <a:picLocks noChangeAspect="1" noChangeArrowheads="1"/>
                          </pic:cNvPicPr>
                        </pic:nvPicPr>
                        <pic:blipFill>
                          <a:blip r:embed="rId13"/>
                          <a:stretch>
                            <a:fillRect/>
                          </a:stretch>
                        </pic:blipFill>
                        <pic:spPr bwMode="auto">
                          <a:xfrm>
                            <a:off x="0" y="0"/>
                            <a:ext cx="5646420" cy="5646420"/>
                          </a:xfrm>
                          <a:prstGeom prst="rect">
                            <a:avLst/>
                          </a:prstGeom>
                          <a:noFill/>
                          <a:ln w="9525">
                            <a:noFill/>
                            <a:headEnd/>
                            <a:tailEnd/>
                          </a:ln>
                        </pic:spPr>
                      </pic:pic>
                    </a:graphicData>
                  </a:graphic>
                </wp:inline>
              </w:drawing>
            </w:r>
          </w:p>
          <w:p w14:paraId="2759FD44" w14:textId="77777777" w:rsidR="006E2672" w:rsidRDefault="00000000">
            <w:pPr>
              <w:pStyle w:val="ImageCaption"/>
              <w:spacing w:before="200"/>
            </w:pPr>
            <w:r>
              <w:t>Figure 7: Comparison of spectral metrics for detecting reflectance changes of seagrass leaves after a HW. A: Relative difference between the Treatment and the Control over time for A) the second derivative at 665 nm B) the NDVI C) the GLI and D) the SHSI. Points indicate raw data, the line represents a GLM estimates, while the shaded area is the model’s 89 % confidence interval. The dashed lines represent no difference between the Control and the Treatment.</w:t>
            </w:r>
          </w:p>
        </w:tc>
        <w:bookmarkEnd w:id="35"/>
      </w:tr>
    </w:tbl>
    <w:bookmarkEnd w:id="36"/>
    <w:p w14:paraId="76364F9F" w14:textId="77777777" w:rsidR="006E2672" w:rsidRDefault="00000000">
      <w:pPr>
        <w:pStyle w:val="Corpsdetexte"/>
      </w:pPr>
      <w:r>
        <w:t>Looking at raw SHSI values revealed clear distinctions between the Control and Treatment groups (</w:t>
      </w:r>
      <w:hyperlink w:anchor="fig-SDI_over_Time">
        <w:r w:rsidR="006E2672">
          <w:rPr>
            <w:rStyle w:val="Lienhypertexte"/>
          </w:rPr>
          <w:t>Figure 8</w:t>
        </w:r>
      </w:hyperlink>
      <w:r>
        <w:t xml:space="preserve">). On day 1, the SHSI of the Control and Treatment groups were comparable, with median values of -0.11 and -0.08, respectively. By the end of the </w:t>
      </w:r>
      <w:r>
        <w:lastRenderedPageBreak/>
        <w:t>experiment, seagrasses in the Treatment group exhibited a median SHSI of 0.15, consistent with their visibly darkened appearance. In contrast, the Control group retained a green appearance throughout the experiment, with a median SHSI of -0.07. A negative SHSI was considered indicative of non-impacted seagrasses, while a positive SHSI was used as a marker for impacted seagrasses.</w:t>
      </w:r>
    </w:p>
    <w:tbl>
      <w:tblPr>
        <w:tblStyle w:val="Table"/>
        <w:tblW w:w="5000" w:type="pct"/>
        <w:tblLayout w:type="fixed"/>
        <w:tblLook w:val="0000" w:firstRow="0" w:lastRow="0" w:firstColumn="0" w:lastColumn="0" w:noHBand="0" w:noVBand="0"/>
      </w:tblPr>
      <w:tblGrid>
        <w:gridCol w:w="9360"/>
      </w:tblGrid>
      <w:tr w:rsidR="006E2672" w14:paraId="1E72D3E9" w14:textId="77777777">
        <w:tc>
          <w:tcPr>
            <w:tcW w:w="7920" w:type="dxa"/>
          </w:tcPr>
          <w:p w14:paraId="1C998817" w14:textId="77777777" w:rsidR="006E2672" w:rsidRDefault="00000000">
            <w:pPr>
              <w:pStyle w:val="Compact"/>
              <w:jc w:val="center"/>
            </w:pPr>
            <w:bookmarkStart w:id="37" w:name="fig-SDI_over_Time"/>
            <w:bookmarkStart w:id="38" w:name="cell-fig-SDI_over_Time"/>
            <w:r>
              <w:rPr>
                <w:noProof/>
              </w:rPr>
              <w:drawing>
                <wp:inline distT="0" distB="0" distL="0" distR="0" wp14:anchorId="72DFD777" wp14:editId="1059D935">
                  <wp:extent cx="5646420" cy="3387852"/>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s/Low_res/SDI_exp_overtime.png"/>
                          <pic:cNvPicPr>
                            <a:picLocks noChangeAspect="1" noChangeArrowheads="1"/>
                          </pic:cNvPicPr>
                        </pic:nvPicPr>
                        <pic:blipFill>
                          <a:blip r:embed="rId14"/>
                          <a:stretch>
                            <a:fillRect/>
                          </a:stretch>
                        </pic:blipFill>
                        <pic:spPr bwMode="auto">
                          <a:xfrm>
                            <a:off x="0" y="0"/>
                            <a:ext cx="5646420" cy="3387852"/>
                          </a:xfrm>
                          <a:prstGeom prst="rect">
                            <a:avLst/>
                          </a:prstGeom>
                          <a:noFill/>
                          <a:ln w="9525">
                            <a:noFill/>
                            <a:headEnd/>
                            <a:tailEnd/>
                          </a:ln>
                        </pic:spPr>
                      </pic:pic>
                    </a:graphicData>
                  </a:graphic>
                </wp:inline>
              </w:drawing>
            </w:r>
          </w:p>
          <w:p w14:paraId="4906A19D" w14:textId="77777777" w:rsidR="006E2672" w:rsidRDefault="00000000">
            <w:pPr>
              <w:pStyle w:val="ImageCaption"/>
              <w:spacing w:before="200"/>
            </w:pPr>
            <w:r>
              <w:t>Figure 8: Median of the SHSI across experimental runs, on each day of the experiment. Error structure represent the 89 % confidence interval (Quantiles 0.055 and 0.945 for lower and upper ribbon, respectively). The green line shows values of the Control group while the orange line indicates values of the Treatment group.</w:t>
            </w:r>
          </w:p>
        </w:tc>
        <w:bookmarkEnd w:id="37"/>
      </w:tr>
    </w:tbl>
    <w:p w14:paraId="36385D40" w14:textId="77777777" w:rsidR="006E2672" w:rsidRDefault="00000000">
      <w:pPr>
        <w:pStyle w:val="Titre2"/>
      </w:pPr>
      <w:bookmarkStart w:id="39" w:name="X8f6520fb2cd603cd376acac4efc8d29f28e0a7a"/>
      <w:bookmarkEnd w:id="30"/>
      <w:bookmarkEnd w:id="34"/>
      <w:bookmarkEnd w:id="38"/>
      <w:r>
        <w:t>3.2 HW of September 2021 in Quiberon, South Brittany</w:t>
      </w:r>
    </w:p>
    <w:p w14:paraId="2B5E1E4B" w14:textId="77777777" w:rsidR="006E2672" w:rsidRDefault="00000000">
      <w:pPr>
        <w:pStyle w:val="Titre3"/>
      </w:pPr>
      <w:bookmarkStart w:id="40" w:name="spectral-changes"/>
      <w:r>
        <w:t>3.2.1 Spectral changes</w:t>
      </w:r>
    </w:p>
    <w:p w14:paraId="54BCE602" w14:textId="77777777" w:rsidR="006E2672" w:rsidRDefault="00000000">
      <w:pPr>
        <w:pStyle w:val="FirstParagraph"/>
      </w:pPr>
      <w:r>
        <w:t xml:space="preserve">Sentinel-2 images acquired the 1st and 6th of September 2021 were </w:t>
      </w:r>
      <w:proofErr w:type="spellStart"/>
      <w:r>
        <w:t>analysed</w:t>
      </w:r>
      <w:proofErr w:type="spellEnd"/>
      <w:r>
        <w:t xml:space="preserve"> to assess the short-term impact of a HW on seagrass leaves in South Brittany, France (</w:t>
      </w:r>
      <w:hyperlink w:anchor="fig-S2_comparison">
        <w:r w:rsidR="006E2672">
          <w:rPr>
            <w:rStyle w:val="Lienhypertexte"/>
          </w:rPr>
          <w:t>Figure 9</w:t>
        </w:r>
      </w:hyperlink>
      <w:r>
        <w:t xml:space="preserve"> A and C). Both an AHW and a MHW occurred during the 2021 summer, from the 4th to the 7th and from the 3rd to the 8th of September, respectively (</w:t>
      </w:r>
      <w:hyperlink w:anchor="fig-S2_comparison">
        <w:r w:rsidR="006E2672">
          <w:rPr>
            <w:rStyle w:val="Lienhypertexte"/>
          </w:rPr>
          <w:t>Figure 9</w:t>
        </w:r>
      </w:hyperlink>
      <w:r>
        <w:t xml:space="preserve"> B). Within just a few days, the temperature experienced a sharp increase, from 22.2 to 30.8°C in air, and </w:t>
      </w:r>
      <w:r>
        <w:lastRenderedPageBreak/>
        <w:t>from 17.7 to 19.3 °C in water temperature. During this period, the 90th percentile of the air temperatures was 25.3 °C and 18.8 °C for the water temperature. The air temperature anomaly of 9.9 °C classified the AHW as a strong event, whereas the 1.7 °C anomaly in water temperature classified the MHW as a moderate event.</w:t>
      </w:r>
    </w:p>
    <w:p w14:paraId="6DD0AE7E" w14:textId="77777777" w:rsidR="006E2672" w:rsidRDefault="00000000">
      <w:pPr>
        <w:pStyle w:val="Corpsdetexte"/>
      </w:pPr>
      <w:r>
        <w:t>Two days after the start of the AHW, the Sentinel-2 image from the 6th of September revealed patches of brown seagrass in the true-color composition (</w:t>
      </w:r>
      <w:hyperlink w:anchor="fig-S2_comparison">
        <w:r w:rsidR="006E2672">
          <w:rPr>
            <w:rStyle w:val="Lienhypertexte"/>
          </w:rPr>
          <w:t>Figure 9</w:t>
        </w:r>
      </w:hyperlink>
      <w:r>
        <w:t xml:space="preserve"> C). Such brown patches were absent from the image from the 1st of September, taken before the HW began (</w:t>
      </w:r>
      <w:hyperlink w:anchor="fig-S2_comparison">
        <w:r w:rsidR="006E2672">
          <w:rPr>
            <w:rStyle w:val="Lienhypertexte"/>
          </w:rPr>
          <w:t>Figure 9</w:t>
        </w:r>
      </w:hyperlink>
      <w:r>
        <w:t xml:space="preserve"> A). Before the HW, all QPs appeared green on the Sentinel-2 image, with similar reflectance spectra, typical of green seagrass leaves (</w:t>
      </w:r>
      <w:hyperlink w:anchor="fig-S2_comparison">
        <w:r w:rsidR="006E2672">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sidR="006E2672">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w:t>
      </w:r>
      <w:hyperlink w:anchor="fig-S2_comparison">
        <w:r w:rsidR="006E2672">
          <w:rPr>
            <w:rStyle w:val="Lienhypertexte"/>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6E2672" w14:paraId="1CB289F5" w14:textId="77777777">
        <w:tc>
          <w:tcPr>
            <w:tcW w:w="7920" w:type="dxa"/>
          </w:tcPr>
          <w:p w14:paraId="79C31AD2" w14:textId="77777777" w:rsidR="006E2672" w:rsidRDefault="00000000">
            <w:pPr>
              <w:pStyle w:val="Compact"/>
              <w:jc w:val="center"/>
            </w:pPr>
            <w:bookmarkStart w:id="41" w:name="fig-S2_comparison"/>
            <w:bookmarkStart w:id="42" w:name="cell-fig-S2_comparison"/>
            <w:r>
              <w:rPr>
                <w:noProof/>
              </w:rPr>
              <w:lastRenderedPageBreak/>
              <w:drawing>
                <wp:inline distT="0" distB="0" distL="0" distR="0" wp14:anchorId="61EE8C29" wp14:editId="1783ECCB">
                  <wp:extent cx="5646420" cy="539233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s/Low_res/Heatwaves_S2_plot.png"/>
                          <pic:cNvPicPr>
                            <a:picLocks noChangeAspect="1" noChangeArrowheads="1"/>
                          </pic:cNvPicPr>
                        </pic:nvPicPr>
                        <pic:blipFill>
                          <a:blip r:embed="rId15"/>
                          <a:stretch>
                            <a:fillRect/>
                          </a:stretch>
                        </pic:blipFill>
                        <pic:spPr bwMode="auto">
                          <a:xfrm>
                            <a:off x="0" y="0"/>
                            <a:ext cx="5646420" cy="5392331"/>
                          </a:xfrm>
                          <a:prstGeom prst="rect">
                            <a:avLst/>
                          </a:prstGeom>
                          <a:noFill/>
                          <a:ln w="9525">
                            <a:noFill/>
                            <a:headEnd/>
                            <a:tailEnd/>
                          </a:ln>
                        </pic:spPr>
                      </pic:pic>
                    </a:graphicData>
                  </a:graphic>
                </wp:inline>
              </w:drawing>
            </w:r>
          </w:p>
          <w:p w14:paraId="4CE8DEA7" w14:textId="77777777" w:rsidR="006E2672" w:rsidRDefault="00000000">
            <w:pPr>
              <w:pStyle w:val="ImageCaption"/>
              <w:spacing w:before="200"/>
            </w:pPr>
            <w:r>
              <w:t xml:space="preserve">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QPs 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w:t>
            </w:r>
            <w:proofErr w:type="spellStart"/>
            <w:r>
              <w:t>Coloured</w:t>
            </w:r>
            <w:proofErr w:type="spellEnd"/>
            <w:r>
              <w:t xml:space="preserve"> areas identify HWs (marine in blue and </w:t>
            </w:r>
            <w:proofErr w:type="spellStart"/>
            <w:r>
              <w:t>atmospherical</w:t>
            </w:r>
            <w:proofErr w:type="spellEnd"/>
            <w:r>
              <w:t xml:space="preserve"> in red). The two vertical dashed lines represent the acquisition dates of the two Sentinel-2 images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w:t>
            </w:r>
            <w:r>
              <w:lastRenderedPageBreak/>
              <w:t>respectively) as identified during the field survey. The shaded areas around the reflectance spectra represent the standard deviation.</w:t>
            </w:r>
          </w:p>
        </w:tc>
        <w:bookmarkEnd w:id="41"/>
      </w:tr>
    </w:tbl>
    <w:p w14:paraId="086334F4" w14:textId="77777777" w:rsidR="006E2672" w:rsidRDefault="00000000">
      <w:pPr>
        <w:pStyle w:val="Titre3"/>
      </w:pPr>
      <w:bookmarkStart w:id="43" w:name="shsi-metric-applied-to-sentinel-2"/>
      <w:bookmarkEnd w:id="40"/>
      <w:bookmarkEnd w:id="42"/>
      <w:r>
        <w:lastRenderedPageBreak/>
        <w:t>3.2.2 SHSI metric applied to Sentinel-2</w:t>
      </w:r>
    </w:p>
    <w:p w14:paraId="60F329EA" w14:textId="77777777" w:rsidR="006E2672" w:rsidRDefault="00000000">
      <w:pPr>
        <w:pStyle w:val="FirstParagraph"/>
      </w:pPr>
      <w:r>
        <w:t xml:space="preserve">Using Sentinel-2 data and the QPs, SHSI of green seagrass areas that appeared unimpacted by the HW (Unimpacted QPs ; </w:t>
      </w:r>
      <w:hyperlink w:anchor="fig-S2_comparison">
        <w:r w:rsidR="006E2672">
          <w:rPr>
            <w:rStyle w:val="Lienhypertexte"/>
          </w:rPr>
          <w:t>Figure 9</w:t>
        </w:r>
      </w:hyperlink>
      <w:r>
        <w:t xml:space="preserve"> C), showed minimal change between 1st and 6th of September (3 % ; </w:t>
      </w:r>
      <w:hyperlink w:anchor="fig-NDVI_GLI_SPC">
        <w:r w:rsidR="006E2672">
          <w:rPr>
            <w:rStyle w:val="Lienhypertexte"/>
          </w:rPr>
          <w:t>Figure 10</w:t>
        </w:r>
      </w:hyperlink>
      <w:r>
        <w:t xml:space="preserve">). In contrast, seagrass impacted by the HW that turned brown (Impacted QPs ; </w:t>
      </w:r>
      <w:hyperlink w:anchor="fig-S2_comparison">
        <w:r w:rsidR="006E2672">
          <w:rPr>
            <w:rStyle w:val="Lienhypertexte"/>
          </w:rPr>
          <w:t>Figure 9</w:t>
        </w:r>
      </w:hyperlink>
      <w:r>
        <w:t xml:space="preserve"> C) exhibited significant SHSI changes, showing an increase of 97 % during the HW exposure (</w:t>
      </w:r>
      <w:hyperlink w:anchor="fig-NDVI_GLI_SPC">
        <w:r w:rsidR="006E2672">
          <w:rPr>
            <w:rStyle w:val="Lienhypertexte"/>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6E2672" w14:paraId="7A25F920" w14:textId="77777777">
        <w:tc>
          <w:tcPr>
            <w:tcW w:w="7920" w:type="dxa"/>
          </w:tcPr>
          <w:p w14:paraId="6B9BD577" w14:textId="77777777" w:rsidR="006E2672" w:rsidRDefault="00000000">
            <w:pPr>
              <w:pStyle w:val="Compact"/>
              <w:jc w:val="center"/>
            </w:pPr>
            <w:bookmarkStart w:id="44" w:name="fig-NDVI_GLI_SPC"/>
            <w:bookmarkStart w:id="45" w:name="cell-fig-NDVI_GLI_SPC"/>
            <w:r>
              <w:rPr>
                <w:noProof/>
              </w:rPr>
              <w:drawing>
                <wp:inline distT="0" distB="0" distL="0" distR="0" wp14:anchorId="3B1FF0CD" wp14:editId="5365C622">
                  <wp:extent cx="5646420" cy="282321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s/Low_res/SHSI_S2.png"/>
                          <pic:cNvPicPr>
                            <a:picLocks noChangeAspect="1" noChangeArrowheads="1"/>
                          </pic:cNvPicPr>
                        </pic:nvPicPr>
                        <pic:blipFill>
                          <a:blip r:embed="rId16"/>
                          <a:stretch>
                            <a:fillRect/>
                          </a:stretch>
                        </pic:blipFill>
                        <pic:spPr bwMode="auto">
                          <a:xfrm>
                            <a:off x="0" y="0"/>
                            <a:ext cx="5646420" cy="2823210"/>
                          </a:xfrm>
                          <a:prstGeom prst="rect">
                            <a:avLst/>
                          </a:prstGeom>
                          <a:noFill/>
                          <a:ln w="9525">
                            <a:noFill/>
                            <a:headEnd/>
                            <a:tailEnd/>
                          </a:ln>
                        </pic:spPr>
                      </pic:pic>
                    </a:graphicData>
                  </a:graphic>
                </wp:inline>
              </w:drawing>
            </w:r>
          </w:p>
          <w:p w14:paraId="54591FCE" w14:textId="77777777" w:rsidR="006E2672" w:rsidRDefault="00000000">
            <w:pPr>
              <w:pStyle w:val="ImageCaption"/>
              <w:spacing w:before="200"/>
            </w:pPr>
            <w:r>
              <w:t xml:space="preserve">Figure 10: Changes in the relative SHSI estimated from Sentinel-2, before (1st of September 2021), during (6th of September 2021) and after (8th of October 2021) a HW in the seagrass meadow of Quiberon (South Brittany, France). The relative SHSI difference was </w:t>
            </w:r>
            <w:proofErr w:type="spellStart"/>
            <w:r>
              <w:t>calulated</w:t>
            </w:r>
            <w:proofErr w:type="spellEnd"/>
            <w:r>
              <w:t xml:space="preserve"> using the 1st of September as a reference. SHSI was calculated for two categories of Quadrat Points (QPs; </w:t>
            </w:r>
            <w:hyperlink w:anchor="fig-S2_comparison">
              <w:r w:rsidR="006E2672">
                <w:rPr>
                  <w:rStyle w:val="Lienhypertexte"/>
                </w:rPr>
                <w:t>Figure 9</w:t>
              </w:r>
            </w:hyperlink>
            <w:r>
              <w:t xml:space="preserve">): unimpacted seagrass (green) and impacted seagrass (orange). Points </w:t>
            </w:r>
            <w:r>
              <w:lastRenderedPageBreak/>
              <w:t>represent the estimated value of the SHSI using a GLM, while the error bar represents the 89% confidence interval.</w:t>
            </w:r>
          </w:p>
        </w:tc>
        <w:bookmarkEnd w:id="44"/>
      </w:tr>
      <w:bookmarkEnd w:id="45"/>
    </w:tbl>
    <w:p w14:paraId="1DD331EB" w14:textId="1EFF4FB6" w:rsidR="006E2672" w:rsidRDefault="006E2672" w:rsidP="0084175F">
      <w:pPr>
        <w:pStyle w:val="Corpsdetexte"/>
        <w:ind w:firstLine="0"/>
      </w:pPr>
    </w:p>
    <w:p w14:paraId="4A2ED06C" w14:textId="77777777" w:rsidR="006E2672" w:rsidRDefault="00000000">
      <w:pPr>
        <w:pStyle w:val="Corpsdetexte"/>
      </w:pPr>
      <w:r>
        <w:t>Using the SHSI (</w:t>
      </w:r>
      <w:hyperlink w:anchor="eq-SDI">
        <w:r w:rsidR="006E2672">
          <w:rPr>
            <w:rStyle w:val="Lienhypertexte"/>
          </w:rPr>
          <w:t>Equation 3</w:t>
        </w:r>
      </w:hyperlink>
      <w:r>
        <w:t>), we detected large darkened seagrass patches in the meadow on 6th of September (</w:t>
      </w:r>
      <w:hyperlink w:anchor="fig-Map_darkening_Bathy">
        <w:r w:rsidR="006E2672">
          <w:rPr>
            <w:rStyle w:val="Lienhypertexte"/>
          </w:rPr>
          <w:t>Figure 11</w:t>
        </w:r>
      </w:hyperlink>
      <w:r>
        <w:t>). A total of 26.9 hectares of seagrass turned brown between 1st and 6th of September. The largest brown patch covered nearly 8 hectares. Overall, 24 % of the total seagrass meadow area showed signs of darkening between 1st and 6th of September. Comparing the spatial distribution of darkened patches with the site’s topography revealed that 94.6 % of darkened areas were located above a bathymetric level of 3.9 meters (</w:t>
      </w:r>
      <w:hyperlink w:anchor="fig-Map_darkening_Bathy">
        <w:r w:rsidR="006E2672">
          <w:rPr>
            <w:rStyle w:val="Lienhypertexte"/>
          </w:rPr>
          <w:t>Figure 11</w:t>
        </w:r>
      </w:hyperlink>
      <w:r>
        <w:t>, A and B). One month later, on 8th of October, the previously darkened areas appeared to have regained their green coloration (</w:t>
      </w:r>
      <w:hyperlink w:anchor="fig-Map_darkening_Bathy">
        <w:r w:rsidR="006E2672">
          <w:rPr>
            <w:rStyle w:val="Lienhypertexte"/>
          </w:rPr>
          <w:t>Figure 11</w:t>
        </w:r>
      </w:hyperlink>
      <w:r>
        <w:t xml:space="preserve"> C).</w:t>
      </w:r>
    </w:p>
    <w:tbl>
      <w:tblPr>
        <w:tblStyle w:val="Table"/>
        <w:tblW w:w="5000" w:type="pct"/>
        <w:tblLayout w:type="fixed"/>
        <w:tblLook w:val="0000" w:firstRow="0" w:lastRow="0" w:firstColumn="0" w:lastColumn="0" w:noHBand="0" w:noVBand="0"/>
      </w:tblPr>
      <w:tblGrid>
        <w:gridCol w:w="9360"/>
      </w:tblGrid>
      <w:tr w:rsidR="006E2672" w14:paraId="365A1D59" w14:textId="77777777">
        <w:tc>
          <w:tcPr>
            <w:tcW w:w="7920" w:type="dxa"/>
          </w:tcPr>
          <w:p w14:paraId="00FEA717" w14:textId="77777777" w:rsidR="006E2672" w:rsidRDefault="00000000">
            <w:pPr>
              <w:pStyle w:val="Compact"/>
              <w:jc w:val="center"/>
            </w:pPr>
            <w:bookmarkStart w:id="46" w:name="fig-Map_darkening_Bathy"/>
            <w:bookmarkStart w:id="47" w:name="cell-fig-Map_darkening_Bathy"/>
            <w:r>
              <w:rPr>
                <w:noProof/>
              </w:rPr>
              <w:drawing>
                <wp:inline distT="0" distB="0" distL="0" distR="0" wp14:anchorId="071C8183" wp14:editId="6BA120D4">
                  <wp:extent cx="5646420" cy="407671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s/Low_res/SHSI_S2_map.png"/>
                          <pic:cNvPicPr>
                            <a:picLocks noChangeAspect="1" noChangeArrowheads="1"/>
                          </pic:cNvPicPr>
                        </pic:nvPicPr>
                        <pic:blipFill>
                          <a:blip r:embed="rId17"/>
                          <a:stretch>
                            <a:fillRect/>
                          </a:stretch>
                        </pic:blipFill>
                        <pic:spPr bwMode="auto">
                          <a:xfrm>
                            <a:off x="0" y="0"/>
                            <a:ext cx="5646420" cy="4076715"/>
                          </a:xfrm>
                          <a:prstGeom prst="rect">
                            <a:avLst/>
                          </a:prstGeom>
                          <a:noFill/>
                          <a:ln w="9525">
                            <a:noFill/>
                            <a:headEnd/>
                            <a:tailEnd/>
                          </a:ln>
                        </pic:spPr>
                      </pic:pic>
                    </a:graphicData>
                  </a:graphic>
                </wp:inline>
              </w:drawing>
            </w:r>
          </w:p>
          <w:p w14:paraId="445CC764" w14:textId="77777777" w:rsidR="006E2672" w:rsidRDefault="00000000">
            <w:pPr>
              <w:pStyle w:val="ImageCaption"/>
              <w:spacing w:before="200"/>
            </w:pPr>
            <w:r>
              <w:lastRenderedPageBreak/>
              <w:t>Figure 11: Sentinel-2 color composition of the seagrass meadow of Quiberon, South Brittany, France, Before (A ; 1st of September 2021), During (B ; 6th of September 2021) and After (C ; 8th of October 2021) the HW and SHSI applied to the same Sentinel-2 images Before (D), During (E) and After (F) the HW.</w:t>
            </w:r>
          </w:p>
        </w:tc>
        <w:bookmarkEnd w:id="46"/>
      </w:tr>
    </w:tbl>
    <w:bookmarkEnd w:id="47"/>
    <w:p w14:paraId="3A24B25A" w14:textId="77777777" w:rsidR="006E2672" w:rsidRDefault="00000000">
      <w:pPr>
        <w:pStyle w:val="Corpsdetexte"/>
      </w:pPr>
      <w:r>
        <w:lastRenderedPageBreak/>
        <w:t>Additionally, there was a clear relationship between seagrass emersion time and seagrass darkening (</w:t>
      </w:r>
      <w:hyperlink w:anchor="fig-GAM_Emersion">
        <w:r w:rsidR="006E2672">
          <w:rPr>
            <w:rStyle w:val="Lienhypertexte"/>
          </w:rPr>
          <w:t>Figure 12</w:t>
        </w:r>
      </w:hyperlink>
      <w:r>
        <w:t xml:space="preserve"> ; </w:t>
      </w:r>
      <w:hyperlink w:anchor="sec-AnnexeC">
        <w:r w:rsidR="006E2672">
          <w:rPr>
            <w:rStyle w:val="Lienhypertexte"/>
          </w:rPr>
          <w:t>Section 6.3</w:t>
        </w:r>
      </w:hyperlink>
      <w:r>
        <w:t xml:space="preserve">). Seagrass emerged during less than 13 hours a day were not impacted, whereas seagrass emerged during more than 13 hours turned brown with the maximum darkening </w:t>
      </w:r>
      <w:proofErr w:type="spellStart"/>
      <w:r>
        <w:t>occuring</w:t>
      </w:r>
      <w:proofErr w:type="spellEnd"/>
      <w:r>
        <w:t xml:space="preserve"> on seagrass emerged during more than 14.5 hours daily.</w:t>
      </w:r>
    </w:p>
    <w:tbl>
      <w:tblPr>
        <w:tblStyle w:val="Table"/>
        <w:tblW w:w="5000" w:type="pct"/>
        <w:tblLayout w:type="fixed"/>
        <w:tblLook w:val="0000" w:firstRow="0" w:lastRow="0" w:firstColumn="0" w:lastColumn="0" w:noHBand="0" w:noVBand="0"/>
      </w:tblPr>
      <w:tblGrid>
        <w:gridCol w:w="9360"/>
      </w:tblGrid>
      <w:tr w:rsidR="006E2672" w14:paraId="2CB2B702" w14:textId="77777777">
        <w:tc>
          <w:tcPr>
            <w:tcW w:w="7920" w:type="dxa"/>
          </w:tcPr>
          <w:p w14:paraId="2CDB0A6D" w14:textId="77777777" w:rsidR="006E2672" w:rsidRDefault="00000000">
            <w:pPr>
              <w:pStyle w:val="Compact"/>
              <w:jc w:val="center"/>
            </w:pPr>
            <w:bookmarkStart w:id="48" w:name="fig-GAM_Emersion"/>
            <w:bookmarkStart w:id="49" w:name="cell-fig-GAM_Emersion"/>
            <w:r>
              <w:rPr>
                <w:noProof/>
              </w:rPr>
              <w:drawing>
                <wp:inline distT="0" distB="0" distL="0" distR="0" wp14:anchorId="1F756598" wp14:editId="75C7465E">
                  <wp:extent cx="5646420" cy="282321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Figs/Low_res/GAM_emersion.png"/>
                          <pic:cNvPicPr>
                            <a:picLocks noChangeAspect="1" noChangeArrowheads="1"/>
                          </pic:cNvPicPr>
                        </pic:nvPicPr>
                        <pic:blipFill>
                          <a:blip r:embed="rId18"/>
                          <a:stretch>
                            <a:fillRect/>
                          </a:stretch>
                        </pic:blipFill>
                        <pic:spPr bwMode="auto">
                          <a:xfrm>
                            <a:off x="0" y="0"/>
                            <a:ext cx="5646420" cy="2823210"/>
                          </a:xfrm>
                          <a:prstGeom prst="rect">
                            <a:avLst/>
                          </a:prstGeom>
                          <a:noFill/>
                          <a:ln w="9525">
                            <a:noFill/>
                            <a:headEnd/>
                            <a:tailEnd/>
                          </a:ln>
                        </pic:spPr>
                      </pic:pic>
                    </a:graphicData>
                  </a:graphic>
                </wp:inline>
              </w:drawing>
            </w:r>
          </w:p>
          <w:p w14:paraId="6A2BC85E" w14:textId="77777777" w:rsidR="006E2672" w:rsidRDefault="00000000">
            <w:pPr>
              <w:pStyle w:val="ImageCaption"/>
              <w:spacing w:before="200"/>
            </w:pPr>
            <w:r>
              <w:t>Figure 12: Relative change of the SHSI before and during the HW events as a function of the daily emersion time of seagrass. The line represents a GAM estimate, and the shaded area indicates the standard error. Shaded points represent raw data, each corresponding to a single pixel of the meadow.</w:t>
            </w:r>
          </w:p>
        </w:tc>
        <w:bookmarkEnd w:id="48"/>
      </w:tr>
    </w:tbl>
    <w:p w14:paraId="5F23A10A" w14:textId="77777777" w:rsidR="006E2672" w:rsidRDefault="00000000">
      <w:pPr>
        <w:pStyle w:val="Titre1"/>
      </w:pPr>
      <w:bookmarkStart w:id="50" w:name="discussion"/>
      <w:bookmarkEnd w:id="29"/>
      <w:bookmarkEnd w:id="39"/>
      <w:bookmarkEnd w:id="43"/>
      <w:bookmarkEnd w:id="49"/>
      <w:r>
        <w:t>4. Discussion</w:t>
      </w:r>
    </w:p>
    <w:p w14:paraId="74E5EA40" w14:textId="77777777" w:rsidR="006E2672" w:rsidRDefault="00000000">
      <w:pPr>
        <w:pStyle w:val="Titre2"/>
      </w:pPr>
      <w:bookmarkStart w:id="51" w:name="Xb7f7f02f8dbcb55c30d8a7e7a31bd5d7dbd38a5"/>
      <w:r>
        <w:t xml:space="preserve">4.1 Effect of heatwaves on </w:t>
      </w:r>
      <w:r>
        <w:rPr>
          <w:i/>
          <w:iCs/>
        </w:rPr>
        <w:t xml:space="preserve">Zostera </w:t>
      </w:r>
      <w:proofErr w:type="spellStart"/>
      <w:r>
        <w:rPr>
          <w:i/>
          <w:iCs/>
        </w:rPr>
        <w:t>noltei</w:t>
      </w:r>
      <w:proofErr w:type="spellEnd"/>
      <w:r>
        <w:t xml:space="preserve"> reflectance</w:t>
      </w:r>
    </w:p>
    <w:p w14:paraId="33588F7D" w14:textId="77777777" w:rsidR="006E2672" w:rsidRDefault="00000000">
      <w:pPr>
        <w:pStyle w:val="FirstParagraph"/>
      </w:pPr>
      <w:r>
        <w:t xml:space="preserve">This study explored the dual effect of MHWs and AHWs on spectral reflectance of intertidal seagrasses. Significant changes in the reflectance of seagrasses exposed to </w:t>
      </w:r>
      <w:r>
        <w:lastRenderedPageBreak/>
        <w:t>HWs were observed both in field measurements and the laboratory experiment. Effects were drops of reflectance around 560 nm and around 740 nm (</w:t>
      </w:r>
      <w:hyperlink w:anchor="fig-Exp_Spectral_indices">
        <w:r w:rsidR="006E2672">
          <w:rPr>
            <w:rStyle w:val="Lienhypertexte"/>
          </w:rPr>
          <w:t>Figure 7</w:t>
        </w:r>
      </w:hyperlink>
      <w:r>
        <w:t>) and of the second derivative at 665 nm (R’’665), NDVI, and GLI (</w:t>
      </w:r>
      <w:hyperlink w:anchor="fig-Exp_Spectral_indices">
        <w:r w:rsidR="006E2672">
          <w:rPr>
            <w:rStyle w:val="Lienhypertexte"/>
          </w:rPr>
          <w:t>Figure 7</w:t>
        </w:r>
      </w:hyperlink>
      <w:r>
        <w:t xml:space="preserve"> A, B &amp; C) indexes. By contrast, SHSI showed a marked increase, reaching up to 600% for some samples by day 3 (</w:t>
      </w:r>
      <w:hyperlink w:anchor="fig-Exp_Spectral_indices">
        <w:r w:rsidR="006E2672">
          <w:rPr>
            <w:rStyle w:val="Lienhypertexte"/>
          </w:rPr>
          <w:t>Figure 7</w:t>
        </w:r>
      </w:hyperlink>
      <w:r>
        <w:t xml:space="preserve"> D), which demonstrated its sensitivity at quantifying seagrass browning. These changes suggest a progressive reduction in photosynthetic activity as well as potential structural or physiological changes to the leaves, such as degraded pigmentation or altered light absorption. Moreover, we observed a considerable decrease in the reflectance in the NIR region (700 - 1300 nm) in stressed plants, which is mainly related with the destruction of the membranes (chloroplasts, thylakoids, cell walls) due to thermal oxidative stress, and the consequent decrease of light scattering through the leaf surface (</w:t>
      </w:r>
      <w:proofErr w:type="spellStart"/>
      <w:r>
        <w:t>Knipling</w:t>
      </w:r>
      <w:proofErr w:type="spellEnd"/>
      <w:r>
        <w:t>, 1970). The leaf darkening observed in plants subjected to thermal stress was mainly explained by the oxidation of phenolic compounds by the enzyme polyphenol oxidase and with a damage of the photosynthetic apparatus (</w:t>
      </w:r>
      <w:proofErr w:type="spellStart"/>
      <w:r>
        <w:t>Allakhverdiev</w:t>
      </w:r>
      <w:proofErr w:type="spellEnd"/>
      <w:r>
        <w:t xml:space="preserve"> et al., 2008). High temperatures destabilize chloroplasts membranes, disrupting photosystem II and impairing recovery of photosynthetic function. As chlorophyll-a degrades, the ratio of pigments shifts, with pigments like carotenoids becoming more prominent (</w:t>
      </w:r>
      <w:proofErr w:type="spellStart"/>
      <w:r>
        <w:t>Dascaliuc</w:t>
      </w:r>
      <w:proofErr w:type="spellEnd"/>
      <w:r>
        <w:t xml:space="preserve"> et al., 2007; Jones and Clayton-Greene, 1992). These processes can eventually result in growth impairment and plant death.</w:t>
      </w:r>
    </w:p>
    <w:p w14:paraId="67857A29" w14:textId="77777777" w:rsidR="006E2672" w:rsidRDefault="00000000">
      <w:pPr>
        <w:pStyle w:val="Corpsdetexte"/>
      </w:pPr>
      <w:r>
        <w:t>The Seagrass Heat Shock Index (</w:t>
      </w:r>
      <w:hyperlink w:anchor="eq-SDI">
        <w:r w:rsidR="006E2672">
          <w:rPr>
            <w:rStyle w:val="Lienhypertexte"/>
          </w:rPr>
          <w:t>Equation 3</w:t>
        </w:r>
      </w:hyperlink>
      <w:r>
        <w:t xml:space="preserve">) developed in this study makes it possible to detect reductions in the green and the Red-Edge regions caused by thermal stress using only three reflectance bands (560 740 and 840 nm). These spectral bands are available in current (i.e. Sentinel-2, Pleiades-Neo, WorldView-3, </w:t>
      </w:r>
      <w:proofErr w:type="spellStart"/>
      <w:r>
        <w:t>SkySat</w:t>
      </w:r>
      <w:proofErr w:type="spellEnd"/>
      <w:r>
        <w:t xml:space="preserve">, and GeoSat-2) and future multi-spectral missions (i.e. Sentinel-2 Next Generation and Landsat Next), opening new perspectives for the detection and monitoring of heatwave effects on </w:t>
      </w:r>
      <w:r>
        <w:lastRenderedPageBreak/>
        <w:t>intertidal seagrass. As shown in the next section, SHSI can be used to assess the extent and severity of darkening events across intertidal seagrass meadows from high resolution satellite images.</w:t>
      </w:r>
    </w:p>
    <w:p w14:paraId="06AC693D" w14:textId="77777777" w:rsidR="006E2672" w:rsidRDefault="00000000">
      <w:pPr>
        <w:pStyle w:val="Titre2"/>
      </w:pPr>
      <w:bookmarkStart w:id="52" w:name="X9241c7e1de5a94cee1951b46be3852b40e2741d"/>
      <w:bookmarkEnd w:id="51"/>
      <w:r>
        <w:t>4.2 Satellite observations of HW effects on intertidal seagrass</w:t>
      </w:r>
    </w:p>
    <w:p w14:paraId="1F4E03AE" w14:textId="77777777" w:rsidR="006E2672" w:rsidRDefault="00000000">
      <w:pPr>
        <w:pStyle w:val="FirstParagraph"/>
      </w:pPr>
      <w:r>
        <w:t xml:space="preserve">Using our new Seagrass Heat Shock Index, Sentinel-2 images acquired before, during, and after a HW event made it possible to detect seagrass leaf darkening at high spatial resolution, as well as to describe the spatial distribution of the heatwave impact over the whole meadow. The </w:t>
      </w:r>
      <w:proofErr w:type="spellStart"/>
      <w:r>
        <w:t>analyse</w:t>
      </w:r>
      <w:proofErr w:type="spellEnd"/>
      <w:r>
        <w:t xml:space="preserve"> of satellite images in Quiberon Bay during the 2021 HW revealed that most of the meadow darkening took place in the upper intertidal area, where plants were exposed to air for more than 13 hours per day, while no significant browning was observed in the lower intertidal zone. This contrasted with the experiment, in which seagrasses were exposed to a symmetric tidal cycle, spending equal amounts of time submerged and exposed to air. However, in the field, this configuration occurs only in meadows located at hydrographic zero height (mean sea level). Thus, under the same atmospheric temperatures, bathymetry, and therefore, exposure times will modulate the stress effects observed, as seagrasses located lower in the intertidal may be more resistant to HWs than those in upper fringes. Field observations further revealed that leaf detachment began after the heatwave, causing an apparent decline in seagrass density at the upper intertidal. </w:t>
      </w:r>
      <w:r>
        <w:rPr>
          <w:i/>
          <w:iCs/>
        </w:rPr>
        <w:t xml:space="preserve">Zostera </w:t>
      </w:r>
      <w:proofErr w:type="spellStart"/>
      <w:r>
        <w:rPr>
          <w:i/>
          <w:iCs/>
        </w:rPr>
        <w:t>noltei</w:t>
      </w:r>
      <w:proofErr w:type="spellEnd"/>
      <w:r>
        <w:t>, as a species inhabiting the intertidal zone and regularly exposed to air, has developed adaptations to minimize hydric stress, such as its narrow leaves, which help reduce water loss during air exposure periods (</w:t>
      </w:r>
      <w:proofErr w:type="spellStart"/>
      <w:r>
        <w:t>Cabaço</w:t>
      </w:r>
      <w:proofErr w:type="spellEnd"/>
      <w:r>
        <w:t xml:space="preserve"> et al., 2009). Nonetheless, if plants at the upper subtidal are exposed to intense heating and irradiance for prolonged periods, these mechanisms may not be able to prevent degradation of photosynthetic pigments, decreases in photosynthetic capacity and tissue degradation.</w:t>
      </w:r>
    </w:p>
    <w:p w14:paraId="0EEFFEBC" w14:textId="77777777" w:rsidR="006E2672" w:rsidRDefault="00000000">
      <w:pPr>
        <w:pStyle w:val="Corpsdetexte"/>
      </w:pPr>
      <w:r>
        <w:lastRenderedPageBreak/>
        <w:t>During the HW, Sentinel-2 imagery indicated that impacted seagrass patches (i.e., areas exhibiting seagrass darkening) experienced a sharp decline in NDVI. Moreover, the Sentinel-2 image acquired one month after the HW showed that the NDVI of impacted seagrass patches had not recovered to its initial level (</w:t>
      </w:r>
      <w:hyperlink w:anchor="fig-NDVI_GLI_SPC">
        <w:r w:rsidR="006E2672">
          <w:rPr>
            <w:rStyle w:val="Lienhypertexte"/>
          </w:rPr>
          <w:t>Figure 10</w:t>
        </w:r>
      </w:hyperlink>
      <w:r>
        <w:t xml:space="preserve">). NDVI is commonly used as a proxy for seagrass cover (Davies et al., 2024a; </w:t>
      </w:r>
      <w:proofErr w:type="spellStart"/>
      <w:r>
        <w:t>Zoffoli</w:t>
      </w:r>
      <w:proofErr w:type="spellEnd"/>
      <w:r>
        <w:t xml:space="preserve"> et al., 2020), with high NDVI associated with greater seagrass coverage and low NDVI indicating reduced cover. Our findings demonstrate that heatwaves altered the spectral signature of seagrasses, causing a decrease in NDVI—and consequently, in the satellite-derived estimate of seagrass cover—while the actual coverage observed in the field remained stable (see </w:t>
      </w:r>
      <w:hyperlink w:anchor="fig-QuiberonImg">
        <w:r w:rsidR="006E2672">
          <w:rPr>
            <w:rStyle w:val="Lienhypertexte"/>
          </w:rPr>
          <w:t>Figure 5</w:t>
        </w:r>
      </w:hyperlink>
      <w:r>
        <w:t>). This discrepancy underscores a potential limitation of remote sensing in accurately capturing true seagrass cover during stress events. We demonstrate that such bias could be corrected by the combined analysis of both NDVI and SHSI indices, as proxies of seagrass cover and heatwave impact.</w:t>
      </w:r>
    </w:p>
    <w:p w14:paraId="280C2194" w14:textId="77777777" w:rsidR="006E2672" w:rsidRDefault="00000000">
      <w:pPr>
        <w:pStyle w:val="Corpsdetexte"/>
      </w:pPr>
      <w:r>
        <w:t xml:space="preserve">One month after the heatwave, the SHSI in impacted quadrats recovered to similar values to those of the unimpacted ones. Moreover, Sentinel-2 images revealed a partial recovery in areas of the mid to low intertidal, as shown by their return to green color. These results suggested a certain the resilience capacity of </w:t>
      </w:r>
      <w:r>
        <w:rPr>
          <w:i/>
          <w:iCs/>
        </w:rPr>
        <w:t xml:space="preserve">Z. </w:t>
      </w:r>
      <w:proofErr w:type="spellStart"/>
      <w:r>
        <w:rPr>
          <w:i/>
          <w:iCs/>
        </w:rPr>
        <w:t>noltei</w:t>
      </w:r>
      <w:proofErr w:type="spellEnd"/>
      <w:r>
        <w:t xml:space="preserve"> patches after thermal disturbance. </w:t>
      </w:r>
      <w:r>
        <w:rPr>
          <w:i/>
          <w:iCs/>
        </w:rPr>
        <w:t xml:space="preserve">Zostera </w:t>
      </w:r>
      <w:proofErr w:type="spellStart"/>
      <w:r>
        <w:rPr>
          <w:i/>
          <w:iCs/>
        </w:rPr>
        <w:t>noltei</w:t>
      </w:r>
      <w:proofErr w:type="spellEnd"/>
      <w:r>
        <w:t xml:space="preserve"> is a dynamic, fast-growing colonizer species (Roca et al., 2016), with fast leaf turnover times and growth rates (Borum et al., 2004) and fast rhizome elongation rates (Duarte, 1991). The return to green color in some parts of the meadow after recovery might be due to new leaf growth, which was likely sustained by the energy reserves of the surviving below ground biomass (</w:t>
      </w:r>
      <w:proofErr w:type="spellStart"/>
      <w:r>
        <w:t>Hemminga</w:t>
      </w:r>
      <w:proofErr w:type="spellEnd"/>
      <w:r>
        <w:t>, 1998).</w:t>
      </w:r>
    </w:p>
    <w:p w14:paraId="7470F5D7" w14:textId="77777777" w:rsidR="006E2672" w:rsidRDefault="00000000">
      <w:pPr>
        <w:pStyle w:val="Titre2"/>
      </w:pPr>
      <w:bookmarkStart w:id="53" w:name="X729e0e9cf0ae04acbfe1544e67ed14357344b2c"/>
      <w:bookmarkEnd w:id="52"/>
      <w:r>
        <w:t xml:space="preserve">4.3 Ecological implications of heatwaves impact on </w:t>
      </w:r>
      <w:r>
        <w:rPr>
          <w:i/>
          <w:iCs/>
        </w:rPr>
        <w:t xml:space="preserve">Zostera </w:t>
      </w:r>
      <w:proofErr w:type="spellStart"/>
      <w:r>
        <w:rPr>
          <w:i/>
          <w:iCs/>
        </w:rPr>
        <w:t>noltei</w:t>
      </w:r>
      <w:proofErr w:type="spellEnd"/>
    </w:p>
    <w:p w14:paraId="2C943976" w14:textId="77777777" w:rsidR="006E2672" w:rsidRDefault="00000000">
      <w:pPr>
        <w:pStyle w:val="FirstParagraph"/>
      </w:pPr>
      <w:r>
        <w:t xml:space="preserve">In the present study we observed that heatwave-driven thermal stress changed the spectral reflectance of </w:t>
      </w:r>
      <w:r>
        <w:rPr>
          <w:i/>
          <w:iCs/>
        </w:rPr>
        <w:t xml:space="preserve">Z. </w:t>
      </w:r>
      <w:proofErr w:type="spellStart"/>
      <w:r>
        <w:rPr>
          <w:i/>
          <w:iCs/>
        </w:rPr>
        <w:t>noltei</w:t>
      </w:r>
      <w:proofErr w:type="spellEnd"/>
      <w:r>
        <w:t xml:space="preserve"> leaves, indicating photosynthetic pigments degradation, with potential negative consequences on health, growth and survival of the above </w:t>
      </w:r>
      <w:r>
        <w:lastRenderedPageBreak/>
        <w:t xml:space="preserve">ground biomass. In this sense, previous experiments on the effects of warming on </w:t>
      </w:r>
      <w:r>
        <w:rPr>
          <w:i/>
          <w:iCs/>
        </w:rPr>
        <w:t xml:space="preserve">Zostera </w:t>
      </w:r>
      <w:proofErr w:type="spellStart"/>
      <w:r>
        <w:rPr>
          <w:i/>
          <w:iCs/>
        </w:rPr>
        <w:t>noltei</w:t>
      </w:r>
      <w:proofErr w:type="spellEnd"/>
      <w:r>
        <w:t xml:space="preserve"> have shown contrasting results, depending on the duration and intensity of heating. In some cases, there were no significant changes in photosynthetic performance or survival under short-term moderate stress (Franssen et al., 2014), or </w:t>
      </w:r>
      <w:proofErr w:type="spellStart"/>
      <w:r>
        <w:t>quaunder</w:t>
      </w:r>
      <w:proofErr w:type="spellEnd"/>
      <w:r>
        <w:t xml:space="preserve"> gradual temperature increases (Román et al., 2022). By contrast, studies focused on extreme temperature events have evidenced decreases of photosynthetic performance and leaf tissue integrity (Massa et al., 2009; Román et al., 2023). Therefore, our findings, jointly with previous research, suggest that </w:t>
      </w:r>
      <w:r>
        <w:rPr>
          <w:i/>
          <w:iCs/>
        </w:rPr>
        <w:t xml:space="preserve">Z. </w:t>
      </w:r>
      <w:proofErr w:type="spellStart"/>
      <w:r>
        <w:rPr>
          <w:i/>
          <w:iCs/>
        </w:rPr>
        <w:t>noltei</w:t>
      </w:r>
      <w:proofErr w:type="spellEnd"/>
      <w:r>
        <w:t xml:space="preserve"> meadows at the upper intertidal could be a vulnerable species under the future global warming scenarios, in which heatwaves will be more frequent and intense (Climate Change (IPCC), 2023; Stillman, 2019).</w:t>
      </w:r>
    </w:p>
    <w:p w14:paraId="4D6D1D30" w14:textId="77777777" w:rsidR="006E2672" w:rsidRDefault="00000000">
      <w:pPr>
        <w:pStyle w:val="Corpsdetexte"/>
      </w:pPr>
      <w:r>
        <w:t>The observed tissue degradation, both in the laboratory experiment and the field, can eventually result in decreases of meadows density and cover under recurrent heatwaves. This decline could have cascading effect on species that rely on the provision of refuge and/or food by the seagrass canopy (</w:t>
      </w:r>
      <w:proofErr w:type="spellStart"/>
      <w:r>
        <w:t>Zoffoli</w:t>
      </w:r>
      <w:proofErr w:type="spellEnd"/>
      <w:r>
        <w:t xml:space="preserve"> et al., 2023). Commercially important fish and shellfish populations that rely on seagrass for sustenance and refuge could also be impacted, with negative consequences on local fisheries’ productivity and the livelihoods of coastal communities (Unsworth and Cullen-Unsworth, 2014). Furthermore, as seagrass meadows decline, their capacity to act as a blue carbon sink—critical for climate mitigation—could diminish, contributing to increased atmospheric carbon levels (Armitage and Fourqurean, 2016; Samper-Villarreal et al., 2020). Moreover, the sediment stabilization and wave attenuation could be hampered, ultimately increasing the risk of coastal erosion (Calleja et al., 2007; Folmer et al., 2012; Gacia et al., 1999).</w:t>
      </w:r>
    </w:p>
    <w:p w14:paraId="6E05928D" w14:textId="77777777" w:rsidR="006E2672" w:rsidRDefault="00000000">
      <w:pPr>
        <w:pStyle w:val="Corpsdetexte"/>
      </w:pPr>
      <w:r>
        <w:t xml:space="preserve">Given the combined effects of temperature extremes, eutrophication, and other anthropogenic pressures, targeted management strategies are essential for enhancing </w:t>
      </w:r>
      <w:r>
        <w:lastRenderedPageBreak/>
        <w:t>seagrass resilience (</w:t>
      </w:r>
      <w:proofErr w:type="spellStart"/>
      <w:r>
        <w:t>Loarie</w:t>
      </w:r>
      <w:proofErr w:type="spellEnd"/>
      <w:r>
        <w:t xml:space="preserv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w:t>
      </w:r>
    </w:p>
    <w:p w14:paraId="66D41C70" w14:textId="77777777" w:rsidR="006E2672" w:rsidRDefault="00000000">
      <w:pPr>
        <w:pStyle w:val="Titre1"/>
      </w:pPr>
      <w:bookmarkStart w:id="54" w:name="conclusion"/>
      <w:bookmarkEnd w:id="50"/>
      <w:bookmarkEnd w:id="53"/>
      <w:r>
        <w:t>5. Conclusion</w:t>
      </w:r>
    </w:p>
    <w:p w14:paraId="7253E035" w14:textId="77777777" w:rsidR="006E2672" w:rsidRDefault="00000000">
      <w:pPr>
        <w:pStyle w:val="FirstParagraph"/>
      </w:pPr>
      <w:r>
        <w:t xml:space="preserve">This research investigated the effects of both marine and atmospheric heatwaves on the intertidal seagrass </w:t>
      </w:r>
      <w:r>
        <w:rPr>
          <w:i/>
          <w:iCs/>
        </w:rPr>
        <w:t xml:space="preserve">Zostera </w:t>
      </w:r>
      <w:proofErr w:type="spellStart"/>
      <w:r>
        <w:rPr>
          <w:i/>
          <w:iCs/>
        </w:rPr>
        <w:t>noltei</w:t>
      </w:r>
      <w:proofErr w:type="spellEnd"/>
      <w:r>
        <w:t xml:space="preserve">, a critical component of coastal ecosystems facing increased thermal stress due to climate change. Heat stress effects on seagrass reflectance were documented in the laboratory using a controlled experiment in order to understand how extreme heat events affect seagrass health and to assess the potential of remote sensing for HW impacts monitoring. Our findings revealed that heatwaves lead to substantial declines in seagrass reflectance, particularly in the green and near-infrared regions, likely driven by pigment degradation and structural damage. This change was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We applied and validated the newly developed Seagrass Heat Shock Index to Sentinel-2 satellite images acquired during an heatwave event, and documented the broad spatial impact of heatwaves on seagrass meadows in Quiberon Bay, France. The correlation between heatwave exposure and darkening of seagrass suggests that remote sensing, combined with targeted field observations, can enhance our understanding of ecosystem responses to climate-driven thermal events. These results advocate for integrating regular spectral monitoring into conservation strategies, as it can help predict seagrass resilience and guide adaptive management practices. </w:t>
      </w:r>
      <w:r>
        <w:lastRenderedPageBreak/>
        <w:t>Future work should focus on refining remote sensing tools and examining the cumulative effects of repeated heatwave events to support the conservation of intertidal seagrass meadows in a warming world.</w:t>
      </w:r>
    </w:p>
    <w:p w14:paraId="16CD4432" w14:textId="77777777" w:rsidR="006E2672" w:rsidRDefault="00000000">
      <w:pPr>
        <w:pStyle w:val="Titre1"/>
      </w:pPr>
      <w:bookmarkStart w:id="55" w:name="annexes"/>
      <w:bookmarkEnd w:id="54"/>
      <w:r>
        <w:lastRenderedPageBreak/>
        <w:t>6. Annexes</w:t>
      </w:r>
    </w:p>
    <w:p w14:paraId="5BBDFE37" w14:textId="77777777" w:rsidR="006E2672" w:rsidRDefault="00000000">
      <w:pPr>
        <w:pStyle w:val="Titre2"/>
      </w:pPr>
      <w:bookmarkStart w:id="56" w:name="sec-AnnexeA"/>
      <w:r>
        <w:t>6.1 Annexes A - Temperatures of the experiment</w:t>
      </w:r>
    </w:p>
    <w:p w14:paraId="22CE6BD5" w14:textId="77777777" w:rsidR="006E2672" w:rsidRDefault="00000000">
      <w:pPr>
        <w:pStyle w:val="CaptionedFigure"/>
      </w:pPr>
      <w:r>
        <w:rPr>
          <w:noProof/>
        </w:rPr>
        <w:drawing>
          <wp:inline distT="0" distB="0" distL="0" distR="0" wp14:anchorId="78E36F4B" wp14:editId="483186DB">
            <wp:extent cx="5943600" cy="5943600"/>
            <wp:effectExtent l="0" t="0" r="0" b="0"/>
            <wp:docPr id="118"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9" name="Picture" descr="Figs/High_res/Temperature_compare.png"/>
                    <pic:cNvPicPr>
                      <a:picLocks noChangeAspect="1" noChangeArrowheads="1"/>
                    </pic:cNvPicPr>
                  </pic:nvPicPr>
                  <pic:blipFill>
                    <a:blip r:embed="rId19"/>
                    <a:stretch>
                      <a:fillRect/>
                    </a:stretch>
                  </pic:blipFill>
                  <pic:spPr bwMode="auto">
                    <a:xfrm>
                      <a:off x="0" y="0"/>
                      <a:ext cx="5943600" cy="5943600"/>
                    </a:xfrm>
                    <a:prstGeom prst="rect">
                      <a:avLst/>
                    </a:prstGeom>
                    <a:noFill/>
                    <a:ln w="9525">
                      <a:noFill/>
                      <a:headEnd/>
                      <a:tailEnd/>
                    </a:ln>
                  </pic:spPr>
                </pic:pic>
              </a:graphicData>
            </a:graphic>
          </wp:inline>
        </w:drawing>
      </w:r>
    </w:p>
    <w:p w14:paraId="640B9AC6" w14:textId="77777777" w:rsidR="006E2672" w:rsidRDefault="00000000">
      <w:pPr>
        <w:pStyle w:val="ImageCaption"/>
      </w:pPr>
      <w:proofErr w:type="spellStart"/>
      <w:r>
        <w:t>Annexe</w:t>
      </w:r>
      <w:proofErr w:type="spellEnd"/>
      <w:r>
        <w:t xml:space="preserve"> A1: Comparison of daily maximum temperatures in August measured using an in-situ sensor (blue) and retrieved from </w:t>
      </w:r>
      <w:proofErr w:type="spellStart"/>
      <w:r>
        <w:t>Meteo</w:t>
      </w:r>
      <w:proofErr w:type="spellEnd"/>
      <w:r>
        <w:t xml:space="preserve"> France (orange). The solid line in the middle of the boxplot represents the median, the two ends of the box represent the 25th and 75th percentiles, and the whiskers represent values that are no more than 1.5 times the interquartile range.</w:t>
      </w:r>
    </w:p>
    <w:p w14:paraId="2C3D9A50" w14:textId="77777777" w:rsidR="006E2672" w:rsidRDefault="00000000">
      <w:pPr>
        <w:pStyle w:val="Corpsdetexte"/>
      </w:pPr>
      <w:r>
        <w:t xml:space="preserve">On average, </w:t>
      </w:r>
      <w:r>
        <w:rPr>
          <w:i/>
          <w:iCs/>
        </w:rPr>
        <w:t>in situ</w:t>
      </w:r>
      <w:r>
        <w:t xml:space="preserve"> temperatures were 3 ± 3.2°C higher than those recorded by </w:t>
      </w:r>
      <w:proofErr w:type="spellStart"/>
      <w:r>
        <w:t>Meteo</w:t>
      </w:r>
      <w:proofErr w:type="spellEnd"/>
      <w:r>
        <w:t xml:space="preserve"> France. Additionally, temperatures recorded by </w:t>
      </w:r>
      <w:proofErr w:type="spellStart"/>
      <w:r>
        <w:t>Meteo</w:t>
      </w:r>
      <w:proofErr w:type="spellEnd"/>
      <w:r>
        <w:t xml:space="preserve"> France were more stable </w:t>
      </w:r>
      <w:r>
        <w:lastRenderedPageBreak/>
        <w:t xml:space="preserve">than those from the </w:t>
      </w:r>
      <w:r>
        <w:rPr>
          <w:i/>
          <w:iCs/>
        </w:rPr>
        <w:t>in situ</w:t>
      </w:r>
      <w:r>
        <w:t xml:space="preserve"> sensors, likely due to the sheltered and shaded location of the </w:t>
      </w:r>
      <w:proofErr w:type="spellStart"/>
      <w:r>
        <w:t>Meteo</w:t>
      </w:r>
      <w:proofErr w:type="spellEnd"/>
      <w:r>
        <w:t xml:space="preserve"> France equipment. This difference was used to adjust heatwave temperatures measured by </w:t>
      </w:r>
      <w:proofErr w:type="spellStart"/>
      <w:r>
        <w:t>Meteo</w:t>
      </w:r>
      <w:proofErr w:type="spellEnd"/>
      <w:r>
        <w:t xml:space="preserve"> France to better reflect the conditions experienced by the seagrasses.</w:t>
      </w:r>
    </w:p>
    <w:p w14:paraId="5255B69E" w14:textId="77777777" w:rsidR="006E2672" w:rsidRDefault="00000000">
      <w:pPr>
        <w:pStyle w:val="Titre2"/>
      </w:pPr>
      <w:bookmarkStart w:id="57" w:name="sec-AnnexeB"/>
      <w:bookmarkEnd w:id="56"/>
      <w:r>
        <w:t>6.2 Annexes B - Outputs of GLMM</w:t>
      </w:r>
    </w:p>
    <w:tbl>
      <w:tblPr>
        <w:tblStyle w:val="Table"/>
        <w:tblW w:w="5000" w:type="pct"/>
        <w:tblLayout w:type="fixed"/>
        <w:tblLook w:val="0000" w:firstRow="0" w:lastRow="0" w:firstColumn="0" w:lastColumn="0" w:noHBand="0" w:noVBand="0"/>
      </w:tblPr>
      <w:tblGrid>
        <w:gridCol w:w="9360"/>
      </w:tblGrid>
      <w:tr w:rsidR="006E2672" w14:paraId="35E45357" w14:textId="77777777">
        <w:tc>
          <w:tcPr>
            <w:tcW w:w="7920" w:type="dxa"/>
          </w:tcPr>
          <w:p w14:paraId="3D4BB725" w14:textId="77777777" w:rsidR="006E2672" w:rsidRDefault="00000000">
            <w:pPr>
              <w:pStyle w:val="ImageCaption"/>
              <w:spacing w:before="200"/>
            </w:pPr>
            <w:bookmarkStart w:id="58" w:name="tbl-GLMM"/>
            <w:r>
              <w:t xml:space="preserve">Table 1: Outputs of the </w:t>
            </w:r>
            <w:proofErr w:type="spellStart"/>
            <w:r>
              <w:t>Generalised</w:t>
            </w:r>
            <w:proofErr w:type="spellEnd"/>
            <w:r>
              <w:t xml:space="preserve"> Linear model assessing the relationship between time (days) and the relative change to the control of different vegetation indices (</w:t>
            </w:r>
            <w:hyperlink w:anchor="fig-Exp_Spectral_indices">
              <w:r w:rsidR="006E2672">
                <w:rPr>
                  <w:rStyle w:val="Lienhypertexte"/>
                </w:rPr>
                <w:t>Figure 7</w:t>
              </w:r>
            </w:hyperlink>
            <w:r>
              <w:t xml:space="preserve">, Second Derivative, NDVI, GLI, and SHSI). Each index has two terms: Intercept and Slope. The Intercept represents the expected value of the index at the reference time point (e.g., day 0), while the Slope quantifies the effect of time, indicating how the index changes per unit increase in days. The Estimate represents the posterior mean of the regression coefficient, while Std. Error indicates its standard deviation. The Lower 95% CI and Upper 95% CI define the 95% credible interval, showing the range within which the true parameter is expected to fall with 95% probability. The </w:t>
            </w:r>
            <w:proofErr w:type="spellStart"/>
            <w:r>
              <w:t>Rhat</w:t>
            </w:r>
            <w:proofErr w:type="spellEnd"/>
            <w:r>
              <w:t xml:space="preserve"> statistic assesses model convergence (values close to 1 indicate proper convergence). </w:t>
            </w:r>
            <w:proofErr w:type="spellStart"/>
            <w:r>
              <w:t>Bulk_ESS</w:t>
            </w:r>
            <w:proofErr w:type="spellEnd"/>
            <w:r>
              <w:t xml:space="preserve"> and </w:t>
            </w:r>
            <w:proofErr w:type="spellStart"/>
            <w:r>
              <w:t>Tail_ESS</w:t>
            </w:r>
            <w:proofErr w:type="spellEnd"/>
            <w:r>
              <w:t xml:space="preserve"> denote the effective sample sizes for bulk estimation and tail uncertainty, respectively, reflecting the reliability of the posterior estimates.</w:t>
            </w:r>
          </w:p>
          <w:tbl>
            <w:tblPr>
              <w:tblW w:w="4750" w:type="pct"/>
              <w:jc w:val="center"/>
              <w:tblLook w:val="0420" w:firstRow="1" w:lastRow="0" w:firstColumn="0" w:lastColumn="0" w:noHBand="0" w:noVBand="1"/>
            </w:tblPr>
            <w:tblGrid>
              <w:gridCol w:w="966"/>
              <w:gridCol w:w="966"/>
              <w:gridCol w:w="965"/>
              <w:gridCol w:w="965"/>
              <w:gridCol w:w="965"/>
              <w:gridCol w:w="965"/>
              <w:gridCol w:w="965"/>
              <w:gridCol w:w="965"/>
              <w:gridCol w:w="965"/>
            </w:tblGrid>
            <w:tr w:rsidR="006E2672" w14:paraId="0CF17A38" w14:textId="77777777">
              <w:trPr>
                <w:tblHeader/>
                <w:jc w:val="center"/>
              </w:trPr>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BDE7E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Index</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72EA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Term</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4FE4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Estimate</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AD1B0"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r>
                    <w:rPr>
                      <w:rFonts w:ascii="Arial" w:eastAsia="Arial" w:hAnsi="Arial" w:cs="Arial"/>
                      <w:b/>
                      <w:color w:val="000000"/>
                      <w:sz w:val="22"/>
                      <w:szCs w:val="22"/>
                    </w:rPr>
                    <w:t>Std.Error</w:t>
                  </w:r>
                  <w:proofErr w:type="spellEnd"/>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B311F"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Lower 95% CI</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88201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Upper 95% CI</w:t>
                  </w:r>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4FF0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r>
                    <w:rPr>
                      <w:rFonts w:ascii="Arial" w:eastAsia="Arial" w:hAnsi="Arial" w:cs="Arial"/>
                      <w:b/>
                      <w:color w:val="000000"/>
                      <w:sz w:val="22"/>
                      <w:szCs w:val="22"/>
                    </w:rPr>
                    <w:t>Rhat</w:t>
                  </w:r>
                  <w:proofErr w:type="spellEnd"/>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8B18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r>
                    <w:rPr>
                      <w:rFonts w:ascii="Arial" w:eastAsia="Arial" w:hAnsi="Arial" w:cs="Arial"/>
                      <w:b/>
                      <w:color w:val="000000"/>
                      <w:sz w:val="22"/>
                      <w:szCs w:val="22"/>
                    </w:rPr>
                    <w:t>Bulk_ESS</w:t>
                  </w:r>
                  <w:proofErr w:type="spellEnd"/>
                </w:p>
              </w:tc>
              <w:tc>
                <w:tcPr>
                  <w:tcW w:w="3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000F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proofErr w:type="spellStart"/>
                  <w:r>
                    <w:rPr>
                      <w:rFonts w:ascii="Arial" w:eastAsia="Arial" w:hAnsi="Arial" w:cs="Arial"/>
                      <w:b/>
                      <w:color w:val="000000"/>
                      <w:sz w:val="22"/>
                      <w:szCs w:val="22"/>
                    </w:rPr>
                    <w:t>Tail_ESS</w:t>
                  </w:r>
                  <w:proofErr w:type="spellEnd"/>
                </w:p>
              </w:tc>
            </w:tr>
            <w:tr w:rsidR="006E2672" w14:paraId="6A47FE7B" w14:textId="77777777">
              <w:trPr>
                <w:jc w:val="center"/>
              </w:trPr>
              <w:tc>
                <w:tcPr>
                  <w:tcW w:w="36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EA673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Second Derivative</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5D37E"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F329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14659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ABF4E"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D9DE90"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1.29</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3C223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A558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5,296.50</w:t>
                  </w:r>
                </w:p>
              </w:tc>
              <w:tc>
                <w:tcPr>
                  <w:tcW w:w="3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FEDF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3,668.84</w:t>
                  </w:r>
                </w:p>
              </w:tc>
            </w:tr>
            <w:tr w:rsidR="006E2672" w14:paraId="7A30D762"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FA9CE8"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626386"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90CD1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8DB26"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9C1AF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C27D1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45F0F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3AE9A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31,580.27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21CFE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12,321.97</w:t>
                  </w:r>
                </w:p>
              </w:tc>
            </w:tr>
            <w:tr w:rsidR="006E2672" w14:paraId="42644BF9" w14:textId="77777777">
              <w:trPr>
                <w:jc w:val="center"/>
              </w:trPr>
              <w:tc>
                <w:tcPr>
                  <w:tcW w:w="3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3B2F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NDVI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B5FBB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86354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B5EB09"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068BB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2BB8D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5EC83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3434D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3,436.59</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CA2F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2,239.77</w:t>
                  </w:r>
                </w:p>
              </w:tc>
            </w:tr>
            <w:tr w:rsidR="006E2672" w14:paraId="734129CE"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C3676D"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637D8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D2FE4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71D50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05D199"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46979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31B6B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3AB1C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32,903.97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C283A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13,585.03</w:t>
                  </w:r>
                </w:p>
              </w:tc>
            </w:tr>
            <w:tr w:rsidR="006E2672" w14:paraId="3FE1527E" w14:textId="77777777">
              <w:trPr>
                <w:jc w:val="center"/>
              </w:trPr>
              <w:tc>
                <w:tcPr>
                  <w:tcW w:w="360" w:type="dxa"/>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EDAE0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GLI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396B6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DA1EB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DA2E14"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265AA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70AB0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5D4C9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50D13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3,953.87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761A7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2,318.63</w:t>
                  </w:r>
                </w:p>
              </w:tc>
            </w:tr>
            <w:tr w:rsidR="006E2672" w14:paraId="0A7F2308" w14:textId="77777777">
              <w:trPr>
                <w:jc w:val="center"/>
              </w:trPr>
              <w:tc>
                <w:tcPr>
                  <w:tcW w:w="36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2685C3"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E6697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831E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50201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EB3D9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-0.32</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A7792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024E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3F02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27,154.17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500FE9"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13,247.23</w:t>
                  </w:r>
                </w:p>
              </w:tc>
            </w:tr>
            <w:tr w:rsidR="006E2672" w14:paraId="3A056621" w14:textId="77777777">
              <w:trPr>
                <w:jc w:val="center"/>
              </w:trPr>
              <w:tc>
                <w:tcPr>
                  <w:tcW w:w="36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FA506"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SHSI</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1ABD1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Intercept</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D4A9A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-1.65</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7DD33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C097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-3.84</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A508E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0.37</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546A80"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869AD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7,862.03</w:t>
                  </w:r>
                </w:p>
              </w:tc>
              <w:tc>
                <w:tcPr>
                  <w:tcW w:w="3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EE60D4"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8,468.20</w:t>
                  </w:r>
                </w:p>
              </w:tc>
            </w:tr>
            <w:tr w:rsidR="006E2672" w14:paraId="08D5FC14" w14:textId="77777777">
              <w:trPr>
                <w:jc w:val="center"/>
              </w:trPr>
              <w:tc>
                <w:tcPr>
                  <w:tcW w:w="360"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BD3E8"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D55E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Slope</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56B0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83C9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0.20</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E9648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1.42</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1F8F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2.22</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7F8F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7C7A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24,434.98</w:t>
                  </w:r>
                </w:p>
              </w:tc>
              <w:tc>
                <w:tcPr>
                  <w:tcW w:w="3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3C914"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13,093.41</w:t>
                  </w:r>
                </w:p>
              </w:tc>
            </w:tr>
            <w:bookmarkEnd w:id="58"/>
          </w:tbl>
          <w:p w14:paraId="14344FC1" w14:textId="77777777" w:rsidR="00870F46" w:rsidRDefault="00870F46">
            <w:pPr>
              <w:spacing w:after="0"/>
              <w:rPr>
                <w:rFonts w:asciiTheme="minorHAnsi" w:hAnsiTheme="minorHAnsi"/>
              </w:rPr>
            </w:pPr>
          </w:p>
        </w:tc>
      </w:tr>
    </w:tbl>
    <w:p w14:paraId="135DFB3D" w14:textId="77777777" w:rsidR="006E2672" w:rsidRDefault="00000000">
      <w:pPr>
        <w:pStyle w:val="Titre2"/>
      </w:pPr>
      <w:bookmarkStart w:id="59" w:name="sec-AnnexeC"/>
      <w:bookmarkEnd w:id="57"/>
      <w:r>
        <w:lastRenderedPageBreak/>
        <w:t>6.3 Annexes C - Outputs of GAM</w:t>
      </w:r>
    </w:p>
    <w:tbl>
      <w:tblPr>
        <w:tblStyle w:val="Table"/>
        <w:tblW w:w="5000" w:type="pct"/>
        <w:tblLayout w:type="fixed"/>
        <w:tblLook w:val="0000" w:firstRow="0" w:lastRow="0" w:firstColumn="0" w:lastColumn="0" w:noHBand="0" w:noVBand="0"/>
      </w:tblPr>
      <w:tblGrid>
        <w:gridCol w:w="9360"/>
      </w:tblGrid>
      <w:tr w:rsidR="006E2672" w14:paraId="03F3F1CB" w14:textId="77777777">
        <w:tc>
          <w:tcPr>
            <w:tcW w:w="7920" w:type="dxa"/>
          </w:tcPr>
          <w:p w14:paraId="177C0358" w14:textId="77777777" w:rsidR="006E2672" w:rsidRDefault="00000000">
            <w:pPr>
              <w:pStyle w:val="ImageCaption"/>
              <w:spacing w:before="200"/>
            </w:pPr>
            <w:bookmarkStart w:id="60" w:name="tbl-GAM"/>
            <w:r>
              <w:t>Table 2: Outputs of the Generalized Additive Model (GAM) assessing the relationship between emersion time per day (hours) and the relative change in SHSI (</w:t>
            </w:r>
            <w:hyperlink w:anchor="fig-GAM_Emersion">
              <w:r w:rsidR="006E2672">
                <w:rPr>
                  <w:rStyle w:val="Lienhypertexte"/>
                </w:rPr>
                <w:t>Figure 12</w:t>
              </w:r>
            </w:hyperlink>
            <w:r>
              <w:t>). The Intercept represents the expected SHSI value at the reference level of emersion time. The Estimate indicates the mean effect, with its Standard Error quantifying variability. The t-value and p-value assess statistical significance. The smooth term captures the nonlinear effect of emersion time, where the effective degrees of freedom (</w:t>
            </w:r>
            <w:proofErr w:type="spellStart"/>
            <w:r>
              <w:t>edf</w:t>
            </w:r>
            <w:proofErr w:type="spellEnd"/>
            <w:r>
              <w:t>) reflect the function’s complexity. The F-value and p-value evaluate the significance of this effect. Model fit is described by the adjusted R², deviance explained, and Generalized Cross-Validation (GCV) score, while N represents the sample size.</w:t>
            </w:r>
          </w:p>
          <w:tbl>
            <w:tblPr>
              <w:tblW w:w="0" w:type="auto"/>
              <w:jc w:val="center"/>
              <w:tblLayout w:type="fixed"/>
              <w:tblLook w:val="0420" w:firstRow="1" w:lastRow="0" w:firstColumn="0" w:lastColumn="0" w:noHBand="0" w:noVBand="1"/>
            </w:tblPr>
            <w:tblGrid>
              <w:gridCol w:w="2881"/>
              <w:gridCol w:w="2489"/>
              <w:gridCol w:w="1328"/>
              <w:gridCol w:w="1364"/>
              <w:gridCol w:w="1206"/>
              <w:gridCol w:w="1181"/>
              <w:gridCol w:w="576"/>
            </w:tblGrid>
            <w:tr w:rsidR="006E2672" w14:paraId="10E4CDC4" w14:textId="77777777">
              <w:trPr>
                <w:tblHeade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98F29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Component</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9EE6A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Term</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3EBDD"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Estimate</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7C4A8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Std Error</w:t>
                  </w:r>
                </w:p>
              </w:tc>
              <w:tc>
                <w:tcPr>
                  <w:tcW w:w="120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44E0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t-value</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721784"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p-value</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FD0CE8"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r>
            <w:tr w:rsidR="006E2672" w14:paraId="7C96A562"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4B6957F"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parametric coefficients</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91F2F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21DE2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0.488</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54F08F"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0.006</w:t>
                  </w:r>
                </w:p>
              </w:tc>
              <w:tc>
                <w:tcPr>
                  <w:tcW w:w="120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9D8F1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81.574</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8749F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&lt;0.0001</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2E2036"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6E2672" w14:paraId="60AABD3A"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53A4C7"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Component</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E529A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Term</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7BD0D2"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proofErr w:type="spellStart"/>
                  <w:r>
                    <w:rPr>
                      <w:rFonts w:ascii="Arial" w:eastAsia="Arial" w:hAnsi="Arial" w:cs="Arial"/>
                      <w:b/>
                      <w:color w:val="000000"/>
                      <w:sz w:val="22"/>
                      <w:szCs w:val="22"/>
                    </w:rPr>
                    <w:t>edf</w:t>
                  </w:r>
                  <w:proofErr w:type="spellEnd"/>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06EA5F"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 xml:space="preserve">Ref. </w:t>
                  </w:r>
                  <w:proofErr w:type="spellStart"/>
                  <w:r>
                    <w:rPr>
                      <w:rFonts w:ascii="Arial" w:eastAsia="Arial" w:hAnsi="Arial" w:cs="Arial"/>
                      <w:b/>
                      <w:color w:val="000000"/>
                      <w:sz w:val="22"/>
                      <w:szCs w:val="22"/>
                    </w:rPr>
                    <w:t>df</w:t>
                  </w:r>
                  <w:proofErr w:type="spellEnd"/>
                </w:p>
              </w:tc>
              <w:tc>
                <w:tcPr>
                  <w:tcW w:w="120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5A0F70"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F-value</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0EF5C1"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p-value</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F6E48C" w14:textId="77777777" w:rsidR="006E267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r>
            <w:tr w:rsidR="006E2672" w14:paraId="700726EE" w14:textId="77777777">
              <w:trPr>
                <w:jc w:val="center"/>
              </w:trPr>
              <w:tc>
                <w:tcPr>
                  <w:tcW w:w="28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2A4958"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smooth terms</w:t>
                  </w:r>
                </w:p>
              </w:tc>
              <w:tc>
                <w:tcPr>
                  <w:tcW w:w="2489"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4C5E5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t>
                  </w:r>
                  <w:proofErr w:type="spellStart"/>
                  <w:r>
                    <w:rPr>
                      <w:rFonts w:ascii="Arial" w:eastAsia="Arial" w:hAnsi="Arial" w:cs="Arial"/>
                      <w:color w:val="000000"/>
                      <w:sz w:val="22"/>
                      <w:szCs w:val="22"/>
                    </w:rPr>
                    <w:t>emersion_per_day</w:t>
                  </w:r>
                  <w:proofErr w:type="spellEnd"/>
                  <w:r>
                    <w:rPr>
                      <w:rFonts w:ascii="Arial" w:eastAsia="Arial" w:hAnsi="Arial" w:cs="Arial"/>
                      <w:color w:val="000000"/>
                      <w:sz w:val="22"/>
                      <w:szCs w:val="22"/>
                    </w:rPr>
                    <w:t>)</w:t>
                  </w:r>
                </w:p>
              </w:tc>
              <w:tc>
                <w:tcPr>
                  <w:tcW w:w="13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CBA08B"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4.953</w:t>
                  </w:r>
                </w:p>
              </w:tc>
              <w:tc>
                <w:tcPr>
                  <w:tcW w:w="1364"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DAE12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4.999</w:t>
                  </w:r>
                </w:p>
              </w:tc>
              <w:tc>
                <w:tcPr>
                  <w:tcW w:w="120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FC0A9A"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973.282</w:t>
                  </w:r>
                </w:p>
              </w:tc>
              <w:tc>
                <w:tcPr>
                  <w:tcW w:w="1181"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2F9EB3"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&lt;0.0001</w:t>
                  </w:r>
                </w:p>
              </w:tc>
              <w:tc>
                <w:tcPr>
                  <w:tcW w:w="576"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E7E9F5"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r>
            <w:tr w:rsidR="006E2672" w:rsidRPr="0084175F" w14:paraId="49A9FB4D" w14:textId="77777777">
              <w:trPr>
                <w:jc w:val="center"/>
              </w:trPr>
              <w:tc>
                <w:tcPr>
                  <w:tcW w:w="11025" w:type="dxa"/>
                  <w:gridSpan w:val="7"/>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6D6AE0" w14:textId="77777777" w:rsidR="006E2672" w:rsidRPr="00EE3A02"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lang w:val="fr-FR"/>
                    </w:rPr>
                  </w:pPr>
                  <w:proofErr w:type="spellStart"/>
                  <w:r w:rsidRPr="00EE3A02">
                    <w:rPr>
                      <w:rFonts w:ascii="Arial" w:eastAsia="Arial" w:hAnsi="Arial" w:cs="Arial"/>
                      <w:color w:val="000000"/>
                      <w:sz w:val="22"/>
                      <w:szCs w:val="22"/>
                      <w:lang w:val="fr-FR"/>
                    </w:rPr>
                    <w:t>Signif</w:t>
                  </w:r>
                  <w:proofErr w:type="spellEnd"/>
                  <w:r w:rsidRPr="00EE3A02">
                    <w:rPr>
                      <w:rFonts w:ascii="Arial" w:eastAsia="Arial" w:hAnsi="Arial" w:cs="Arial"/>
                      <w:color w:val="000000"/>
                      <w:sz w:val="22"/>
                      <w:szCs w:val="22"/>
                      <w:lang w:val="fr-FR"/>
                    </w:rPr>
                    <w:t>. codes: 0 &lt;= '***' &lt; 0.001 &lt; '**' &lt; 0.01 &lt; '*' &lt; 0.05</w:t>
                  </w:r>
                </w:p>
              </w:tc>
            </w:tr>
            <w:tr w:rsidR="006E2672" w:rsidRPr="0084175F" w14:paraId="2B202B81" w14:textId="77777777">
              <w:trPr>
                <w:jc w:val="center"/>
              </w:trPr>
              <w:tc>
                <w:tcPr>
                  <w:tcW w:w="11025"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1A9057" w14:textId="77777777" w:rsidR="006E2672" w:rsidRPr="00EE3A02" w:rsidRDefault="006E267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lang w:val="fr-FR"/>
                    </w:rPr>
                  </w:pPr>
                </w:p>
              </w:tc>
            </w:tr>
            <w:tr w:rsidR="006E2672" w14:paraId="6AFE42F8" w14:textId="77777777">
              <w:trPr>
                <w:jc w:val="center"/>
              </w:trPr>
              <w:tc>
                <w:tcPr>
                  <w:tcW w:w="11025"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31BBCC"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Adjusted R-squared: 0.357, Deviance explained 0.357</w:t>
                  </w:r>
                </w:p>
              </w:tc>
            </w:tr>
            <w:tr w:rsidR="006E2672" w14:paraId="62F7FFCD" w14:textId="77777777">
              <w:trPr>
                <w:jc w:val="center"/>
              </w:trPr>
              <w:tc>
                <w:tcPr>
                  <w:tcW w:w="11025"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5C1756" w14:textId="77777777" w:rsidR="006E2672"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GCV : 0.313, Scale </w:t>
                  </w:r>
                  <w:proofErr w:type="spellStart"/>
                  <w:r>
                    <w:rPr>
                      <w:rFonts w:ascii="Arial" w:eastAsia="Arial" w:hAnsi="Arial" w:cs="Arial"/>
                      <w:color w:val="000000"/>
                      <w:sz w:val="22"/>
                      <w:szCs w:val="22"/>
                    </w:rPr>
                    <w:t>est</w:t>
                  </w:r>
                  <w:proofErr w:type="spellEnd"/>
                  <w:r>
                    <w:rPr>
                      <w:rFonts w:ascii="Arial" w:eastAsia="Arial" w:hAnsi="Arial" w:cs="Arial"/>
                      <w:color w:val="000000"/>
                      <w:sz w:val="22"/>
                      <w:szCs w:val="22"/>
                    </w:rPr>
                    <w:t>: 0.313, N: 8768</w:t>
                  </w:r>
                </w:p>
              </w:tc>
            </w:tr>
            <w:bookmarkEnd w:id="60"/>
          </w:tbl>
          <w:p w14:paraId="5F1D5933" w14:textId="77777777" w:rsidR="00870F46" w:rsidRDefault="00870F46">
            <w:pPr>
              <w:spacing w:after="0"/>
              <w:rPr>
                <w:rFonts w:asciiTheme="minorHAnsi" w:hAnsiTheme="minorHAnsi"/>
              </w:rPr>
            </w:pPr>
          </w:p>
        </w:tc>
      </w:tr>
    </w:tbl>
    <w:p w14:paraId="408F9A50" w14:textId="77777777" w:rsidR="006E2672" w:rsidRDefault="00000000">
      <w:pPr>
        <w:pStyle w:val="Titre1"/>
      </w:pPr>
      <w:bookmarkStart w:id="61" w:name="references"/>
      <w:bookmarkEnd w:id="55"/>
      <w:bookmarkEnd w:id="59"/>
      <w:r>
        <w:t>7. References</w:t>
      </w:r>
    </w:p>
    <w:p w14:paraId="601FD749" w14:textId="77777777" w:rsidR="006E2672" w:rsidRDefault="00000000">
      <w:pPr>
        <w:pStyle w:val="Bibliographie"/>
      </w:pPr>
      <w:bookmarkStart w:id="62" w:name="ref-allakhverdiev2008heat"/>
      <w:bookmarkStart w:id="63" w:name="refs"/>
      <w:proofErr w:type="spellStart"/>
      <w:r>
        <w:t>Allakhverdiev</w:t>
      </w:r>
      <w:proofErr w:type="spellEnd"/>
      <w:r>
        <w:t>, S.I., Kreslavski, V.D., Klimov, V.V., Los, D.A., Carpentier, R., Mohanty, P., 2008. Heat stress: An overview of molecular responses in photosynthesis. Photosynthesis research 98, 541–550.</w:t>
      </w:r>
    </w:p>
    <w:p w14:paraId="4092FEC2" w14:textId="77777777" w:rsidR="006E2672" w:rsidRDefault="00000000">
      <w:pPr>
        <w:pStyle w:val="Bibliographie"/>
      </w:pPr>
      <w:bookmarkStart w:id="64" w:name="ref-arias2018marine"/>
      <w:bookmarkEnd w:id="62"/>
      <w:r>
        <w:t xml:space="preserve">Arias-Ortiz, A., Serrano, O., </w:t>
      </w:r>
      <w:proofErr w:type="spellStart"/>
      <w:r>
        <w:t>Masqué</w:t>
      </w:r>
      <w:proofErr w:type="spellEnd"/>
      <w:r>
        <w:t xml:space="preserve">, P., Lavery, P.S., Mueller, U., Kendrick, G.A., </w:t>
      </w:r>
      <w:proofErr w:type="spellStart"/>
      <w:r>
        <w:t>Rozaimi</w:t>
      </w:r>
      <w:proofErr w:type="spellEnd"/>
      <w:r>
        <w:t xml:space="preserve">, M., Esteban, A., Fourqurean, J.W., </w:t>
      </w:r>
      <w:proofErr w:type="spellStart"/>
      <w:r>
        <w:t>Marbà</w:t>
      </w:r>
      <w:proofErr w:type="spellEnd"/>
      <w:r>
        <w:t>, N., others, 2018. A marine heatwave drives massive losses from the world’s largest seagrass carbon stocks. Nature Climate Change 8, 338–344.</w:t>
      </w:r>
    </w:p>
    <w:p w14:paraId="62444040" w14:textId="77777777" w:rsidR="006E2672" w:rsidRPr="00EE3A02" w:rsidRDefault="00000000">
      <w:pPr>
        <w:pStyle w:val="Bibliographie"/>
        <w:rPr>
          <w:lang w:val="es-ES"/>
        </w:rPr>
      </w:pPr>
      <w:bookmarkStart w:id="65" w:name="ref-armitage2016carbon"/>
      <w:bookmarkEnd w:id="64"/>
      <w:r>
        <w:t xml:space="preserve">Armitage, A., Fourqurean, J.W., 2016. Carbon storage in seagrass soils: Long-term nutrient history exceeds the effects of near-term nutrient enrichment. </w:t>
      </w:r>
      <w:proofErr w:type="spellStart"/>
      <w:r w:rsidRPr="00EE3A02">
        <w:rPr>
          <w:lang w:val="es-ES"/>
        </w:rPr>
        <w:t>Biogeosciences</w:t>
      </w:r>
      <w:proofErr w:type="spellEnd"/>
      <w:r w:rsidRPr="00EE3A02">
        <w:rPr>
          <w:lang w:val="es-ES"/>
        </w:rPr>
        <w:t xml:space="preserve"> 13, 313–321.</w:t>
      </w:r>
    </w:p>
    <w:p w14:paraId="6F61C70A" w14:textId="77777777" w:rsidR="006E2672" w:rsidRDefault="00000000">
      <w:pPr>
        <w:pStyle w:val="Bibliographie"/>
      </w:pPr>
      <w:bookmarkStart w:id="66" w:name="ref-bastos2023high"/>
      <w:bookmarkEnd w:id="65"/>
      <w:r w:rsidRPr="00EE3A02">
        <w:rPr>
          <w:lang w:val="es-ES"/>
        </w:rPr>
        <w:lastRenderedPageBreak/>
        <w:t xml:space="preserve">Bastos, M., </w:t>
      </w:r>
      <w:proofErr w:type="spellStart"/>
      <w:r w:rsidRPr="00EE3A02">
        <w:rPr>
          <w:lang w:val="es-ES"/>
        </w:rPr>
        <w:t>Roebeling</w:t>
      </w:r>
      <w:proofErr w:type="spellEnd"/>
      <w:r w:rsidRPr="00EE3A02">
        <w:rPr>
          <w:lang w:val="es-ES"/>
        </w:rPr>
        <w:t xml:space="preserve">, P., Alves, F.L., Villasante, S., </w:t>
      </w:r>
      <w:proofErr w:type="spellStart"/>
      <w:r w:rsidRPr="00EE3A02">
        <w:rPr>
          <w:lang w:val="es-ES"/>
        </w:rPr>
        <w:t>Magalhães</w:t>
      </w:r>
      <w:proofErr w:type="spellEnd"/>
      <w:r w:rsidRPr="00EE3A02">
        <w:rPr>
          <w:lang w:val="es-ES"/>
        </w:rPr>
        <w:t xml:space="preserve"> </w:t>
      </w:r>
      <w:proofErr w:type="spellStart"/>
      <w:r w:rsidRPr="00EE3A02">
        <w:rPr>
          <w:lang w:val="es-ES"/>
        </w:rPr>
        <w:t>Filho</w:t>
      </w:r>
      <w:proofErr w:type="spellEnd"/>
      <w:r w:rsidRPr="00EE3A02">
        <w:rPr>
          <w:lang w:val="es-ES"/>
        </w:rPr>
        <w:t xml:space="preserve">, L., 2023. </w:t>
      </w:r>
      <w:r>
        <w:t xml:space="preserve">High risk water pollution hazards affecting </w:t>
      </w:r>
      <w:proofErr w:type="spellStart"/>
      <w:r>
        <w:t>aveiro</w:t>
      </w:r>
      <w:proofErr w:type="spellEnd"/>
      <w:r>
        <w:t xml:space="preserve"> coastal lagoon (</w:t>
      </w:r>
      <w:proofErr w:type="spellStart"/>
      <w:r>
        <w:t>portugal</w:t>
      </w:r>
      <w:proofErr w:type="spellEnd"/>
      <w:r>
        <w:t xml:space="preserve">)–a habitat risk assessment using </w:t>
      </w:r>
      <w:proofErr w:type="spellStart"/>
      <w:r>
        <w:t>InVEST</w:t>
      </w:r>
      <w:proofErr w:type="spellEnd"/>
      <w:r>
        <w:t>. Ecological Informatics 76, 102144.</w:t>
      </w:r>
    </w:p>
    <w:p w14:paraId="151DCB23" w14:textId="77777777" w:rsidR="006E2672" w:rsidRDefault="00000000">
      <w:pPr>
        <w:pStyle w:val="Bibliographie"/>
      </w:pPr>
      <w:bookmarkStart w:id="67" w:name="ref-borum2004european"/>
      <w:bookmarkEnd w:id="66"/>
      <w:r>
        <w:t>Borum, J., Duarte, C.M., Krause-Jensen, D., Greve, T.M., 2004. European seagrasses: An introduction to monitoring and management. Monitoring; Managing of European Seagrasses Project.</w:t>
      </w:r>
    </w:p>
    <w:p w14:paraId="3306C4F9" w14:textId="77777777" w:rsidR="006E2672" w:rsidRDefault="00000000">
      <w:pPr>
        <w:pStyle w:val="Bibliographie"/>
      </w:pPr>
      <w:bookmarkStart w:id="68" w:name="ref-boyer1988senescence"/>
      <w:bookmarkEnd w:id="67"/>
      <w:r>
        <w:t>Boyer, M., Miller, J., Belanger, M., Hare, E., Wu, J., 1988. Senescence and spectral reflectance in leaves of northern pin oak (</w:t>
      </w:r>
      <w:proofErr w:type="spellStart"/>
      <w:r>
        <w:t>quercus</w:t>
      </w:r>
      <w:proofErr w:type="spellEnd"/>
      <w:r>
        <w:t xml:space="preserve"> palustris </w:t>
      </w:r>
      <w:proofErr w:type="spellStart"/>
      <w:r>
        <w:t>muenchh</w:t>
      </w:r>
      <w:proofErr w:type="spellEnd"/>
      <w:r>
        <w:t>.). Remote Sensing of Environment 25, 71–87.</w:t>
      </w:r>
    </w:p>
    <w:p w14:paraId="25BF5455" w14:textId="77777777" w:rsidR="006E2672" w:rsidRDefault="00000000">
      <w:pPr>
        <w:pStyle w:val="Bibliographie"/>
      </w:pPr>
      <w:bookmarkStart w:id="69" w:name="ref-brun2003effect"/>
      <w:bookmarkEnd w:id="68"/>
      <w:r>
        <w:t xml:space="preserve">Brun, F.G., Vergara, J.J., Navarro, G., Hernández, I., Pérez-Lloréns, J.L., 2003. Effect of shading by </w:t>
      </w:r>
      <w:proofErr w:type="spellStart"/>
      <w:r>
        <w:t>ulva</w:t>
      </w:r>
      <w:proofErr w:type="spellEnd"/>
      <w:r>
        <w:t xml:space="preserve"> rigida canopies on growth and carbon balance of the seagrass </w:t>
      </w:r>
      <w:proofErr w:type="spellStart"/>
      <w:r>
        <w:t>zostera</w:t>
      </w:r>
      <w:proofErr w:type="spellEnd"/>
      <w:r>
        <w:t xml:space="preserve"> </w:t>
      </w:r>
      <w:proofErr w:type="spellStart"/>
      <w:r>
        <w:t>noltii</w:t>
      </w:r>
      <w:proofErr w:type="spellEnd"/>
      <w:r>
        <w:t>. Marine Ecology Progress Series 265, 85–96.</w:t>
      </w:r>
    </w:p>
    <w:p w14:paraId="38130C7B" w14:textId="77777777" w:rsidR="006E2672" w:rsidRDefault="00000000">
      <w:pPr>
        <w:pStyle w:val="Bibliographie"/>
      </w:pPr>
      <w:bookmarkStart w:id="70" w:name="ref-JSSv100i05"/>
      <w:bookmarkEnd w:id="69"/>
      <w:proofErr w:type="spellStart"/>
      <w:r>
        <w:t>Bürkner</w:t>
      </w:r>
      <w:proofErr w:type="spellEnd"/>
      <w:r>
        <w:t xml:space="preserve">, P.-C., 2021. Bayesian item response modeling in r with brms and stan. Journal of Statistical Software 100, 1–54. </w:t>
      </w:r>
      <w:hyperlink r:id="rId20">
        <w:r w:rsidR="006E2672">
          <w:rPr>
            <w:rStyle w:val="Lienhypertexte"/>
          </w:rPr>
          <w:t>https://doi.org/10.18637/jss.v100.i05</w:t>
        </w:r>
      </w:hyperlink>
    </w:p>
    <w:p w14:paraId="4DD2AF16" w14:textId="77777777" w:rsidR="006E2672" w:rsidRDefault="00000000">
      <w:pPr>
        <w:pStyle w:val="Bibliographie"/>
      </w:pPr>
      <w:bookmarkStart w:id="71" w:name="ref-cabaco2009individual"/>
      <w:bookmarkEnd w:id="70"/>
      <w:proofErr w:type="spellStart"/>
      <w:r>
        <w:t>Cabaço</w:t>
      </w:r>
      <w:proofErr w:type="spellEnd"/>
      <w:r>
        <w:t xml:space="preserve">, S., </w:t>
      </w:r>
      <w:proofErr w:type="spellStart"/>
      <w:r>
        <w:t>Machás</w:t>
      </w:r>
      <w:proofErr w:type="spellEnd"/>
      <w:r>
        <w:t xml:space="preserve">, R., Santos, R., 2009. Individual and population plasticity of the seagrass </w:t>
      </w:r>
      <w:proofErr w:type="spellStart"/>
      <w:r>
        <w:t>zostera</w:t>
      </w:r>
      <w:proofErr w:type="spellEnd"/>
      <w:r>
        <w:t xml:space="preserve"> </w:t>
      </w:r>
      <w:proofErr w:type="spellStart"/>
      <w:r>
        <w:t>noltii</w:t>
      </w:r>
      <w:proofErr w:type="spellEnd"/>
      <w:r>
        <w:t xml:space="preserve"> along a vertical intertidal gradient. Estuarine, Coastal and Shelf Science 82, 301–308.</w:t>
      </w:r>
    </w:p>
    <w:p w14:paraId="2693C81E" w14:textId="77777777" w:rsidR="006E2672" w:rsidRDefault="00000000">
      <w:pPr>
        <w:pStyle w:val="Bibliographie"/>
      </w:pPr>
      <w:bookmarkStart w:id="72" w:name="ref-calleja2007relationship"/>
      <w:bookmarkEnd w:id="71"/>
      <w:r>
        <w:t>Calleja, M.L., Marbà, N., Duarte, C.M., 2007. The relationship between seagrass (</w:t>
      </w:r>
      <w:proofErr w:type="spellStart"/>
      <w:r>
        <w:t>posidonia</w:t>
      </w:r>
      <w:proofErr w:type="spellEnd"/>
      <w:r>
        <w:t xml:space="preserve"> </w:t>
      </w:r>
      <w:proofErr w:type="spellStart"/>
      <w:r>
        <w:t>oceanica</w:t>
      </w:r>
      <w:proofErr w:type="spellEnd"/>
      <w:r>
        <w:t>) decline and sulfide porewater concentration in carbonate sediments. Estuarine, Coastal and Shelf Science 73, 583–588.</w:t>
      </w:r>
    </w:p>
    <w:p w14:paraId="0E70FAAC" w14:textId="77777777" w:rsidR="006E2672" w:rsidRDefault="00000000">
      <w:pPr>
        <w:pStyle w:val="Bibliographie"/>
      </w:pPr>
      <w:bookmarkStart w:id="73" w:name="ref-carlson2018sea"/>
      <w:bookmarkEnd w:id="72"/>
      <w:r>
        <w:t xml:space="preserve">Carlson, D.F., Yarbro, L.A., Scolaro, S., Poniatowski, M., McGee-Absten, V., Carlson Jr, P.R., 2018. Sea surface temperatures and seagrass mortality in </w:t>
      </w:r>
      <w:proofErr w:type="spellStart"/>
      <w:r>
        <w:t>florida</w:t>
      </w:r>
      <w:proofErr w:type="spellEnd"/>
      <w:r>
        <w:t xml:space="preserve"> bay: Spatial and temporal patterns discerned from MODIS and AVHRR data. Remote Sensing of Environment 208, 171–188.</w:t>
      </w:r>
    </w:p>
    <w:p w14:paraId="1F4D4ECF" w14:textId="77777777" w:rsidR="006E2672" w:rsidRDefault="00000000">
      <w:pPr>
        <w:pStyle w:val="Bibliographie"/>
      </w:pPr>
      <w:bookmarkStart w:id="74" w:name="ref-JSSv076i01"/>
      <w:bookmarkEnd w:id="73"/>
      <w:r>
        <w:t xml:space="preserve">Carpenter, B., Gelman, A., Hoffman, M.D., Lee, D., Goodrich, B., Betancourt, M., Brubaker, M., Guo, J., Li, P., Riddell, A., 2017. Stan: A probabilistic programming language. Journal of Statistical Software 76, 1–32. </w:t>
      </w:r>
      <w:hyperlink r:id="rId21">
        <w:r w:rsidR="006E2672">
          <w:rPr>
            <w:rStyle w:val="Lienhypertexte"/>
          </w:rPr>
          <w:t>https://doi.org/10.18637/jss.v076.i01</w:t>
        </w:r>
      </w:hyperlink>
    </w:p>
    <w:p w14:paraId="73D5291F" w14:textId="77777777" w:rsidR="006E2672" w:rsidRDefault="00000000">
      <w:pPr>
        <w:pStyle w:val="Bibliographie"/>
      </w:pPr>
      <w:bookmarkStart w:id="75" w:name="ref-IPCC2023"/>
      <w:bookmarkEnd w:id="74"/>
      <w:r>
        <w:t xml:space="preserve">Climate Change (IPCC), I.P. on, 2023. Summary for policymakers. IPCC, Geneva, Switzerland. </w:t>
      </w:r>
      <w:hyperlink r:id="rId22">
        <w:r w:rsidR="006E2672">
          <w:rPr>
            <w:rStyle w:val="Lienhypertexte"/>
          </w:rPr>
          <w:t>https://doi.org/10.59327/IPCC/AR6-9789291691647.001</w:t>
        </w:r>
      </w:hyperlink>
    </w:p>
    <w:p w14:paraId="539786DE" w14:textId="77777777" w:rsidR="006E2672" w:rsidRDefault="00000000">
      <w:pPr>
        <w:pStyle w:val="Bibliographie"/>
      </w:pPr>
      <w:bookmarkStart w:id="76" w:name="ref-CMEMS_1"/>
      <w:bookmarkEnd w:id="75"/>
      <w:r>
        <w:t>CMEMS, 2024. European north west shelf/</w:t>
      </w:r>
      <w:proofErr w:type="spellStart"/>
      <w:r>
        <w:t>iberia</w:t>
      </w:r>
      <w:proofErr w:type="spellEnd"/>
      <w:r>
        <w:t xml:space="preserve"> </w:t>
      </w:r>
      <w:proofErr w:type="spellStart"/>
      <w:r>
        <w:t>biscay</w:t>
      </w:r>
      <w:proofErr w:type="spellEnd"/>
      <w:r>
        <w:t xml:space="preserve"> </w:t>
      </w:r>
      <w:proofErr w:type="spellStart"/>
      <w:r>
        <w:t>irish</w:t>
      </w:r>
      <w:proofErr w:type="spellEnd"/>
      <w:r>
        <w:t xml:space="preserve"> seas – high resolution ODYSSEA sea surface temperature multi-sensor L3 observations reprocessed, </w:t>
      </w:r>
      <w:proofErr w:type="spellStart"/>
      <w:r>
        <w:t>e.u.</w:t>
      </w:r>
      <w:proofErr w:type="spellEnd"/>
      <w:r>
        <w:t xml:space="preserve"> Copernicus marine service information (CMEMS). Marine data store (MDS). (Accessed on 17-10-2024). </w:t>
      </w:r>
      <w:hyperlink r:id="rId23">
        <w:r w:rsidR="006E2672">
          <w:rPr>
            <w:rStyle w:val="Lienhypertexte"/>
          </w:rPr>
          <w:t>https://doi.org/10.48670/moi-00311</w:t>
        </w:r>
      </w:hyperlink>
    </w:p>
    <w:p w14:paraId="771DCF2F" w14:textId="77777777" w:rsidR="006E2672" w:rsidRDefault="00000000">
      <w:pPr>
        <w:pStyle w:val="Bibliographie"/>
      </w:pPr>
      <w:bookmarkStart w:id="77" w:name="ref-dascaliuc2007heat"/>
      <w:bookmarkEnd w:id="76"/>
      <w:proofErr w:type="spellStart"/>
      <w:r w:rsidRPr="00EE3A02">
        <w:rPr>
          <w:lang w:val="es-ES"/>
        </w:rPr>
        <w:lastRenderedPageBreak/>
        <w:t>Dascaliuc</w:t>
      </w:r>
      <w:proofErr w:type="spellEnd"/>
      <w:r w:rsidRPr="00EE3A02">
        <w:rPr>
          <w:lang w:val="es-ES"/>
        </w:rPr>
        <w:t xml:space="preserve">, A., Ralea, T., Cuza, P., 2007. </w:t>
      </w:r>
      <w:r>
        <w:t>Influence of heat shock on chlorophyll fluorescence of white oak (</w:t>
      </w:r>
      <w:proofErr w:type="spellStart"/>
      <w:r>
        <w:t>quercus</w:t>
      </w:r>
      <w:proofErr w:type="spellEnd"/>
      <w:r>
        <w:t xml:space="preserve"> pubescens </w:t>
      </w:r>
      <w:proofErr w:type="spellStart"/>
      <w:r>
        <w:t>willd</w:t>
      </w:r>
      <w:proofErr w:type="spellEnd"/>
      <w:r>
        <w:t xml:space="preserve">.) leaves. </w:t>
      </w:r>
      <w:proofErr w:type="spellStart"/>
      <w:r>
        <w:t>Photosynthetica</w:t>
      </w:r>
      <w:proofErr w:type="spellEnd"/>
      <w:r>
        <w:t xml:space="preserve"> 45, 469–471. </w:t>
      </w:r>
      <w:hyperlink r:id="rId24">
        <w:r w:rsidR="006E2672">
          <w:rPr>
            <w:rStyle w:val="Lienhypertexte"/>
          </w:rPr>
          <w:t>https://doi.org/10.1007/s11099-007-0084-3</w:t>
        </w:r>
      </w:hyperlink>
    </w:p>
    <w:p w14:paraId="4DA2246D" w14:textId="77777777" w:rsidR="006E2672" w:rsidRDefault="00000000">
      <w:pPr>
        <w:pStyle w:val="Bibliographie"/>
      </w:pPr>
      <w:bookmarkStart w:id="78" w:name="ref-davies2023multi"/>
      <w:bookmarkEnd w:id="77"/>
      <w:r>
        <w:t xml:space="preserve">Davies, B.F.R., </w:t>
      </w:r>
      <w:proofErr w:type="spellStart"/>
      <w:r>
        <w:t>Gernez</w:t>
      </w:r>
      <w:proofErr w:type="spellEnd"/>
      <w:r>
        <w:t>, P., Geraud, A., Oiry, S., Rosa, P., Zoffoli, M.L., Barillé, L., 2023. Multi-and hyperspectral classification of soft-bottom intertidal vegetation using a spectral library for coastal biodiversity remote sensing. Remote Sensing of Environment 290, 113554.</w:t>
      </w:r>
    </w:p>
    <w:p w14:paraId="605C483B" w14:textId="77777777" w:rsidR="006E2672" w:rsidRDefault="00000000">
      <w:pPr>
        <w:pStyle w:val="Bibliographie"/>
      </w:pPr>
      <w:bookmarkStart w:id="79" w:name="ref-davies2024sentinel"/>
      <w:bookmarkEnd w:id="78"/>
      <w:r>
        <w:t xml:space="preserve">Davies, B.F.R., Oiry, S., Rosa, P., Zoffoli, M.L., Sousa, A.I., Thomas, O.R., Smale, D.A., Austen, M.C., Biermann, L., Attrill, M.J., others, 2024a. A sentinel watching over inter-tidal seagrass phenology across western </w:t>
      </w:r>
      <w:proofErr w:type="spellStart"/>
      <w:r>
        <w:t>europe</w:t>
      </w:r>
      <w:proofErr w:type="spellEnd"/>
      <w:r>
        <w:t xml:space="preserve"> and north </w:t>
      </w:r>
      <w:proofErr w:type="spellStart"/>
      <w:r>
        <w:t>africa</w:t>
      </w:r>
      <w:proofErr w:type="spellEnd"/>
      <w:r>
        <w:t xml:space="preserve">. Communications Earth &amp; Environment 5, 382. </w:t>
      </w:r>
      <w:hyperlink r:id="rId25">
        <w:r w:rsidR="006E2672">
          <w:rPr>
            <w:rStyle w:val="Lienhypertexte"/>
          </w:rPr>
          <w:t>https://doi.org/10.1038/s43247-024-01543-z</w:t>
        </w:r>
      </w:hyperlink>
    </w:p>
    <w:p w14:paraId="4F4BE915" w14:textId="77777777" w:rsidR="006E2672" w:rsidRDefault="00000000">
      <w:pPr>
        <w:pStyle w:val="Bibliographie"/>
      </w:pPr>
      <w:bookmarkStart w:id="80" w:name="ref-davies2024intertidal"/>
      <w:bookmarkEnd w:id="79"/>
      <w:r>
        <w:t xml:space="preserve">Davies, B.F.R., Oiry, S., Rosa, P., Zoffoli, M.L., Sousa, A.I., Thomas, O.R., Smale, D.A., Austen, M.C., Biermann, L., Attrill, M.J., others, 2024b. Intertidal seagrass extent from sentinel-2 time-series show distinct trajectories in western </w:t>
      </w:r>
      <w:proofErr w:type="spellStart"/>
      <w:r>
        <w:t>europe</w:t>
      </w:r>
      <w:proofErr w:type="spellEnd"/>
      <w:r>
        <w:t xml:space="preserve">. Remote Sensing of Environment 312, 114340. </w:t>
      </w:r>
      <w:hyperlink r:id="rId26">
        <w:r w:rsidR="006E2672">
          <w:rPr>
            <w:rStyle w:val="Lienhypertexte"/>
          </w:rPr>
          <w:t>https://doi.org/10.1016/j.rse.2024.114340</w:t>
        </w:r>
      </w:hyperlink>
    </w:p>
    <w:p w14:paraId="2E39A8D1" w14:textId="77777777" w:rsidR="006E2672" w:rsidRDefault="00000000">
      <w:pPr>
        <w:pStyle w:val="Bibliographie"/>
      </w:pPr>
      <w:bookmarkStart w:id="81" w:name="ref-deguette2022physiological"/>
      <w:bookmarkEnd w:id="80"/>
      <w:proofErr w:type="spellStart"/>
      <w:r>
        <w:t>Deguette</w:t>
      </w:r>
      <w:proofErr w:type="spellEnd"/>
      <w:r>
        <w:t xml:space="preserve">, A., </w:t>
      </w:r>
      <w:proofErr w:type="spellStart"/>
      <w:r>
        <w:t>Barrote</w:t>
      </w:r>
      <w:proofErr w:type="spellEnd"/>
      <w:r>
        <w:t xml:space="preserve">, I., Silva, J., 2022. Physiological and morphological effects of a marine heatwave on the seagrass </w:t>
      </w:r>
      <w:proofErr w:type="spellStart"/>
      <w:r>
        <w:t>cymodocea</w:t>
      </w:r>
      <w:proofErr w:type="spellEnd"/>
      <w:r>
        <w:t xml:space="preserve"> nodosa. Scientific Reports 12, 7950.</w:t>
      </w:r>
    </w:p>
    <w:p w14:paraId="750E19C3" w14:textId="77777777" w:rsidR="006E2672" w:rsidRDefault="00000000">
      <w:pPr>
        <w:pStyle w:val="Bibliographie"/>
      </w:pPr>
      <w:bookmarkStart w:id="82" w:name="ref-douay2022new"/>
      <w:bookmarkEnd w:id="81"/>
      <w:r>
        <w:t>Douay, F., Verpoorter, C., Duong, G., Spilmont, N., Gevaert, F., 2022. New hyperspectral procedure to discriminate intertidal macroalgae. Remote Sensing 14, 346.</w:t>
      </w:r>
    </w:p>
    <w:p w14:paraId="38FF44C0" w14:textId="77777777" w:rsidR="006E2672" w:rsidRDefault="00000000">
      <w:pPr>
        <w:pStyle w:val="Bibliographie"/>
      </w:pPr>
      <w:bookmarkStart w:id="83" w:name="ref-duarte1991allometric"/>
      <w:bookmarkEnd w:id="82"/>
      <w:r>
        <w:t>Duarte, C.M., 1991. Allometric scaling of seagrass form and productivity. Marine ecology progress series. Oldendorf 77, 289–300.</w:t>
      </w:r>
    </w:p>
    <w:p w14:paraId="33FD5DC8" w14:textId="77777777" w:rsidR="006E2672" w:rsidRDefault="00000000">
      <w:pPr>
        <w:pStyle w:val="Bibliographie"/>
      </w:pPr>
      <w:bookmarkStart w:id="84" w:name="ref-electricblue_intertidal_chamber"/>
      <w:bookmarkEnd w:id="83"/>
      <w:r>
        <w:t xml:space="preserve">Electric Blue, 2023. </w:t>
      </w:r>
      <w:hyperlink r:id="rId27">
        <w:r w:rsidR="006E2672">
          <w:rPr>
            <w:rStyle w:val="Lienhypertexte"/>
          </w:rPr>
          <w:t>Intertidal chamber</w:t>
        </w:r>
      </w:hyperlink>
      <w:r>
        <w:t>.</w:t>
      </w:r>
    </w:p>
    <w:p w14:paraId="1A0387F1" w14:textId="77777777" w:rsidR="006E2672" w:rsidRDefault="00000000">
      <w:pPr>
        <w:pStyle w:val="Bibliographie"/>
      </w:pPr>
      <w:bookmarkStart w:id="85" w:name="ref-sen2cor"/>
      <w:bookmarkEnd w:id="84"/>
      <w:r>
        <w:t>European Space Agency, 2024b. Sen2Cor: Sentinel-2 atmospheric correction processor.</w:t>
      </w:r>
    </w:p>
    <w:p w14:paraId="1482EA91" w14:textId="77777777" w:rsidR="006E2672" w:rsidRDefault="00000000">
      <w:pPr>
        <w:pStyle w:val="Bibliographie"/>
      </w:pPr>
      <w:bookmarkStart w:id="86" w:name="ref-copernicus_sentinel2"/>
      <w:bookmarkEnd w:id="85"/>
      <w:r>
        <w:t>European Space Agency, 2024a. Copernicus open access hub.</w:t>
      </w:r>
    </w:p>
    <w:p w14:paraId="7D6D711F" w14:textId="77777777" w:rsidR="006E2672" w:rsidRDefault="00000000">
      <w:pPr>
        <w:pStyle w:val="Bibliographie"/>
      </w:pPr>
      <w:bookmarkStart w:id="87" w:name="ref-folmer2012seagrass"/>
      <w:bookmarkEnd w:id="86"/>
      <w:proofErr w:type="spellStart"/>
      <w:r w:rsidRPr="00EE3A02">
        <w:rPr>
          <w:lang w:val="es-ES"/>
        </w:rPr>
        <w:t>Folmer</w:t>
      </w:r>
      <w:proofErr w:type="spellEnd"/>
      <w:r w:rsidRPr="00EE3A02">
        <w:rPr>
          <w:lang w:val="es-ES"/>
        </w:rPr>
        <w:t xml:space="preserve">, E.O., </w:t>
      </w:r>
      <w:proofErr w:type="spellStart"/>
      <w:r w:rsidRPr="00EE3A02">
        <w:rPr>
          <w:lang w:val="es-ES"/>
        </w:rPr>
        <w:t>Geest</w:t>
      </w:r>
      <w:proofErr w:type="spellEnd"/>
      <w:r w:rsidRPr="00EE3A02">
        <w:rPr>
          <w:lang w:val="es-ES"/>
        </w:rPr>
        <w:t xml:space="preserve">, M. van </w:t>
      </w:r>
      <w:proofErr w:type="spellStart"/>
      <w:r w:rsidRPr="00EE3A02">
        <w:rPr>
          <w:lang w:val="es-ES"/>
        </w:rPr>
        <w:t>der</w:t>
      </w:r>
      <w:proofErr w:type="spellEnd"/>
      <w:r w:rsidRPr="00EE3A02">
        <w:rPr>
          <w:lang w:val="es-ES"/>
        </w:rPr>
        <w:t xml:space="preserve">, Jansen, E., </w:t>
      </w:r>
      <w:proofErr w:type="spellStart"/>
      <w:r w:rsidRPr="00EE3A02">
        <w:rPr>
          <w:lang w:val="es-ES"/>
        </w:rPr>
        <w:t>Olff</w:t>
      </w:r>
      <w:proofErr w:type="spellEnd"/>
      <w:r w:rsidRPr="00EE3A02">
        <w:rPr>
          <w:lang w:val="es-ES"/>
        </w:rPr>
        <w:t xml:space="preserve">, H., Michael Anderson, T., </w:t>
      </w:r>
      <w:proofErr w:type="spellStart"/>
      <w:r w:rsidRPr="00EE3A02">
        <w:rPr>
          <w:lang w:val="es-ES"/>
        </w:rPr>
        <w:t>Piersma</w:t>
      </w:r>
      <w:proofErr w:type="spellEnd"/>
      <w:r w:rsidRPr="00EE3A02">
        <w:rPr>
          <w:lang w:val="es-ES"/>
        </w:rPr>
        <w:t xml:space="preserve">, T., </w:t>
      </w:r>
      <w:proofErr w:type="spellStart"/>
      <w:r w:rsidRPr="00EE3A02">
        <w:rPr>
          <w:lang w:val="es-ES"/>
        </w:rPr>
        <w:t>Gils</w:t>
      </w:r>
      <w:proofErr w:type="spellEnd"/>
      <w:r w:rsidRPr="00EE3A02">
        <w:rPr>
          <w:lang w:val="es-ES"/>
        </w:rPr>
        <w:t xml:space="preserve">, J.A. van, 2012. </w:t>
      </w:r>
      <w:r>
        <w:t>Seagrass–sediment feedback: An exploration using a non-recursive structural equation model. Ecosystems 15, 1380–1393.</w:t>
      </w:r>
    </w:p>
    <w:p w14:paraId="6A99B828" w14:textId="77777777" w:rsidR="006E2672" w:rsidRDefault="00000000">
      <w:pPr>
        <w:pStyle w:val="Bibliographie"/>
      </w:pPr>
      <w:bookmarkStart w:id="88" w:name="ref-franssen2014genome"/>
      <w:bookmarkEnd w:id="87"/>
      <w:r>
        <w:t xml:space="preserve">Franssen, S.U., Gu, J., Winters, G., </w:t>
      </w:r>
      <w:proofErr w:type="spellStart"/>
      <w:r>
        <w:t>Huylmans</w:t>
      </w:r>
      <w:proofErr w:type="spellEnd"/>
      <w:r>
        <w:t xml:space="preserve">, A.-K., Wienpahl, I., </w:t>
      </w:r>
      <w:proofErr w:type="spellStart"/>
      <w:r>
        <w:t>Sparwel</w:t>
      </w:r>
      <w:proofErr w:type="spellEnd"/>
      <w:r>
        <w:t xml:space="preserve">, M., Coyer, J.A., Olsen, J.L., Reusch, T.B., </w:t>
      </w:r>
      <w:proofErr w:type="spellStart"/>
      <w:r>
        <w:t>Bornberg</w:t>
      </w:r>
      <w:proofErr w:type="spellEnd"/>
      <w:r>
        <w:t xml:space="preserve">-Bauer, E., 2014. Genome-wide transcriptomic responses of the seagrasses </w:t>
      </w:r>
      <w:proofErr w:type="spellStart"/>
      <w:r>
        <w:t>zostera</w:t>
      </w:r>
      <w:proofErr w:type="spellEnd"/>
      <w:r>
        <w:t xml:space="preserve"> marina and </w:t>
      </w:r>
      <w:proofErr w:type="spellStart"/>
      <w:r>
        <w:t>nanozostera</w:t>
      </w:r>
      <w:proofErr w:type="spellEnd"/>
      <w:r>
        <w:t xml:space="preserve"> </w:t>
      </w:r>
      <w:proofErr w:type="spellStart"/>
      <w:r>
        <w:t>noltii</w:t>
      </w:r>
      <w:proofErr w:type="spellEnd"/>
      <w:r>
        <w:t xml:space="preserve"> under a simulated heatwave confirm functional types. Marine Genomics 15, 65–73.</w:t>
      </w:r>
    </w:p>
    <w:p w14:paraId="263AC726" w14:textId="77777777" w:rsidR="006E2672" w:rsidRDefault="00000000">
      <w:pPr>
        <w:pStyle w:val="Bibliographie"/>
      </w:pPr>
      <w:bookmarkStart w:id="89" w:name="ref-gacia1999approach"/>
      <w:bookmarkEnd w:id="88"/>
      <w:r>
        <w:lastRenderedPageBreak/>
        <w:t>Gacia, E., Granata, T., Duarte, C., 1999. An approach to measurement of particle flux and sediment retention within seagrass (</w:t>
      </w:r>
      <w:proofErr w:type="spellStart"/>
      <w:r>
        <w:t>posidonia</w:t>
      </w:r>
      <w:proofErr w:type="spellEnd"/>
      <w:r>
        <w:t xml:space="preserve"> </w:t>
      </w:r>
      <w:proofErr w:type="spellStart"/>
      <w:r>
        <w:t>oceanica</w:t>
      </w:r>
      <w:proofErr w:type="spellEnd"/>
      <w:r>
        <w:t>) meadows. Aquatic Botany 65, 255–268.</w:t>
      </w:r>
    </w:p>
    <w:p w14:paraId="37F6D6DF" w14:textId="77777777" w:rsidR="006E2672" w:rsidRDefault="00000000">
      <w:pPr>
        <w:pStyle w:val="Bibliographie"/>
      </w:pPr>
      <w:bookmarkStart w:id="90" w:name="ref-garbulsky2011photochemical"/>
      <w:bookmarkEnd w:id="89"/>
      <w:r>
        <w:t xml:space="preserve">Garbulsky, M.F., </w:t>
      </w:r>
      <w:proofErr w:type="spellStart"/>
      <w:r>
        <w:t>Peñuelas</w:t>
      </w:r>
      <w:proofErr w:type="spellEnd"/>
      <w:r>
        <w:t xml:space="preserve">, J., Gamon, J., Inoue, Y., </w:t>
      </w:r>
      <w:proofErr w:type="spellStart"/>
      <w:r>
        <w:t>Filella</w:t>
      </w:r>
      <w:proofErr w:type="spellEnd"/>
      <w:r>
        <w:t>, I., 2011. The photochemical reflectance index (PRI) and the remote sensing of leaf, canopy and ecosystem radiation use efficiencies: A review and meta-analysis. Remote sensing of environment 115, 281–297.</w:t>
      </w:r>
    </w:p>
    <w:p w14:paraId="139DE93A" w14:textId="77777777" w:rsidR="006E2672" w:rsidRDefault="00000000">
      <w:pPr>
        <w:pStyle w:val="Bibliographie"/>
      </w:pPr>
      <w:bookmarkStart w:id="91" w:name="ref-gardner2018global"/>
      <w:bookmarkEnd w:id="90"/>
      <w:r>
        <w:t>Gardner, R.C., Finlayson, C., 2018. Global wetland outlook: State of the world’s wetlands and their services to people, in: Ramsar Convention Secretariat. pp. 2020–5.</w:t>
      </w:r>
    </w:p>
    <w:p w14:paraId="2C092319" w14:textId="77777777" w:rsidR="006E2672" w:rsidRDefault="00000000">
      <w:pPr>
        <w:pStyle w:val="Bibliographie"/>
      </w:pPr>
      <w:bookmarkStart w:id="92" w:name="ref-gladstone2018biomass"/>
      <w:bookmarkEnd w:id="91"/>
      <w:r>
        <w:t xml:space="preserve">Gladstone-Gallagher, R.V., Hughes, R.W., Douglas, E.J., </w:t>
      </w:r>
      <w:proofErr w:type="spellStart"/>
      <w:r>
        <w:t>Pilditch</w:t>
      </w:r>
      <w:proofErr w:type="spellEnd"/>
      <w:r>
        <w:t>, C.A., 2018. Biomass-dependent seagrass resilience to sediment eutrophication. Journal of Experimental Marine Biology and Ecology 501, 54–64.</w:t>
      </w:r>
    </w:p>
    <w:p w14:paraId="7594456E" w14:textId="77777777" w:rsidR="006E2672" w:rsidRDefault="00000000">
      <w:pPr>
        <w:pStyle w:val="Bibliographie"/>
      </w:pPr>
      <w:bookmarkStart w:id="93" w:name="ref-green2021historical"/>
      <w:bookmarkEnd w:id="92"/>
      <w:r>
        <w:t>Green, A.E., Unsworth, R.K., Chadwick, M.A., Jones, P.J., 2021. Historical analysis exposes catastrophic seagrass loss for the united kingdom. Frontiers in plant science 12, 629962.</w:t>
      </w:r>
    </w:p>
    <w:p w14:paraId="54387483" w14:textId="77777777" w:rsidR="006E2672" w:rsidRDefault="00000000">
      <w:pPr>
        <w:pStyle w:val="Bibliographie"/>
      </w:pPr>
      <w:bookmarkStart w:id="94" w:name="ref-guerrero2020heat"/>
      <w:bookmarkEnd w:id="93"/>
      <w:r>
        <w:t xml:space="preserve">Guerrero-Meseguer, L., </w:t>
      </w:r>
      <w:proofErr w:type="spellStart"/>
      <w:r>
        <w:t>Marı́n</w:t>
      </w:r>
      <w:proofErr w:type="spellEnd"/>
      <w:r>
        <w:t xml:space="preserve">, A., Sanz-Lázaro, C., 2020. Heat wave intensity can vary the cumulative effects of multiple environmental stressors on </w:t>
      </w:r>
      <w:proofErr w:type="spellStart"/>
      <w:r>
        <w:t>posidonia</w:t>
      </w:r>
      <w:proofErr w:type="spellEnd"/>
      <w:r>
        <w:t xml:space="preserve"> </w:t>
      </w:r>
      <w:proofErr w:type="spellStart"/>
      <w:r>
        <w:t>oceanica</w:t>
      </w:r>
      <w:proofErr w:type="spellEnd"/>
      <w:r>
        <w:t xml:space="preserve"> seedlings. Marine Environmental Research 159, 105001.</w:t>
      </w:r>
    </w:p>
    <w:p w14:paraId="14DAA0A1" w14:textId="77777777" w:rsidR="006E2672" w:rsidRDefault="00000000">
      <w:pPr>
        <w:pStyle w:val="Bibliographie"/>
      </w:pPr>
      <w:bookmarkStart w:id="95" w:name="ref-hemminga1998root"/>
      <w:bookmarkEnd w:id="94"/>
      <w:proofErr w:type="spellStart"/>
      <w:r>
        <w:t>Hemminga</w:t>
      </w:r>
      <w:proofErr w:type="spellEnd"/>
      <w:r>
        <w:t>, M., 1998. The root/rhizome system of seagrasses: An asset and a burden. Journal of Sea Research 39, 183–196.</w:t>
      </w:r>
    </w:p>
    <w:p w14:paraId="22510E91" w14:textId="77777777" w:rsidR="006E2672" w:rsidRDefault="00000000">
      <w:pPr>
        <w:pStyle w:val="Bibliographie"/>
      </w:pPr>
      <w:bookmarkStart w:id="96" w:name="ref-hobday2016hierarchical"/>
      <w:bookmarkEnd w:id="95"/>
      <w:r>
        <w:t>Hobday, A.J., Alexander, L.V., Perkins, S.E., Smale, D.A., Straub, S.C., Oliver, E.C., Benthuysen, J.A., Burrows, M.T., Donat, M.G., Feng, M., others, 2016. A hierarchical approach to defining marine heatwaves. Progress in oceanography 141, 227–238.</w:t>
      </w:r>
    </w:p>
    <w:p w14:paraId="1AA88E7F" w14:textId="77777777" w:rsidR="006E2672" w:rsidRDefault="00000000">
      <w:pPr>
        <w:pStyle w:val="Bibliographie"/>
      </w:pPr>
      <w:bookmarkStart w:id="97" w:name="ref-hobday2018categorizing"/>
      <w:bookmarkEnd w:id="96"/>
      <w:r>
        <w:t>Hobday, A.J., Oliver, E.C., Gupta, A.S., Benthuysen, J.A., Burrows, M.T., Donat, M.G., Holbrook, N.J., Moore, P.J., Thomsen, M.S., Wernberg, T., others, 2018. Categorizing and naming marine heatwaves. Oceanography 31, 162–173.</w:t>
      </w:r>
    </w:p>
    <w:p w14:paraId="4F6F4BFE" w14:textId="77777777" w:rsidR="006E2672" w:rsidRDefault="00000000">
      <w:pPr>
        <w:pStyle w:val="Bibliographie"/>
      </w:pPr>
      <w:bookmarkStart w:id="98" w:name="ref-infantes2022seagrass"/>
      <w:bookmarkEnd w:id="97"/>
      <w:r>
        <w:t xml:space="preserve">Infantes, E., </w:t>
      </w:r>
      <w:proofErr w:type="spellStart"/>
      <w:r>
        <w:t>Hoeks</w:t>
      </w:r>
      <w:proofErr w:type="spellEnd"/>
      <w:r>
        <w:t xml:space="preserve">, S., Adams, M.P., Heide, T. van der, </w:t>
      </w:r>
      <w:proofErr w:type="spellStart"/>
      <w:r>
        <w:t>Katwijk</w:t>
      </w:r>
      <w:proofErr w:type="spellEnd"/>
      <w:r>
        <w:t>, M.M. van, Bouma, T.J., 2022. Seagrass roots strongly reduce cliff erosion rates in sandy sediments. Marine Ecology Progress Series 700, 1–12.</w:t>
      </w:r>
    </w:p>
    <w:p w14:paraId="7BC32F67" w14:textId="77777777" w:rsidR="006E2672" w:rsidRDefault="00000000">
      <w:pPr>
        <w:pStyle w:val="Bibliographie"/>
      </w:pPr>
      <w:bookmarkStart w:id="99" w:name="ref-ioc_sea_level_lecy"/>
      <w:bookmarkEnd w:id="98"/>
      <w:r>
        <w:t xml:space="preserve">IOC, 2024. </w:t>
      </w:r>
      <w:hyperlink r:id="rId28">
        <w:r w:rsidR="006E2672">
          <w:rPr>
            <w:rStyle w:val="Lienhypertexte"/>
          </w:rPr>
          <w:t xml:space="preserve">Intergovernmental oceanographic commission ; sea level monitoring station - le </w:t>
        </w:r>
        <w:proofErr w:type="spellStart"/>
        <w:r w:rsidR="006E2672">
          <w:rPr>
            <w:rStyle w:val="Lienhypertexte"/>
          </w:rPr>
          <w:t>conquet</w:t>
        </w:r>
        <w:proofErr w:type="spellEnd"/>
        <w:r w:rsidR="006E2672">
          <w:rPr>
            <w:rStyle w:val="Lienhypertexte"/>
          </w:rPr>
          <w:t xml:space="preserve">, </w:t>
        </w:r>
        <w:proofErr w:type="spellStart"/>
        <w:r w:rsidR="006E2672">
          <w:rPr>
            <w:rStyle w:val="Lienhypertexte"/>
          </w:rPr>
          <w:t>france</w:t>
        </w:r>
        <w:proofErr w:type="spellEnd"/>
        <w:r w:rsidR="006E2672">
          <w:rPr>
            <w:rStyle w:val="Lienhypertexte"/>
          </w:rPr>
          <w:t xml:space="preserve"> (LECY)</w:t>
        </w:r>
      </w:hyperlink>
      <w:r>
        <w:t>.</w:t>
      </w:r>
    </w:p>
    <w:p w14:paraId="09FE8459" w14:textId="77777777" w:rsidR="006E2672" w:rsidRDefault="00000000">
      <w:pPr>
        <w:pStyle w:val="Bibliographie"/>
      </w:pPr>
      <w:bookmarkStart w:id="100" w:name="ref-jankowska2019stabilizing"/>
      <w:bookmarkEnd w:id="99"/>
      <w:r>
        <w:lastRenderedPageBreak/>
        <w:t xml:space="preserve">Jankowska, E., Michel, L.N., </w:t>
      </w:r>
      <w:proofErr w:type="spellStart"/>
      <w:r>
        <w:t>Lepoint</w:t>
      </w:r>
      <w:proofErr w:type="spellEnd"/>
      <w:r>
        <w:t xml:space="preserve">, G., </w:t>
      </w:r>
      <w:proofErr w:type="spellStart"/>
      <w:r>
        <w:t>Włodarska</w:t>
      </w:r>
      <w:proofErr w:type="spellEnd"/>
      <w:r>
        <w:t>-Kowalczuk, M., 2019. Stabilizing effects of seagrass meadows on coastal water benthic food webs. Journal of Experimental Marine Biology and Ecology 510, 54–63.</w:t>
      </w:r>
    </w:p>
    <w:p w14:paraId="0427FC9D" w14:textId="77777777" w:rsidR="006E2672" w:rsidRDefault="00000000">
      <w:pPr>
        <w:pStyle w:val="Bibliographie"/>
      </w:pPr>
      <w:bookmarkStart w:id="101" w:name="ref-jones1992leaf"/>
      <w:bookmarkEnd w:id="100"/>
      <w:r>
        <w:t xml:space="preserve">Jones, R.B., Clayton-Greene, K.A., 1992. The role of photosynthesis and oxidative reactions in leaf blackening of protea </w:t>
      </w:r>
      <w:proofErr w:type="spellStart"/>
      <w:r>
        <w:t>neriifolia</w:t>
      </w:r>
      <w:proofErr w:type="spellEnd"/>
      <w:r>
        <w:t xml:space="preserve"> r. Br. leaves. Scientia </w:t>
      </w:r>
      <w:proofErr w:type="spellStart"/>
      <w:r>
        <w:t>Horticulturae</w:t>
      </w:r>
      <w:proofErr w:type="spellEnd"/>
      <w:r>
        <w:t xml:space="preserve"> 50, 137–145. </w:t>
      </w:r>
      <w:hyperlink r:id="rId29">
        <w:r w:rsidR="006E2672">
          <w:rPr>
            <w:rStyle w:val="Lienhypertexte"/>
          </w:rPr>
          <w:t>https://doi.org/10.1016/S0304-4238(05)80016-0</w:t>
        </w:r>
      </w:hyperlink>
    </w:p>
    <w:p w14:paraId="0D12C1F2" w14:textId="77777777" w:rsidR="006E2672" w:rsidRDefault="00000000">
      <w:pPr>
        <w:pStyle w:val="Bibliographie"/>
      </w:pPr>
      <w:bookmarkStart w:id="102" w:name="ref-knipling1970reflectance"/>
      <w:bookmarkEnd w:id="101"/>
      <w:proofErr w:type="spellStart"/>
      <w:r>
        <w:t>Knipling</w:t>
      </w:r>
      <w:proofErr w:type="spellEnd"/>
      <w:r>
        <w:t xml:space="preserve">, E.B., 1970. Physical and physiological basis for the reflectance of visible and near-infrared radiation from vegetation. Remote Sensing of Environment 1, 155–159. </w:t>
      </w:r>
      <w:hyperlink r:id="rId30">
        <w:r w:rsidR="006E2672">
          <w:rPr>
            <w:rStyle w:val="Lienhypertexte"/>
          </w:rPr>
          <w:t>https://doi.org/10.1016/S0034-4257(70)80021-9</w:t>
        </w:r>
      </w:hyperlink>
    </w:p>
    <w:p w14:paraId="23A70927" w14:textId="77777777" w:rsidR="006E2672" w:rsidRDefault="00000000">
      <w:pPr>
        <w:pStyle w:val="Bibliographie"/>
      </w:pPr>
      <w:bookmarkStart w:id="103" w:name="ref-hsdar"/>
      <w:bookmarkEnd w:id="102"/>
      <w:r>
        <w:t xml:space="preserve">Lehnert, L.W., Meyer, H., Bendix, J., 2017. </w:t>
      </w:r>
      <w:proofErr w:type="spellStart"/>
      <w:r>
        <w:t>Hsdar</w:t>
      </w:r>
      <w:proofErr w:type="spellEnd"/>
      <w:r>
        <w:t xml:space="preserve">: Manage, </w:t>
      </w:r>
      <w:proofErr w:type="spellStart"/>
      <w:r>
        <w:t>analyse</w:t>
      </w:r>
      <w:proofErr w:type="spellEnd"/>
      <w:r>
        <w:t xml:space="preserve"> and simulate hyperspectral data in r.</w:t>
      </w:r>
    </w:p>
    <w:p w14:paraId="5A16E566" w14:textId="77777777" w:rsidR="006E2672" w:rsidRDefault="00000000">
      <w:pPr>
        <w:pStyle w:val="Bibliographie"/>
      </w:pPr>
      <w:bookmarkStart w:id="104" w:name="ref-loarie2009velocity"/>
      <w:bookmarkEnd w:id="103"/>
      <w:proofErr w:type="spellStart"/>
      <w:r>
        <w:t>Loarie</w:t>
      </w:r>
      <w:proofErr w:type="spellEnd"/>
      <w:r>
        <w:t>, S.R., Duffy, P.B., Hamilton, H., Asner, G.P., Field, C.B., Ackerly, D.D., 2009. The velocity of climate change. Nature 462, 1052–1055.</w:t>
      </w:r>
    </w:p>
    <w:p w14:paraId="3B6B57CA" w14:textId="77777777" w:rsidR="006E2672" w:rsidRDefault="00000000">
      <w:pPr>
        <w:pStyle w:val="Bibliographie"/>
      </w:pPr>
      <w:bookmarkStart w:id="105" w:name="ref-louhaichi2001spatially"/>
      <w:bookmarkEnd w:id="104"/>
      <w:proofErr w:type="spellStart"/>
      <w:r>
        <w:t>Louhaichi</w:t>
      </w:r>
      <w:proofErr w:type="spellEnd"/>
      <w:r>
        <w:t xml:space="preserve">, M., Borman, M.M., Johnson, D.E., 2001. Spatially located platform and aerial photography for documentation of grazing impacts on wheat. </w:t>
      </w:r>
      <w:proofErr w:type="spellStart"/>
      <w:r>
        <w:t>Geocarto</w:t>
      </w:r>
      <w:proofErr w:type="spellEnd"/>
      <w:r>
        <w:t xml:space="preserve"> International 16, 65–70.</w:t>
      </w:r>
    </w:p>
    <w:p w14:paraId="2013C324" w14:textId="77777777" w:rsidR="006E2672" w:rsidRDefault="00000000">
      <w:pPr>
        <w:pStyle w:val="Bibliographie"/>
      </w:pPr>
      <w:bookmarkStart w:id="106" w:name="ref-malvern_panalytical_rs3"/>
      <w:bookmarkEnd w:id="105"/>
      <w:r>
        <w:t xml:space="preserve">Malvern </w:t>
      </w:r>
      <w:proofErr w:type="spellStart"/>
      <w:r>
        <w:t>Panalytical</w:t>
      </w:r>
      <w:proofErr w:type="spellEnd"/>
      <w:r>
        <w:t xml:space="preserve">, 2023. </w:t>
      </w:r>
      <w:hyperlink r:id="rId31">
        <w:r w:rsidR="006E2672">
          <w:rPr>
            <w:rStyle w:val="Lienhypertexte"/>
          </w:rPr>
          <w:t>RS3 software</w:t>
        </w:r>
      </w:hyperlink>
      <w:r>
        <w:t>.</w:t>
      </w:r>
    </w:p>
    <w:p w14:paraId="3131FEFE" w14:textId="77777777" w:rsidR="006E2672" w:rsidRPr="00EE3A02" w:rsidRDefault="00000000">
      <w:pPr>
        <w:pStyle w:val="Bibliographie"/>
        <w:rPr>
          <w:lang w:val="es-ES"/>
        </w:rPr>
      </w:pPr>
      <w:bookmarkStart w:id="107" w:name="ref-marba2010mediterranean"/>
      <w:bookmarkEnd w:id="106"/>
      <w:proofErr w:type="spellStart"/>
      <w:r>
        <w:t>Marbà</w:t>
      </w:r>
      <w:proofErr w:type="spellEnd"/>
      <w:r>
        <w:t>, N., Duarte, C.M., 2010. Mediterranean warming triggers seagrass (</w:t>
      </w:r>
      <w:proofErr w:type="spellStart"/>
      <w:r>
        <w:t>posidonia</w:t>
      </w:r>
      <w:proofErr w:type="spellEnd"/>
      <w:r>
        <w:t xml:space="preserve"> </w:t>
      </w:r>
      <w:proofErr w:type="spellStart"/>
      <w:r>
        <w:t>oceanica</w:t>
      </w:r>
      <w:proofErr w:type="spellEnd"/>
      <w:r>
        <w:t xml:space="preserve">) shoot mortality. </w:t>
      </w:r>
      <w:r w:rsidRPr="00EE3A02">
        <w:rPr>
          <w:lang w:val="es-ES"/>
        </w:rPr>
        <w:t xml:space="preserve">Global </w:t>
      </w:r>
      <w:proofErr w:type="spellStart"/>
      <w:r w:rsidRPr="00EE3A02">
        <w:rPr>
          <w:lang w:val="es-ES"/>
        </w:rPr>
        <w:t>change</w:t>
      </w:r>
      <w:proofErr w:type="spellEnd"/>
      <w:r w:rsidRPr="00EE3A02">
        <w:rPr>
          <w:lang w:val="es-ES"/>
        </w:rPr>
        <w:t xml:space="preserve"> </w:t>
      </w:r>
      <w:proofErr w:type="spellStart"/>
      <w:r w:rsidRPr="00EE3A02">
        <w:rPr>
          <w:lang w:val="es-ES"/>
        </w:rPr>
        <w:t>biology</w:t>
      </w:r>
      <w:proofErr w:type="spellEnd"/>
      <w:r w:rsidRPr="00EE3A02">
        <w:rPr>
          <w:lang w:val="es-ES"/>
        </w:rPr>
        <w:t xml:space="preserve"> 16, 2366–2375.</w:t>
      </w:r>
    </w:p>
    <w:p w14:paraId="6610119D" w14:textId="77777777" w:rsidR="006E2672" w:rsidRDefault="00000000">
      <w:pPr>
        <w:pStyle w:val="Bibliographie"/>
      </w:pPr>
      <w:bookmarkStart w:id="108" w:name="ref-marien2019detecting"/>
      <w:bookmarkEnd w:id="107"/>
      <w:proofErr w:type="spellStart"/>
      <w:r w:rsidRPr="00EE3A02">
        <w:rPr>
          <w:lang w:val="es-ES"/>
        </w:rPr>
        <w:t>Mariën</w:t>
      </w:r>
      <w:proofErr w:type="spellEnd"/>
      <w:r w:rsidRPr="00EE3A02">
        <w:rPr>
          <w:lang w:val="es-ES"/>
        </w:rPr>
        <w:t xml:space="preserve">, B., </w:t>
      </w:r>
      <w:proofErr w:type="spellStart"/>
      <w:r w:rsidRPr="00EE3A02">
        <w:rPr>
          <w:lang w:val="es-ES"/>
        </w:rPr>
        <w:t>Balzarolo</w:t>
      </w:r>
      <w:proofErr w:type="spellEnd"/>
      <w:r w:rsidRPr="00EE3A02">
        <w:rPr>
          <w:lang w:val="es-ES"/>
        </w:rPr>
        <w:t xml:space="preserve">, M., </w:t>
      </w:r>
      <w:proofErr w:type="spellStart"/>
      <w:r w:rsidRPr="00EE3A02">
        <w:rPr>
          <w:lang w:val="es-ES"/>
        </w:rPr>
        <w:t>Dox</w:t>
      </w:r>
      <w:proofErr w:type="spellEnd"/>
      <w:r w:rsidRPr="00EE3A02">
        <w:rPr>
          <w:lang w:val="es-ES"/>
        </w:rPr>
        <w:t xml:space="preserve">, I., </w:t>
      </w:r>
      <w:proofErr w:type="spellStart"/>
      <w:r w:rsidRPr="00EE3A02">
        <w:rPr>
          <w:lang w:val="es-ES"/>
        </w:rPr>
        <w:t>Leys</w:t>
      </w:r>
      <w:proofErr w:type="spellEnd"/>
      <w:r w:rsidRPr="00EE3A02">
        <w:rPr>
          <w:lang w:val="es-ES"/>
        </w:rPr>
        <w:t xml:space="preserve">, S., </w:t>
      </w:r>
      <w:proofErr w:type="spellStart"/>
      <w:r w:rsidRPr="00EE3A02">
        <w:rPr>
          <w:lang w:val="es-ES"/>
        </w:rPr>
        <w:t>Lorène</w:t>
      </w:r>
      <w:proofErr w:type="spellEnd"/>
      <w:r w:rsidRPr="00EE3A02">
        <w:rPr>
          <w:lang w:val="es-ES"/>
        </w:rPr>
        <w:t xml:space="preserve">, M.J., </w:t>
      </w:r>
      <w:proofErr w:type="spellStart"/>
      <w:r w:rsidRPr="00EE3A02">
        <w:rPr>
          <w:lang w:val="es-ES"/>
        </w:rPr>
        <w:t>Geron</w:t>
      </w:r>
      <w:proofErr w:type="spellEnd"/>
      <w:r w:rsidRPr="00EE3A02">
        <w:rPr>
          <w:lang w:val="es-ES"/>
        </w:rPr>
        <w:t xml:space="preserve">, C., Portillo-Estrada, M., </w:t>
      </w:r>
      <w:proofErr w:type="spellStart"/>
      <w:r w:rsidRPr="00EE3A02">
        <w:rPr>
          <w:lang w:val="es-ES"/>
        </w:rPr>
        <w:t>AbdElgawad</w:t>
      </w:r>
      <w:proofErr w:type="spellEnd"/>
      <w:r w:rsidRPr="00EE3A02">
        <w:rPr>
          <w:lang w:val="es-ES"/>
        </w:rPr>
        <w:t xml:space="preserve">, H., </w:t>
      </w:r>
      <w:proofErr w:type="spellStart"/>
      <w:r w:rsidRPr="00EE3A02">
        <w:rPr>
          <w:lang w:val="es-ES"/>
        </w:rPr>
        <w:t>Asard</w:t>
      </w:r>
      <w:proofErr w:type="spellEnd"/>
      <w:r w:rsidRPr="00EE3A02">
        <w:rPr>
          <w:lang w:val="es-ES"/>
        </w:rPr>
        <w:t xml:space="preserve">, H., </w:t>
      </w:r>
      <w:proofErr w:type="spellStart"/>
      <w:r w:rsidRPr="00EE3A02">
        <w:rPr>
          <w:lang w:val="es-ES"/>
        </w:rPr>
        <w:t>Campioli</w:t>
      </w:r>
      <w:proofErr w:type="spellEnd"/>
      <w:r w:rsidRPr="00EE3A02">
        <w:rPr>
          <w:lang w:val="es-ES"/>
        </w:rPr>
        <w:t xml:space="preserve">, M., 2019. </w:t>
      </w:r>
      <w:r>
        <w:t>Detecting the onset of autumn leaf senescence in deciduous forest trees of the temperate zone. New Phytologist 224, 166–176.</w:t>
      </w:r>
    </w:p>
    <w:p w14:paraId="1180AED9" w14:textId="77777777" w:rsidR="006E2672" w:rsidRDefault="00000000">
      <w:pPr>
        <w:pStyle w:val="Bibliographie"/>
      </w:pPr>
      <w:bookmarkStart w:id="109" w:name="ref-massa2009temperature"/>
      <w:bookmarkEnd w:id="108"/>
      <w:r>
        <w:t xml:space="preserve">Massa, S., Arnaud-Haond, S., Pearson, G., </w:t>
      </w:r>
      <w:proofErr w:type="spellStart"/>
      <w:r>
        <w:t>Serrão</w:t>
      </w:r>
      <w:proofErr w:type="spellEnd"/>
      <w:r>
        <w:t xml:space="preserve">, E., 2009. Temperature tolerance and survival of intertidal populations of the seagrass </w:t>
      </w:r>
      <w:proofErr w:type="spellStart"/>
      <w:r>
        <w:t>zostera</w:t>
      </w:r>
      <w:proofErr w:type="spellEnd"/>
      <w:r>
        <w:t xml:space="preserve"> </w:t>
      </w:r>
      <w:proofErr w:type="spellStart"/>
      <w:r>
        <w:t>noltii</w:t>
      </w:r>
      <w:proofErr w:type="spellEnd"/>
      <w:r>
        <w:t xml:space="preserve"> (</w:t>
      </w:r>
      <w:proofErr w:type="spellStart"/>
      <w:r>
        <w:t>hornemann</w:t>
      </w:r>
      <w:proofErr w:type="spellEnd"/>
      <w:r>
        <w:t xml:space="preserve">) in southern </w:t>
      </w:r>
      <w:proofErr w:type="spellStart"/>
      <w:r>
        <w:t>europe</w:t>
      </w:r>
      <w:proofErr w:type="spellEnd"/>
      <w:r>
        <w:t xml:space="preserve"> (ria </w:t>
      </w:r>
      <w:proofErr w:type="spellStart"/>
      <w:r>
        <w:t>formosa</w:t>
      </w:r>
      <w:proofErr w:type="spellEnd"/>
      <w:r>
        <w:t xml:space="preserve">, </w:t>
      </w:r>
      <w:proofErr w:type="spellStart"/>
      <w:r>
        <w:t>portugal</w:t>
      </w:r>
      <w:proofErr w:type="spellEnd"/>
      <w:r>
        <w:t xml:space="preserve">). </w:t>
      </w:r>
      <w:proofErr w:type="spellStart"/>
      <w:r>
        <w:t>Hydrobiologia</w:t>
      </w:r>
      <w:proofErr w:type="spellEnd"/>
      <w:r>
        <w:t xml:space="preserve"> 619, 195–201.</w:t>
      </w:r>
    </w:p>
    <w:p w14:paraId="10C06326" w14:textId="77777777" w:rsidR="006E2672" w:rsidRDefault="00000000">
      <w:pPr>
        <w:pStyle w:val="Bibliographie"/>
      </w:pPr>
      <w:bookmarkStart w:id="110" w:name="ref-moore2008environmental"/>
      <w:bookmarkEnd w:id="109"/>
      <w:r>
        <w:t xml:space="preserve">Moore, K.A., Jarvis, J.C., 2008. Environmental factors affecting recent summertime eelgrass diebacks in the lower </w:t>
      </w:r>
      <w:proofErr w:type="spellStart"/>
      <w:r>
        <w:t>chesapeake</w:t>
      </w:r>
      <w:proofErr w:type="spellEnd"/>
      <w:r>
        <w:t xml:space="preserve"> bay: Implications for long-term persistence. Journal of Coastal Research 135–147.</w:t>
      </w:r>
    </w:p>
    <w:p w14:paraId="3FA851A4" w14:textId="77777777" w:rsidR="006E2672" w:rsidRDefault="00000000">
      <w:pPr>
        <w:pStyle w:val="Bibliographie"/>
      </w:pPr>
      <w:bookmarkStart w:id="111" w:name="ref-rs16234383"/>
      <w:bookmarkEnd w:id="110"/>
      <w:r>
        <w:t xml:space="preserve">Oiry, S., Davies, B.F.R., Sousa, A.I., Rosa, P., Zoffoli, M.L., Brunier, G., Gernez, P., Barillé, L., 2024. Discriminating seagrasses from green macroalgae in </w:t>
      </w:r>
      <w:proofErr w:type="spellStart"/>
      <w:r>
        <w:t>european</w:t>
      </w:r>
      <w:proofErr w:type="spellEnd"/>
      <w:r>
        <w:t xml:space="preserve"> intertidal areas using high-resolution multispectral drone imagery. Remote Sensing 16. </w:t>
      </w:r>
      <w:hyperlink r:id="rId32">
        <w:r w:rsidR="006E2672">
          <w:rPr>
            <w:rStyle w:val="Lienhypertexte"/>
          </w:rPr>
          <w:t>https://doi.org/10.3390/rs16234383</w:t>
        </w:r>
      </w:hyperlink>
    </w:p>
    <w:p w14:paraId="3750DA31" w14:textId="77777777" w:rsidR="006E2672" w:rsidRDefault="00000000">
      <w:pPr>
        <w:pStyle w:val="Bibliographie"/>
      </w:pPr>
      <w:bookmarkStart w:id="112" w:name="ref-olmedo2020far"/>
      <w:bookmarkEnd w:id="111"/>
      <w:r>
        <w:lastRenderedPageBreak/>
        <w:t>Olmedo-</w:t>
      </w:r>
      <w:proofErr w:type="spellStart"/>
      <w:r>
        <w:t>Masat</w:t>
      </w:r>
      <w:proofErr w:type="spellEnd"/>
      <w:r>
        <w:t xml:space="preserve">, O.M., Raffo, M.P., Rodrı́guez-Pérez, D., </w:t>
      </w:r>
      <w:proofErr w:type="spellStart"/>
      <w:r>
        <w:t>Arijón</w:t>
      </w:r>
      <w:proofErr w:type="spellEnd"/>
      <w:r>
        <w:t xml:space="preserve">, M., Sánchez-Carnero, N., 2020. How far can we classify macroalgae remotely? An example using a new spectral library of species from the south west </w:t>
      </w:r>
      <w:proofErr w:type="spellStart"/>
      <w:r>
        <w:t>atlantic</w:t>
      </w:r>
      <w:proofErr w:type="spellEnd"/>
      <w:r>
        <w:t xml:space="preserve"> (</w:t>
      </w:r>
      <w:proofErr w:type="spellStart"/>
      <w:r>
        <w:t>argentine</w:t>
      </w:r>
      <w:proofErr w:type="spellEnd"/>
      <w:r>
        <w:t xml:space="preserve"> </w:t>
      </w:r>
      <w:proofErr w:type="spellStart"/>
      <w:r>
        <w:t>patagonia</w:t>
      </w:r>
      <w:proofErr w:type="spellEnd"/>
      <w:r>
        <w:t>). Remote Sensing 12, 3870.</w:t>
      </w:r>
    </w:p>
    <w:p w14:paraId="33CF6CEF" w14:textId="77777777" w:rsidR="006E2672" w:rsidRDefault="00000000">
      <w:pPr>
        <w:pStyle w:val="Bibliographie"/>
      </w:pPr>
      <w:bookmarkStart w:id="113" w:name="ref-penuelas2004leaf"/>
      <w:bookmarkEnd w:id="112"/>
      <w:proofErr w:type="spellStart"/>
      <w:r>
        <w:t>Peñuelas</w:t>
      </w:r>
      <w:proofErr w:type="spellEnd"/>
      <w:r>
        <w:t xml:space="preserve">, J., </w:t>
      </w:r>
      <w:proofErr w:type="spellStart"/>
      <w:r>
        <w:t>Munné</w:t>
      </w:r>
      <w:proofErr w:type="spellEnd"/>
      <w:r>
        <w:t xml:space="preserve">-Bosch, S., </w:t>
      </w:r>
      <w:proofErr w:type="spellStart"/>
      <w:r>
        <w:t>Llusià</w:t>
      </w:r>
      <w:proofErr w:type="spellEnd"/>
      <w:r>
        <w:t xml:space="preserve">, J., </w:t>
      </w:r>
      <w:proofErr w:type="spellStart"/>
      <w:r>
        <w:t>Filella</w:t>
      </w:r>
      <w:proofErr w:type="spellEnd"/>
      <w:r>
        <w:t xml:space="preserve">, I., 2004. Leaf reflectance and photo-and antioxidant protection in field-grown summer-stressed </w:t>
      </w:r>
      <w:proofErr w:type="spellStart"/>
      <w:r>
        <w:t>phillyrea</w:t>
      </w:r>
      <w:proofErr w:type="spellEnd"/>
      <w:r>
        <w:t xml:space="preserve"> angustifolia. Optical signals of oxidative stress? New Phytologist 162, 115–124.</w:t>
      </w:r>
    </w:p>
    <w:p w14:paraId="3792CC37" w14:textId="77777777" w:rsidR="006E2672" w:rsidRDefault="00000000">
      <w:pPr>
        <w:pStyle w:val="Bibliographie"/>
      </w:pPr>
      <w:bookmarkStart w:id="114" w:name="ref-perkins2013measurement"/>
      <w:bookmarkEnd w:id="113"/>
      <w:r>
        <w:t>Perkins, S.E., Alexander, L.V., 2013. On the measurement of heat waves. Journal of climate 26, 4500–4517.</w:t>
      </w:r>
    </w:p>
    <w:p w14:paraId="15B12716" w14:textId="77777777" w:rsidR="006E2672" w:rsidRDefault="00000000">
      <w:pPr>
        <w:pStyle w:val="Bibliographie"/>
      </w:pPr>
      <w:bookmarkStart w:id="115" w:name="ref-Rbase"/>
      <w:bookmarkEnd w:id="114"/>
      <w:r>
        <w:t xml:space="preserve">R Core Team, 2023. </w:t>
      </w:r>
      <w:hyperlink r:id="rId33">
        <w:r w:rsidR="006E2672">
          <w:rPr>
            <w:rStyle w:val="Lienhypertexte"/>
          </w:rPr>
          <w:t>R: A language and environment for statistical computing</w:t>
        </w:r>
      </w:hyperlink>
      <w:r>
        <w:t>. R Foundation for Statistical Computing, Vienna, Austria.</w:t>
      </w:r>
    </w:p>
    <w:p w14:paraId="483526F2" w14:textId="77777777" w:rsidR="006E2672" w:rsidRDefault="00000000">
      <w:pPr>
        <w:pStyle w:val="Bibliographie"/>
      </w:pPr>
      <w:bookmarkStart w:id="116" w:name="ref-ramesh2020seagrass"/>
      <w:bookmarkEnd w:id="115"/>
      <w:r>
        <w:t xml:space="preserve">Ramesh, C., Mohanraju, R., 2020. Seagrass ecosystems of </w:t>
      </w:r>
      <w:proofErr w:type="spellStart"/>
      <w:r>
        <w:t>andaman</w:t>
      </w:r>
      <w:proofErr w:type="spellEnd"/>
      <w:r>
        <w:t xml:space="preserve"> and </w:t>
      </w:r>
      <w:proofErr w:type="spellStart"/>
      <w:r>
        <w:t>nicobar</w:t>
      </w:r>
      <w:proofErr w:type="spellEnd"/>
      <w:r>
        <w:t xml:space="preserve"> islands: Status and future perspective. Environmental &amp; Earth Sciences Research Journal 7.</w:t>
      </w:r>
    </w:p>
    <w:p w14:paraId="3A23F558" w14:textId="77777777" w:rsidR="006E2672" w:rsidRDefault="00000000">
      <w:pPr>
        <w:pStyle w:val="Bibliographie"/>
      </w:pPr>
      <w:bookmarkStart w:id="117" w:name="ref-roca2016response"/>
      <w:bookmarkEnd w:id="116"/>
      <w:r>
        <w:t xml:space="preserve">Roca, G., Alcoverro, T., Krause-Jensen, D., Balsby, T.J.S., </w:t>
      </w:r>
      <w:proofErr w:type="spellStart"/>
      <w:r>
        <w:t>Katwijk</w:t>
      </w:r>
      <w:proofErr w:type="spellEnd"/>
      <w:r>
        <w:t xml:space="preserve">, M.M. van, </w:t>
      </w:r>
      <w:proofErr w:type="spellStart"/>
      <w:r>
        <w:t>Marbà</w:t>
      </w:r>
      <w:proofErr w:type="spellEnd"/>
      <w:r>
        <w:t>, N., Santos, R., Arthur, R., Mascaró, O., Fernández-Torquemada, Y., others, 2016. Response of seagrass indicators to shifts in environmental stressors: A global review and management synthesis. Ecological Indicators 63, 310–323.</w:t>
      </w:r>
    </w:p>
    <w:p w14:paraId="10880C3C" w14:textId="77777777" w:rsidR="006E2672" w:rsidRDefault="00000000">
      <w:pPr>
        <w:pStyle w:val="Bibliographie"/>
      </w:pPr>
      <w:bookmarkStart w:id="118" w:name="ref-roman2021using"/>
      <w:bookmarkEnd w:id="117"/>
      <w:r>
        <w:t xml:space="preserve">Román, A., Tovar-Sánchez, A., </w:t>
      </w:r>
      <w:proofErr w:type="spellStart"/>
      <w:r>
        <w:t>Olivé</w:t>
      </w:r>
      <w:proofErr w:type="spellEnd"/>
      <w:r>
        <w:t>, I., Navarro, G., 2021. Using a UAV-mounted multispectral camera for the monitoring of marine macrophytes. Frontiers in Marine Science 8, 722698.</w:t>
      </w:r>
    </w:p>
    <w:p w14:paraId="4E4A166A" w14:textId="77777777" w:rsidR="006E2672" w:rsidRDefault="00000000">
      <w:pPr>
        <w:pStyle w:val="Bibliographie"/>
      </w:pPr>
      <w:bookmarkStart w:id="119" w:name="ref-roman2023clam"/>
      <w:bookmarkEnd w:id="118"/>
      <w:r>
        <w:t>Román, M., Gilbert, F., Viejo, R.M., Román, S., Troncoso, J.S., Vázquez, E., Olabarria, C., 2023. Are clam-seagrass interactions affected by heatwaves during emersion? Marine Environmental Research 186, 105906.</w:t>
      </w:r>
    </w:p>
    <w:p w14:paraId="0B4AB854" w14:textId="77777777" w:rsidR="006E2672" w:rsidRDefault="00000000">
      <w:pPr>
        <w:pStyle w:val="Bibliographie"/>
      </w:pPr>
      <w:bookmarkStart w:id="120" w:name="ref-roman2022effects"/>
      <w:bookmarkEnd w:id="119"/>
      <w:r>
        <w:t xml:space="preserve">Román, S., Vázquez, E., Román, M., Viejo, R.M., Woodin, S.A., Wethey, D.S., Troncoso, J.S., Olabarria, C., 2022. Effects of warming on biological interactions between clams and the seagrass </w:t>
      </w:r>
      <w:proofErr w:type="spellStart"/>
      <w:r>
        <w:t>zostera</w:t>
      </w:r>
      <w:proofErr w:type="spellEnd"/>
      <w:r>
        <w:t xml:space="preserve"> </w:t>
      </w:r>
      <w:proofErr w:type="spellStart"/>
      <w:r>
        <w:t>noltei</w:t>
      </w:r>
      <w:proofErr w:type="spellEnd"/>
      <w:r>
        <w:t>: A case study using open top chambers. Estuarine, Coastal and Shelf Science 276, 108027.</w:t>
      </w:r>
    </w:p>
    <w:p w14:paraId="4C8E1D7F" w14:textId="77777777" w:rsidR="006E2672" w:rsidRDefault="00000000">
      <w:pPr>
        <w:pStyle w:val="Bibliographie"/>
      </w:pPr>
      <w:bookmarkStart w:id="121" w:name="ref-rouse1974monitoring"/>
      <w:bookmarkEnd w:id="120"/>
      <w:r>
        <w:t xml:space="preserve">Rouse, J.W., Haas, R.H., Schell, J.A., Deering, D.W., others, 1974. Monitoring vegetation systems in the great plains with ERTS. NASA Spec. </w:t>
      </w:r>
      <w:proofErr w:type="spellStart"/>
      <w:r>
        <w:t>Publ</w:t>
      </w:r>
      <w:proofErr w:type="spellEnd"/>
      <w:r>
        <w:t xml:space="preserve"> 351, 309.</w:t>
      </w:r>
    </w:p>
    <w:p w14:paraId="030E66B5" w14:textId="77777777" w:rsidR="006E2672" w:rsidRDefault="00000000">
      <w:pPr>
        <w:pStyle w:val="Bibliographie"/>
      </w:pPr>
      <w:bookmarkStart w:id="122" w:name="ref-samper2020characterization"/>
      <w:bookmarkEnd w:id="121"/>
      <w:r>
        <w:t xml:space="preserve">Samper-Villarreal, J., Bolaños, R.C., </w:t>
      </w:r>
      <w:proofErr w:type="spellStart"/>
      <w:r>
        <w:t>Heidemeyer</w:t>
      </w:r>
      <w:proofErr w:type="spellEnd"/>
      <w:r>
        <w:t>, M., Vargas, M.M., Vargas, R.M., 2020. Characterization of seagrasses at two new locations in the eastern tropical pacific (</w:t>
      </w:r>
      <w:proofErr w:type="spellStart"/>
      <w:r>
        <w:t>el</w:t>
      </w:r>
      <w:proofErr w:type="spellEnd"/>
      <w:r>
        <w:t xml:space="preserve"> </w:t>
      </w:r>
      <w:proofErr w:type="spellStart"/>
      <w:r>
        <w:t>jobo</w:t>
      </w:r>
      <w:proofErr w:type="spellEnd"/>
      <w:r>
        <w:t xml:space="preserve"> and </w:t>
      </w:r>
      <w:proofErr w:type="spellStart"/>
      <w:r>
        <w:t>matapalito</w:t>
      </w:r>
      <w:proofErr w:type="spellEnd"/>
      <w:r>
        <w:t xml:space="preserve">, costa </w:t>
      </w:r>
      <w:proofErr w:type="spellStart"/>
      <w:r>
        <w:t>rica</w:t>
      </w:r>
      <w:proofErr w:type="spellEnd"/>
      <w:r>
        <w:t>). Aquatic botany 165, 103237.</w:t>
      </w:r>
    </w:p>
    <w:p w14:paraId="5A86F1DD" w14:textId="77777777" w:rsidR="006E2672" w:rsidRDefault="00000000">
      <w:pPr>
        <w:pStyle w:val="Bibliographie"/>
      </w:pPr>
      <w:bookmarkStart w:id="123" w:name="ref-sawall2021chronically"/>
      <w:bookmarkEnd w:id="122"/>
      <w:r>
        <w:lastRenderedPageBreak/>
        <w:t xml:space="preserve">Sawall, Y., Ito, M., Pansch, C., 2021. Chronically elevated sea surface temperatures revealed high susceptibility of the eelgrass </w:t>
      </w:r>
      <w:proofErr w:type="spellStart"/>
      <w:r>
        <w:t>zostera</w:t>
      </w:r>
      <w:proofErr w:type="spellEnd"/>
      <w:r>
        <w:t xml:space="preserve"> marina to winter and spring warming. Limnology and Oceanography 66, 4112–4124.</w:t>
      </w:r>
    </w:p>
    <w:p w14:paraId="05F98967" w14:textId="77777777" w:rsidR="006E2672" w:rsidRDefault="00000000">
      <w:pPr>
        <w:pStyle w:val="Bibliographie"/>
      </w:pPr>
      <w:bookmarkStart w:id="124" w:name="ref-heatwaveR"/>
      <w:bookmarkEnd w:id="123"/>
      <w:r>
        <w:t xml:space="preserve">Schlegel, R.W., Smit, A.J., 2018. </w:t>
      </w:r>
      <w:proofErr w:type="spellStart"/>
      <w:r>
        <w:t>heatwaveR</w:t>
      </w:r>
      <w:proofErr w:type="spellEnd"/>
      <w:r>
        <w:t xml:space="preserve">: A central algorithm for the detection of heatwaves and cold-spells. Journal of Open Source Software 3, 821. </w:t>
      </w:r>
      <w:hyperlink r:id="rId34">
        <w:r w:rsidR="006E2672">
          <w:rPr>
            <w:rStyle w:val="Lienhypertexte"/>
          </w:rPr>
          <w:t>https://doi.org/10.21105/joss.00821</w:t>
        </w:r>
      </w:hyperlink>
    </w:p>
    <w:p w14:paraId="5118DDED" w14:textId="77777777" w:rsidR="006E2672" w:rsidRPr="00EE3A02" w:rsidRDefault="00000000">
      <w:pPr>
        <w:pStyle w:val="Bibliographie"/>
        <w:rPr>
          <w:lang w:val="fr-FR"/>
        </w:rPr>
      </w:pPr>
      <w:bookmarkStart w:id="125" w:name="ref-scott2018role"/>
      <w:bookmarkEnd w:id="124"/>
      <w:r>
        <w:t xml:space="preserve">Scott, A.L., York, P.H., Duncan, C., Macreadie, P.I., Connolly, R.M., Ellis, M.T., Jarvis, J.C., Jinks, K.I., Marsh, H., Rasheed, M.A., 2018. The role of herbivory in structuring tropical seagrass ecosystem service delivery. </w:t>
      </w:r>
      <w:proofErr w:type="spellStart"/>
      <w:r w:rsidRPr="00EE3A02">
        <w:rPr>
          <w:lang w:val="fr-FR"/>
        </w:rPr>
        <w:t>Frontiers</w:t>
      </w:r>
      <w:proofErr w:type="spellEnd"/>
      <w:r w:rsidRPr="00EE3A02">
        <w:rPr>
          <w:lang w:val="fr-FR"/>
        </w:rPr>
        <w:t xml:space="preserve"> in Plant Science 9, 127.</w:t>
      </w:r>
    </w:p>
    <w:p w14:paraId="4206BF10" w14:textId="77777777" w:rsidR="006E2672" w:rsidRPr="00EE3A02" w:rsidRDefault="00000000">
      <w:pPr>
        <w:pStyle w:val="Bibliographie"/>
        <w:rPr>
          <w:lang w:val="fr-FR"/>
        </w:rPr>
      </w:pPr>
      <w:bookmarkStart w:id="126" w:name="ref-shom_ram_2022"/>
      <w:bookmarkEnd w:id="125"/>
      <w:r w:rsidRPr="00EE3A02">
        <w:rPr>
          <w:lang w:val="fr-FR"/>
        </w:rPr>
        <w:t xml:space="preserve">SHOM, 2022. </w:t>
      </w:r>
      <w:hyperlink r:id="rId35">
        <w:r w:rsidR="006E2672" w:rsidRPr="00EE3A02">
          <w:rPr>
            <w:rStyle w:val="Lienhypertexte"/>
            <w:lang w:val="fr-FR"/>
          </w:rPr>
          <w:t xml:space="preserve">Service hydrographique et océanographique de la marine ; références altimétriques maritimes: Ports de </w:t>
        </w:r>
        <w:proofErr w:type="spellStart"/>
        <w:r w:rsidR="006E2672" w:rsidRPr="00EE3A02">
          <w:rPr>
            <w:rStyle w:val="Lienhypertexte"/>
            <w:lang w:val="fr-FR"/>
          </w:rPr>
          <w:t>france</w:t>
        </w:r>
        <w:proofErr w:type="spellEnd"/>
        <w:r w:rsidR="006E2672" w:rsidRPr="00EE3A02">
          <w:rPr>
            <w:rStyle w:val="Lienhypertexte"/>
            <w:lang w:val="fr-FR"/>
          </w:rPr>
          <w:t xml:space="preserve"> métropolitaine et d’outre-mer, </w:t>
        </w:r>
        <w:proofErr w:type="spellStart"/>
        <w:r w:rsidR="006E2672" w:rsidRPr="00EE3A02">
          <w:rPr>
            <w:rStyle w:val="Lienhypertexte"/>
            <w:lang w:val="fr-FR"/>
          </w:rPr>
          <w:t>cotes</w:t>
        </w:r>
        <w:proofErr w:type="spellEnd"/>
        <w:r w:rsidR="006E2672" w:rsidRPr="00EE3A02">
          <w:rPr>
            <w:rStyle w:val="Lienhypertexte"/>
            <w:lang w:val="fr-FR"/>
          </w:rPr>
          <w:t xml:space="preserve"> du zéro hydrographique et niveaux caractéristiques de la marée</w:t>
        </w:r>
      </w:hyperlink>
      <w:r w:rsidRPr="00EE3A02">
        <w:rPr>
          <w:lang w:val="fr-FR"/>
        </w:rPr>
        <w:t xml:space="preserve">. </w:t>
      </w:r>
      <w:proofErr w:type="spellStart"/>
      <w:r w:rsidRPr="00EE3A02">
        <w:rPr>
          <w:lang w:val="fr-FR"/>
        </w:rPr>
        <w:t>Shom</w:t>
      </w:r>
      <w:proofErr w:type="spellEnd"/>
      <w:r w:rsidRPr="00EE3A02">
        <w:rPr>
          <w:lang w:val="fr-FR"/>
        </w:rPr>
        <w:t>, Brest, France.</w:t>
      </w:r>
    </w:p>
    <w:p w14:paraId="17DCAD38" w14:textId="77777777" w:rsidR="006E2672" w:rsidRPr="00EE3A02" w:rsidRDefault="00000000">
      <w:pPr>
        <w:pStyle w:val="Bibliographie"/>
        <w:rPr>
          <w:lang w:val="fr-FR"/>
        </w:rPr>
      </w:pPr>
      <w:bookmarkStart w:id="127" w:name="Xbef41143b4d4042e58f11cfc27e216202646012"/>
      <w:bookmarkEnd w:id="126"/>
      <w:r w:rsidRPr="00EE3A02">
        <w:rPr>
          <w:lang w:val="fr-FR"/>
        </w:rPr>
        <w:t xml:space="preserve">SHOM, 2021. </w:t>
      </w:r>
      <w:hyperlink r:id="rId36" w:anchor="/metadata/BATHYMETRIE_LITTO3D_BZH_2018_2021.xml">
        <w:r w:rsidR="006E2672" w:rsidRPr="00EE3A02">
          <w:rPr>
            <w:rStyle w:val="Lienhypertexte"/>
            <w:lang w:val="fr-FR"/>
          </w:rPr>
          <w:t>Service hydrographique et océanographique de la marine ; bathymétrie Litto3D® bretagne 2018-2021</w:t>
        </w:r>
      </w:hyperlink>
      <w:r w:rsidRPr="00EE3A02">
        <w:rPr>
          <w:lang w:val="fr-FR"/>
        </w:rPr>
        <w:t>.</w:t>
      </w:r>
    </w:p>
    <w:p w14:paraId="07EE001C" w14:textId="77777777" w:rsidR="006E2672" w:rsidRDefault="00000000">
      <w:pPr>
        <w:pStyle w:val="Bibliographie"/>
      </w:pPr>
      <w:bookmarkStart w:id="128" w:name="ref-skendzic2023drought"/>
      <w:bookmarkEnd w:id="127"/>
      <w:proofErr w:type="spellStart"/>
      <w:r>
        <w:t>Skendzic</w:t>
      </w:r>
      <w:proofErr w:type="spellEnd"/>
      <w:r>
        <w:t>, S., 2023. Drought stress in winter wheat-physiological responses and detection using remote and proximal sensing techniques, in: Smart Life Sciences and Technology for Sustainable Development. pp. 39–39.</w:t>
      </w:r>
    </w:p>
    <w:p w14:paraId="5086DF94" w14:textId="77777777" w:rsidR="006E2672" w:rsidRDefault="00000000">
      <w:pPr>
        <w:pStyle w:val="Bibliographie"/>
      </w:pPr>
      <w:bookmarkStart w:id="129" w:name="ref-sousa2019blue"/>
      <w:bookmarkEnd w:id="128"/>
      <w:r w:rsidRPr="00EE3A02">
        <w:rPr>
          <w:lang w:val="es-ES"/>
        </w:rPr>
        <w:t xml:space="preserve">Sousa, A.I., Silva, J.F. da, Azevedo, A., </w:t>
      </w:r>
      <w:proofErr w:type="spellStart"/>
      <w:r w:rsidRPr="00EE3A02">
        <w:rPr>
          <w:lang w:val="es-ES"/>
        </w:rPr>
        <w:t>Lillebø</w:t>
      </w:r>
      <w:proofErr w:type="spellEnd"/>
      <w:r w:rsidRPr="00EE3A02">
        <w:rPr>
          <w:lang w:val="es-ES"/>
        </w:rPr>
        <w:t xml:space="preserve">, A.I., 2019. </w:t>
      </w:r>
      <w:r>
        <w:t xml:space="preserve">Blue carbon stock in </w:t>
      </w:r>
      <w:proofErr w:type="spellStart"/>
      <w:r>
        <w:t>zostera</w:t>
      </w:r>
      <w:proofErr w:type="spellEnd"/>
      <w:r>
        <w:t xml:space="preserve"> </w:t>
      </w:r>
      <w:proofErr w:type="spellStart"/>
      <w:r>
        <w:t>noltei</w:t>
      </w:r>
      <w:proofErr w:type="spellEnd"/>
      <w:r>
        <w:t xml:space="preserve"> meadows at ria de </w:t>
      </w:r>
      <w:proofErr w:type="spellStart"/>
      <w:r>
        <w:t>aveiro</w:t>
      </w:r>
      <w:proofErr w:type="spellEnd"/>
      <w:r>
        <w:t xml:space="preserve"> coastal lagoon (</w:t>
      </w:r>
      <w:proofErr w:type="spellStart"/>
      <w:r>
        <w:t>portugal</w:t>
      </w:r>
      <w:proofErr w:type="spellEnd"/>
      <w:r>
        <w:t>) over a decade. Scientific reports 9, 14387.</w:t>
      </w:r>
    </w:p>
    <w:p w14:paraId="613C0D73" w14:textId="77777777" w:rsidR="006E2672" w:rsidRDefault="00000000">
      <w:pPr>
        <w:pStyle w:val="Bibliographie"/>
      </w:pPr>
      <w:bookmarkStart w:id="130" w:name="ref-stan2020rstan"/>
      <w:bookmarkEnd w:id="129"/>
      <w:r>
        <w:t xml:space="preserve">Stan Development Team, C., others, 2020. </w:t>
      </w:r>
      <w:proofErr w:type="spellStart"/>
      <w:r>
        <w:t>RStan</w:t>
      </w:r>
      <w:proofErr w:type="spellEnd"/>
      <w:r>
        <w:t>: The r interface to stan. R package version 2.21. 2.</w:t>
      </w:r>
    </w:p>
    <w:p w14:paraId="57DCE911" w14:textId="77777777" w:rsidR="006E2672" w:rsidRDefault="00000000">
      <w:pPr>
        <w:pStyle w:val="Bibliographie"/>
      </w:pPr>
      <w:bookmarkStart w:id="131" w:name="ref-stillman2019heat"/>
      <w:bookmarkEnd w:id="130"/>
      <w:r>
        <w:t>Stillman, J.H., 2019. Heat waves, the new normal: Summertime temperature extremes will impact animals, ecosystems, and human communities. Physiology 34, 86–100.</w:t>
      </w:r>
    </w:p>
    <w:p w14:paraId="50E6076B" w14:textId="77777777" w:rsidR="006E2672" w:rsidRDefault="00000000">
      <w:pPr>
        <w:pStyle w:val="Bibliographie"/>
      </w:pPr>
      <w:bookmarkStart w:id="132" w:name="ref-strydom2020too"/>
      <w:bookmarkEnd w:id="131"/>
      <w:r>
        <w:t>Strydom, S., Murray, K., Wilson, S., Huntley, B., Rule, M., Heithaus, M., Bessey, C., Kendrick, G.A., Burkholder, D., Fraser, M.W., others, 2020. Too hot to handle: Unprecedented seagrass death driven by marine heatwave in a world heritage area. Global change biology 26, 3525–3538.</w:t>
      </w:r>
    </w:p>
    <w:p w14:paraId="23B77056" w14:textId="77777777" w:rsidR="006E2672" w:rsidRDefault="00000000">
      <w:pPr>
        <w:pStyle w:val="Bibliographie"/>
      </w:pPr>
      <w:bookmarkStart w:id="133" w:name="ref-thomsen2023meadow"/>
      <w:bookmarkEnd w:id="132"/>
      <w:r>
        <w:t xml:space="preserve">Thomsen, E., Herbeck, L.S., Viana, I.G., </w:t>
      </w:r>
      <w:proofErr w:type="spellStart"/>
      <w:r>
        <w:t>Jennerjahn</w:t>
      </w:r>
      <w:proofErr w:type="spellEnd"/>
      <w:r>
        <w:t>, T.C., 2023. Meadow trophic status regulates the nitrogen filter function of tropical seagrasses in seasonally eutrophic coastal waters. Limnology and Oceanography 68, 1906–1919.</w:t>
      </w:r>
    </w:p>
    <w:p w14:paraId="4F5D4C43" w14:textId="77777777" w:rsidR="006E2672" w:rsidRDefault="00000000">
      <w:pPr>
        <w:pStyle w:val="Bibliographie"/>
      </w:pPr>
      <w:bookmarkStart w:id="134" w:name="ref-thomson2015extreme"/>
      <w:bookmarkEnd w:id="133"/>
      <w:r>
        <w:t xml:space="preserve">Thomson, J.A., Burkholder, D.A., Heithaus, M.R., Fourqurean, J.W., Fraser, M.W., Statton, J., Kendrick, G.A., 2015. Extreme temperatures, foundation species, and abrupt </w:t>
      </w:r>
      <w:r>
        <w:lastRenderedPageBreak/>
        <w:t>ecosystem change: An example from an iconic seagrass ecosystem. Global change biology 21, 1463–1474.</w:t>
      </w:r>
    </w:p>
    <w:p w14:paraId="494388F2" w14:textId="77777777" w:rsidR="006E2672" w:rsidRDefault="00000000">
      <w:pPr>
        <w:pStyle w:val="Bibliographie"/>
      </w:pPr>
      <w:bookmarkStart w:id="135" w:name="ref-unsworth2014biodiversity"/>
      <w:bookmarkEnd w:id="134"/>
      <w:r>
        <w:t xml:space="preserve">Unsworth, R., Cullen-Unsworth, L.C., 2014. Biodiversity, ecosystem services, and the conservation of seagrass meadows. Coast. </w:t>
      </w:r>
      <w:proofErr w:type="spellStart"/>
      <w:r>
        <w:t>Conserv</w:t>
      </w:r>
      <w:proofErr w:type="spellEnd"/>
      <w:r>
        <w:t xml:space="preserve"> 19, 95.</w:t>
      </w:r>
    </w:p>
    <w:p w14:paraId="3EE98741" w14:textId="77777777" w:rsidR="006E2672" w:rsidRDefault="00000000">
      <w:pPr>
        <w:pStyle w:val="Bibliographie"/>
      </w:pPr>
      <w:bookmarkStart w:id="136" w:name="ref-unsworth2021seagrass"/>
      <w:bookmarkEnd w:id="135"/>
      <w:r>
        <w:t>Unsworth, R.K., Butterworth, E.G., 2021. Seagrass meadows provide a significant resource in support of avifauna. Diversity 13, 363.</w:t>
      </w:r>
    </w:p>
    <w:p w14:paraId="1FF68C33" w14:textId="77777777" w:rsidR="006E2672" w:rsidRDefault="00000000">
      <w:pPr>
        <w:pStyle w:val="Bibliographie"/>
      </w:pPr>
      <w:bookmarkStart w:id="137" w:name="ref-unsworth2022planetary"/>
      <w:bookmarkEnd w:id="136"/>
      <w:r>
        <w:t>Unsworth, R.K., Cullen-Unsworth, L.C., Jones, B.L., Lilley, R.J., 2022. The planetary role of seagrass conservation. Science 377, 609–613.</w:t>
      </w:r>
    </w:p>
    <w:p w14:paraId="506D5439" w14:textId="77777777" w:rsidR="006E2672" w:rsidRDefault="00000000">
      <w:pPr>
        <w:pStyle w:val="Bibliographie"/>
      </w:pPr>
      <w:bookmarkStart w:id="138" w:name="ref-ustin2020optical"/>
      <w:bookmarkEnd w:id="137"/>
      <w:r>
        <w:t xml:space="preserve">Ustin, S.L., </w:t>
      </w:r>
      <w:proofErr w:type="spellStart"/>
      <w:r>
        <w:t>Jacquemoud</w:t>
      </w:r>
      <w:proofErr w:type="spellEnd"/>
      <w:r>
        <w:t>, S., 2020. How the optical properties of leaves modify the absorption and scattering of energy and enhance leaf functionality. Remote sensing of plant biodiversity 349–384.</w:t>
      </w:r>
    </w:p>
    <w:p w14:paraId="0D44E46E" w14:textId="77777777" w:rsidR="006E2672" w:rsidRDefault="00000000">
      <w:pPr>
        <w:pStyle w:val="Bibliographie"/>
      </w:pPr>
      <w:bookmarkStart w:id="139" w:name="ref-waycott2009accelerating"/>
      <w:bookmarkEnd w:id="138"/>
      <w:r>
        <w:t xml:space="preserve">Waycott, M., Duarte, C.M., Carruthers, T.J., Orth, R.J., Dennison, W.C., </w:t>
      </w:r>
      <w:proofErr w:type="spellStart"/>
      <w:r>
        <w:t>Olyarnik</w:t>
      </w:r>
      <w:proofErr w:type="spellEnd"/>
      <w:r>
        <w:t>, S., Calladine, A., Fourqurean, J.W., Heck Jr, K.L., Hughes, A.R., others, 2009. Accelerating loss of seagrasses across the globe threatens coastal ecosystems. Proceedings of the national academy of sciences 106, 12377–12381.</w:t>
      </w:r>
    </w:p>
    <w:p w14:paraId="26FBFBA5" w14:textId="77777777" w:rsidR="006E2672" w:rsidRDefault="00000000">
      <w:pPr>
        <w:pStyle w:val="Bibliographie"/>
      </w:pPr>
      <w:bookmarkStart w:id="140" w:name="ref-winters2011effects"/>
      <w:bookmarkEnd w:id="139"/>
      <w:r>
        <w:t xml:space="preserve">Winters, G., Nelle, P., Fricke, B., Rauch, G., Reusch, T.B., 2011. Effects of a simulated heat wave on </w:t>
      </w:r>
      <w:proofErr w:type="spellStart"/>
      <w:r>
        <w:t>photophysiology</w:t>
      </w:r>
      <w:proofErr w:type="spellEnd"/>
      <w:r>
        <w:t xml:space="preserve"> and gene expression of high-and low-latitude populations of </w:t>
      </w:r>
      <w:proofErr w:type="spellStart"/>
      <w:r>
        <w:t>zostera</w:t>
      </w:r>
      <w:proofErr w:type="spellEnd"/>
      <w:r>
        <w:t xml:space="preserve"> marina. Marine Ecology Progress Series 435, 83–95.</w:t>
      </w:r>
    </w:p>
    <w:p w14:paraId="2BF1BED0" w14:textId="77777777" w:rsidR="006E2672" w:rsidRDefault="00000000">
      <w:pPr>
        <w:pStyle w:val="Bibliographie"/>
      </w:pPr>
      <w:bookmarkStart w:id="141" w:name="ref-zahoor2023water"/>
      <w:bookmarkEnd w:id="140"/>
      <w:r>
        <w:t xml:space="preserve">Zahoor, I., Mushtaq, A., 2023. Water pollution from agricultural activities: A critical global review. Int. J. Chem. </w:t>
      </w:r>
      <w:proofErr w:type="spellStart"/>
      <w:r>
        <w:t>Biochem</w:t>
      </w:r>
      <w:proofErr w:type="spellEnd"/>
      <w:r>
        <w:t>. Sci 23, 164–176.</w:t>
      </w:r>
    </w:p>
    <w:p w14:paraId="7431EB2E" w14:textId="77777777" w:rsidR="006E2672" w:rsidRDefault="00000000">
      <w:pPr>
        <w:pStyle w:val="Bibliographie"/>
      </w:pPr>
      <w:bookmarkStart w:id="142" w:name="ref-zoffoli2021decadal"/>
      <w:bookmarkEnd w:id="141"/>
      <w:r>
        <w:t>Zoffoli, M.L., Gernez, P., Godet, L., Peters, S., Oiry, S., Barillé, L., 2021. Decadal increase in the ecological status of a north-</w:t>
      </w:r>
      <w:proofErr w:type="spellStart"/>
      <w:r>
        <w:t>atlantic</w:t>
      </w:r>
      <w:proofErr w:type="spellEnd"/>
      <w:r>
        <w:t xml:space="preserve"> intertidal seagrass meadow observed with multi-mission satellite time-series. Ecological Indicators 130, 108033.</w:t>
      </w:r>
    </w:p>
    <w:p w14:paraId="3A1837B3" w14:textId="77777777" w:rsidR="006E2672" w:rsidRDefault="00000000">
      <w:pPr>
        <w:pStyle w:val="Bibliographie"/>
      </w:pPr>
      <w:bookmarkStart w:id="143" w:name="ref-zoffoli2023remote"/>
      <w:bookmarkEnd w:id="142"/>
      <w:r>
        <w:t xml:space="preserve">Zoffoli, M.L., Gernez, P., Oiry, S., Godet, L., </w:t>
      </w:r>
      <w:proofErr w:type="spellStart"/>
      <w:r>
        <w:t>Dalloyau</w:t>
      </w:r>
      <w:proofErr w:type="spellEnd"/>
      <w:r>
        <w:t xml:space="preserve">, S., Davies, B.F.R., Barillé, L., 2023. Remote sensing in seagrass ecology: Coupled dynamics between migratory herbivorous birds and intertidal meadows observed by satellite during four decades. Remote Sensing in Ecology and Conservation 9, 420–433. </w:t>
      </w:r>
      <w:hyperlink r:id="rId37">
        <w:r w:rsidR="006E2672">
          <w:rPr>
            <w:rStyle w:val="Lienhypertexte"/>
          </w:rPr>
          <w:t>https://doi.org/10.1002/rse2.319</w:t>
        </w:r>
      </w:hyperlink>
    </w:p>
    <w:p w14:paraId="4E1DAEC2" w14:textId="77777777" w:rsidR="006E2672" w:rsidRDefault="00000000">
      <w:pPr>
        <w:pStyle w:val="Bibliographie"/>
      </w:pPr>
      <w:bookmarkStart w:id="144" w:name="ref-zoffoli2020sentinel"/>
      <w:bookmarkEnd w:id="143"/>
      <w:proofErr w:type="spellStart"/>
      <w:r w:rsidRPr="00EE3A02">
        <w:rPr>
          <w:lang w:val="fr-FR"/>
        </w:rPr>
        <w:t>Zoffoli</w:t>
      </w:r>
      <w:proofErr w:type="spellEnd"/>
      <w:r w:rsidRPr="00EE3A02">
        <w:rPr>
          <w:lang w:val="fr-FR"/>
        </w:rPr>
        <w:t xml:space="preserve">, M.L., Gernez, P., Rosa, P., Le Bris, A., Brando, V.E., Barillé, A.-L., </w:t>
      </w:r>
      <w:proofErr w:type="spellStart"/>
      <w:r w:rsidRPr="00EE3A02">
        <w:rPr>
          <w:lang w:val="fr-FR"/>
        </w:rPr>
        <w:t>Harin</w:t>
      </w:r>
      <w:proofErr w:type="spellEnd"/>
      <w:r w:rsidRPr="00EE3A02">
        <w:rPr>
          <w:lang w:val="fr-FR"/>
        </w:rPr>
        <w:t xml:space="preserve">, N., Peters, S., Poser, K., </w:t>
      </w:r>
      <w:proofErr w:type="spellStart"/>
      <w:r w:rsidRPr="00EE3A02">
        <w:rPr>
          <w:lang w:val="fr-FR"/>
        </w:rPr>
        <w:t>Spaias</w:t>
      </w:r>
      <w:proofErr w:type="spellEnd"/>
      <w:r w:rsidRPr="00EE3A02">
        <w:rPr>
          <w:lang w:val="fr-FR"/>
        </w:rPr>
        <w:t xml:space="preserve">, L., </w:t>
      </w:r>
      <w:proofErr w:type="spellStart"/>
      <w:r w:rsidRPr="00EE3A02">
        <w:rPr>
          <w:lang w:val="fr-FR"/>
        </w:rPr>
        <w:t>others</w:t>
      </w:r>
      <w:proofErr w:type="spellEnd"/>
      <w:r w:rsidRPr="00EE3A02">
        <w:rPr>
          <w:lang w:val="fr-FR"/>
        </w:rPr>
        <w:t xml:space="preserve">, 2020. </w:t>
      </w:r>
      <w:r>
        <w:t xml:space="preserve">Sentinel-2 remote sensing of </w:t>
      </w:r>
      <w:proofErr w:type="spellStart"/>
      <w:r>
        <w:t>zostera</w:t>
      </w:r>
      <w:proofErr w:type="spellEnd"/>
      <w:r>
        <w:t xml:space="preserve"> </w:t>
      </w:r>
      <w:proofErr w:type="spellStart"/>
      <w:r>
        <w:t>noltei</w:t>
      </w:r>
      <w:proofErr w:type="spellEnd"/>
      <w:r>
        <w:t>-dominated intertidal seagrass meadows. Remote Sensing of Environment 251, 112020.</w:t>
      </w:r>
      <w:bookmarkEnd w:id="61"/>
      <w:bookmarkEnd w:id="63"/>
      <w:bookmarkEnd w:id="144"/>
    </w:p>
    <w:sectPr w:rsidR="006E2672">
      <w:footerReference w:type="defaul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39FB" w14:textId="77777777" w:rsidR="00694962" w:rsidRDefault="00694962">
      <w:pPr>
        <w:spacing w:after="0"/>
      </w:pPr>
      <w:r>
        <w:separator/>
      </w:r>
    </w:p>
  </w:endnote>
  <w:endnote w:type="continuationSeparator" w:id="0">
    <w:p w14:paraId="557D019E" w14:textId="77777777" w:rsidR="00694962" w:rsidRDefault="006949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03A0BEDA" w14:textId="77777777" w:rsidR="00870F46"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8C66A5E" w14:textId="77777777" w:rsidR="00870F46" w:rsidRDefault="00870F4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FC8A" w14:textId="77777777" w:rsidR="00694962" w:rsidRDefault="00694962">
      <w:pPr>
        <w:spacing w:after="0"/>
      </w:pPr>
      <w:r>
        <w:separator/>
      </w:r>
    </w:p>
  </w:footnote>
  <w:footnote w:type="continuationSeparator" w:id="0">
    <w:p w14:paraId="255C4679" w14:textId="77777777" w:rsidR="00694962" w:rsidRDefault="00694962">
      <w:pPr>
        <w:spacing w:after="0"/>
      </w:pPr>
      <w:r>
        <w:continuationSeparator/>
      </w:r>
    </w:p>
  </w:footnote>
  <w:footnote w:id="1">
    <w:p w14:paraId="451F6272" w14:textId="77777777" w:rsidR="006E2672" w:rsidRPr="00EE3A02" w:rsidRDefault="00000000">
      <w:pPr>
        <w:pStyle w:val="Notedebasdepage"/>
        <w:rPr>
          <w:lang w:val="fr-FR"/>
        </w:rPr>
      </w:pPr>
      <w:r>
        <w:rPr>
          <w:rStyle w:val="Appelnotedebasdep"/>
        </w:rPr>
        <w:footnoteRef/>
      </w:r>
      <w:r w:rsidRPr="00EE3A02">
        <w:rPr>
          <w:lang w:val="fr-FR"/>
        </w:rPr>
        <w:t xml:space="preserve"> Institut des Substances et Organismes de la Mer, ISOMer, Nantes Université, UR 2160, F-44000 Nantes, France</w:t>
      </w:r>
    </w:p>
  </w:footnote>
  <w:footnote w:id="2">
    <w:p w14:paraId="60108308" w14:textId="77777777" w:rsidR="006E2672" w:rsidRPr="00EE3A02" w:rsidRDefault="00000000">
      <w:pPr>
        <w:pStyle w:val="Notedebasdepage"/>
        <w:rPr>
          <w:lang w:val="fr-FR"/>
        </w:rPr>
      </w:pPr>
      <w:r>
        <w:rPr>
          <w:rStyle w:val="Appelnotedebasdep"/>
        </w:rPr>
        <w:footnoteRef/>
      </w:r>
      <w:r w:rsidRPr="00EE3A02">
        <w:rPr>
          <w:lang w:val="fr-FR"/>
        </w:rPr>
        <w:t xml:space="preserve"> Consiglio Nazionale delle Ricerche, Istituto di Scienze Marine (CNR-ISMAR), 00133 Rome, Italy</w:t>
      </w:r>
    </w:p>
  </w:footnote>
  <w:footnote w:id="3">
    <w:p w14:paraId="747FBF04" w14:textId="77777777" w:rsidR="006E2672" w:rsidRPr="00EE3A02" w:rsidRDefault="00000000">
      <w:pPr>
        <w:pStyle w:val="Notedebasdepage"/>
        <w:rPr>
          <w:lang w:val="fr-FR"/>
        </w:rPr>
      </w:pPr>
      <w:r>
        <w:rPr>
          <w:rStyle w:val="Appelnotedebasdep"/>
        </w:rPr>
        <w:footnoteRef/>
      </w:r>
      <w:r w:rsidRPr="00EE3A02">
        <w:rPr>
          <w:lang w:val="fr-FR"/>
        </w:rPr>
        <w:t xml:space="preserve"> Bio-littoral, Immeuble Le Nevada, 2 Rue du Château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29A89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3720461">
    <w:abstractNumId w:val="0"/>
  </w:num>
  <w:num w:numId="2" w16cid:durableId="1205409407">
    <w:abstractNumId w:val="0"/>
  </w:num>
  <w:num w:numId="3" w16cid:durableId="599728127">
    <w:abstractNumId w:val="1"/>
  </w:num>
  <w:num w:numId="4" w16cid:durableId="22040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672"/>
    <w:rsid w:val="000D1FAB"/>
    <w:rsid w:val="00537FCB"/>
    <w:rsid w:val="005D1928"/>
    <w:rsid w:val="00694962"/>
    <w:rsid w:val="006E2672"/>
    <w:rsid w:val="00704D03"/>
    <w:rsid w:val="00762D2C"/>
    <w:rsid w:val="0084175F"/>
    <w:rsid w:val="00870F46"/>
    <w:rsid w:val="00E200D2"/>
    <w:rsid w:val="00E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D6FE0"/>
  <w15:docId w15:val="{4055BA2F-5E93-46D8-8BF7-C53AC86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rse.2024.114340" TargetMode="External"/><Relationship Id="rId39" Type="http://schemas.openxmlformats.org/officeDocument/2006/relationships/fontTable" Target="fontTable.xml"/><Relationship Id="rId21" Type="http://schemas.openxmlformats.org/officeDocument/2006/relationships/hyperlink" Target="https://doi.org/10.18637/jss.v076.i01" TargetMode="External"/><Relationship Id="rId34" Type="http://schemas.openxmlformats.org/officeDocument/2006/relationships/hyperlink" Target="https://doi.org/10.21105/joss.0082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38/s43247-024-01543-z" TargetMode="External"/><Relationship Id="rId33" Type="http://schemas.openxmlformats.org/officeDocument/2006/relationships/hyperlink" Target="https://www.R-project.org/"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8637/jss.v100.i05" TargetMode="External"/><Relationship Id="rId29" Type="http://schemas.openxmlformats.org/officeDocument/2006/relationships/hyperlink" Target="https://doi.org/10.1016/S0304-4238(05)8001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07/s11099-007-0084-3" TargetMode="External"/><Relationship Id="rId32" Type="http://schemas.openxmlformats.org/officeDocument/2006/relationships/hyperlink" Target="https://doi.org/10.3390/rs16234383" TargetMode="External"/><Relationship Id="rId37" Type="http://schemas.openxmlformats.org/officeDocument/2006/relationships/hyperlink" Target="https://doi.org/10.1002/rse2.319"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48670/moi-00311" TargetMode="External"/><Relationship Id="rId28" Type="http://schemas.openxmlformats.org/officeDocument/2006/relationships/hyperlink" Target="https://www.ioc-sealevelmonitoring.org/station.php?code=lecy" TargetMode="External"/><Relationship Id="rId36" Type="http://schemas.openxmlformats.org/officeDocument/2006/relationships/hyperlink" Target="https://services.data.shom.fr/geonetwork/srv/fre/catalog.search"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malvernpanalytical.com/en/support/product-support/software/rs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59327/IPCC/AR6-9789291691647.001" TargetMode="External"/><Relationship Id="rId27" Type="http://schemas.openxmlformats.org/officeDocument/2006/relationships/hyperlink" Target="https://electricblue.eu/intertidal-chamber" TargetMode="External"/><Relationship Id="rId30" Type="http://schemas.openxmlformats.org/officeDocument/2006/relationships/hyperlink" Target="https://doi.org/10.1016/S0034-4257(70)80021-9" TargetMode="External"/><Relationship Id="rId35" Type="http://schemas.openxmlformats.org/officeDocument/2006/relationships/hyperlink" Target="https://diffusion.shom.fr/references-altimetriques-maritimes-ram.html"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41</Pages>
  <Words>10556</Words>
  <Characters>58060</Characters>
  <Application>Microsoft Office Word</Application>
  <DocSecurity>0</DocSecurity>
  <Lines>483</Lines>
  <Paragraphs>136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68480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Heatwave impacts on intertidal seagrass reflectance: from laboratory experiment to satellite mapping of seagrass heat shock index</dc:title>
  <dc:creator>Simon Oiry;Bede Ffinian Rowe Davies¹;Philippe Rosa¹;Augustin Debly¹;Maria Laura Zoffoli;Anne-Laure Barillé;Nicolas Harin³;Marta Román¹⁴;Pierre Gernez¹;Laurent Barillé¹</dc:creator>
  <cp:keywords>Remote Sensing, Pigment Composition, Seagrass, Coastal Ecosystems, Heatwaves</cp:keywords>
  <cp:lastModifiedBy>simon oiry</cp:lastModifiedBy>
  <cp:revision>3</cp:revision>
  <dcterms:created xsi:type="dcterms:W3CDTF">2025-09-30T11:14:00Z</dcterms:created>
  <dcterms:modified xsi:type="dcterms:W3CDTF">2025-10-02T15:57:00Z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enabling for continuous monitoring of seagrass meadows under the current and future climate regimes.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2025-09-30</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