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96.png" ContentType="image/png"/>
  <Override PartName="/word/media/rId114.png" ContentType="image/png"/>
  <Override PartName="/word/media/rId30.png" ContentType="image/png"/>
  <Override PartName="/word/media/rId24.png" ContentType="image/png"/>
  <Override PartName="/word/media/rId101.png" ContentType="image/png"/>
  <Override PartName="/word/media/rId85.png" ContentType="image/png"/>
  <Override PartName="/word/media/rId48.png" ContentType="image/png"/>
  <Override PartName="/word/media/rId91.png" ContentType="image/png"/>
  <Override PartName="/word/media/rId78.png" ContentType="image/png"/>
  <Override PartName="/word/media/rId53.png" ContentType="image/png"/>
  <Override PartName="/word/media/rId73.png" ContentType="image/png"/>
  <Override PartName="/word/media/rId67.png" ContentType="image/png"/>
  <Override PartName="/word/media/rId118.png" ContentType="image/png"/>
  <Override PartName="/word/media/rId123.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Heatwave impacts on intertidal seagrass reflectance: from laboratory experiment to satellite mapping of seagrass heat shock index</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Marta Román¹⁴</w:t>
      </w:r>
    </w:p>
    <w:p>
      <w:pPr>
        <w:pStyle w:val="Author"/>
      </w:pPr>
      <w:r>
        <w:t xml:space="preserve">Pierre Gernez¹</w:t>
      </w:r>
    </w:p>
    <w:p>
      <w:pPr>
        <w:pStyle w:val="Author"/>
      </w:pPr>
      <w:r>
        <w:t xml:space="preserve">Laurent Barillé¹</w:t>
      </w:r>
    </w:p>
    <w:p>
      <w:pPr>
        <w:pStyle w:val="Date"/>
      </w:pPr>
      <w:r>
        <w:t xml:space="preserve">2025-10-07</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w:t>
      </w:r>
      <w:r>
        <w:t xml:space="preserve"> </w:t>
      </w:r>
      <w:r>
        <w:rPr>
          <w:i/>
          <w:iCs/>
        </w:rPr>
        <w:t xml:space="preserve">Zostera noltei</w:t>
      </w:r>
      <w:r>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w:t>
      </w:r>
    </w:p>
    <w:bookmarkStart w:id="23" w:name="introduction"/>
    <w:p>
      <w:pPr>
        <w:pStyle w:val="Heading1"/>
      </w:pPr>
      <w:r>
        <w:t xml:space="preserve">1.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(Brun et al., 2003; 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 Zostera marina along the European thermal gradient exhibit varied photophysiological responses during the recovery phase of HWs, indicating differential adaptation capabilities among populations (Winters et al., 2011). High-latitude populations exhibited prolonged declines in photophysiological performance even after temperatures returned to control levels, whereas the low-latitude Adriatic population showed full recovery</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Although extensive research exists on marine heatwaves’ effects on subtidal seagrasses</w:t>
      </w:r>
      <w:r>
        <w:t xml:space="preserve"> </w:t>
      </w:r>
      <w:r>
        <w:t xml:space="preserve">(Arias-Ortiz et al., 2018; Deguette et al., 2022; Strydom et al., 2020)</w:t>
      </w:r>
      <w:r>
        <w:t xml:space="preserve">, less attention has been given to intertidal habitats and even less to the effect of atmospheric extreme events on intertidal seagrass. Nonetheless, recent research showed that the low tide exposure of</w:t>
      </w:r>
      <w:r>
        <w:t xml:space="preserve"> </w:t>
      </w:r>
      <w:r>
        <w:rPr>
          <w:i/>
          <w:iCs/>
        </w:rPr>
        <w:t xml:space="preserve">Zostera noltei</w:t>
      </w:r>
      <w:r>
        <w:t xml:space="preserve"> </w:t>
      </w:r>
      <w:r>
        <w:t xml:space="preserve">to a simulated four-day atmospheric HW caused significant decreases in its photosynthetic efficiency, resulting in leaf necrosis and decay</w:t>
      </w:r>
      <w:r>
        <w:t xml:space="preserve"> </w:t>
      </w:r>
      <w:r>
        <w:t xml:space="preserve">(Román et al., 2023)</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bookmarkEnd w:id="23"/>
    <w:bookmarkStart w:id="66" w:name="material-methods"/>
    <w:p>
      <w:pPr>
        <w:pStyle w:val="Heading1"/>
      </w:pPr>
      <w:r>
        <w:t xml:space="preserve">2. Material &amp; Methods</w:t>
      </w:r>
    </w:p>
    <w:bookmarkStart w:id="47"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These coring device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646420" cy="5554024"/>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bookmarkEnd w:id="27"/>
        </w:tc>
      </w:tr>
    </w:tbl>
    <w:bookmarkEnd w:id="28"/>
    <w:bookmarkEnd w:id="29"/>
    <w:bookmarkStart w:id="35" w:name="experimental-design"/>
    <w:p>
      <w:pPr>
        <w:pStyle w:val="Heading3"/>
      </w:pPr>
      <w:r>
        <w:t xml:space="preserve">2.1.2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w:t>
      </w:r>
      <w:hyperlink w:anchor="fig-Profile">
        <w:r>
          <w:rPr>
            <w:rStyle w:val="Hyperlink"/>
          </w:rPr>
          <w:t xml:space="preserve">Figure 2</w:t>
        </w:r>
      </w:hyperlink>
      <w:r>
        <w:t xml:space="preserve">). Field temperature was measured using</w:t>
      </w:r>
      <w:r>
        <w:t xml:space="preserve"> </w:t>
      </w:r>
      <w:r>
        <w:rPr>
          <w:i/>
          <w:iCs/>
        </w:rPr>
        <w:t xml:space="preserve">in situ</w:t>
      </w:r>
      <w:r>
        <w:t xml:space="preserve"> </w:t>
      </w:r>
      <w:r>
        <w:t xml:space="preserve">sensors (T7.3 EnvLoggers from ElectricBlue®) deployed at the sampling site in August 2024. The loggers were positioned along a transect from the upper to the lower intertidal zone, attached to pre-existing wooden poles at the sediment surface.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6.1</w:t>
        </w:r>
      </w:hyperlink>
      <w:r>
        <w:t xml:space="preserve">). The control chamber was kept at temperatures representing typical summer conditions, with water temperatures at 18°C and air temperatures from 19°C to 23°C, following natural daily temperature fluctuations (</w:t>
      </w:r>
      <w:hyperlink w:anchor="fig-Profile">
        <w:r>
          <w:rPr>
            <w:rStyle w:val="Hyperlink"/>
          </w:rPr>
          <w:t xml:space="preserve">Figure 2</w:t>
        </w:r>
      </w:hyperlink>
      <w:r>
        <w:t xml:space="preserve">). In the treatment chamber,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chambers, was repeated three times to obtain replicates (hereafter referred to as</w:t>
      </w:r>
      <w:r>
        <w:t xml:space="preserve"> </w:t>
      </w:r>
      <w:r>
        <w:t xml:space="preserve">“Run”</w:t>
      </w:r>
      <w:r>
        <w:t xml:space="preserve">).</w:t>
      </w:r>
    </w:p>
    <w:bookmarkStart w:id="34" w:name="cell-fig-Profile"/>
    <w:tbl>
      <w:tblPr>
        <w:tblStyle w:val="Table"/>
        <w:tblW w:type="pct" w:w="5000"/>
        <w:tblLayout w:type="fixed"/>
        <w:tblLook w:firstRow="0" w:lastRow="0" w:firstColumn="0" w:lastColumn="0" w:noHBand="0" w:noVBand="0" w:val="0000"/>
      </w:tblPr>
      <w:tblGrid>
        <w:gridCol w:w="7920"/>
      </w:tblGrid>
      <w:tr>
        <w:tc>
          <w:tcPr/>
          <w:bookmarkStart w:id="33" w:name="fig-Profile"/>
          <w:p>
            <w:pPr>
              <w:pStyle w:val="Compact"/>
              <w:jc w:val="center"/>
            </w:pPr>
            <w:r>
              <w:drawing>
                <wp:inline>
                  <wp:extent cx="5646420" cy="2582627"/>
                  <wp:effectExtent b="0" l="0" r="0" t="0"/>
                  <wp:docPr descr="" title="" id="31" name="Picture"/>
                  <a:graphic>
                    <a:graphicData uri="http://schemas.openxmlformats.org/drawingml/2006/picture">
                      <pic:pic>
                        <pic:nvPicPr>
                          <pic:cNvPr descr="Figs/Low_res/Chamber_Profils.png" id="32" name="Picture"/>
                          <pic:cNvPicPr>
                            <a:picLocks noChangeArrowheads="1" noChangeAspect="1"/>
                          </pic:cNvPicPr>
                        </pic:nvPicPr>
                        <pic:blipFill>
                          <a:blip r:embed="rId30"/>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3"/>
        </w:tc>
      </w:tr>
    </w:tbl>
    <w:bookmarkEnd w:id="34"/>
    <w:bookmarkEnd w:id="35"/>
    <w:bookmarkStart w:id="46" w:name="optical-measurements"/>
    <w:p>
      <w:pPr>
        <w:pStyle w:val="Heading3"/>
      </w:pPr>
      <w:r>
        <w:t xml:space="preserve">2.1.3 Optical measurements</w:t>
      </w:r>
    </w:p>
    <w:bookmarkStart w:id="36" w:name="hyperspectral-reflectance-measurements"/>
    <w:p>
      <w:pPr>
        <w:pStyle w:val="Heading4"/>
      </w:pPr>
      <w:r>
        <w:t xml:space="preserve">2.1.3.1 Hyperspectral reflectance measurements</w:t>
      </w:r>
    </w:p>
    <w:p>
      <w:pPr>
        <w:pStyle w:val="FirstParagraph"/>
      </w:pPr>
      <w:r>
        <w:t xml:space="preserve">Throughout the experiment, the hyperspectral reflectance,</w:t>
      </w:r>
      <w:r>
        <w:t xml:space="preserve"> </w:t>
      </w:r>
      <m:oMath>
        <m:r>
          <m:t>R</m:t>
        </m:r>
        <m:d>
          <m:dPr>
            <m:begChr m:val="("/>
            <m:sepChr m:val=""/>
            <m:end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sepChr m:val=""/>
            <m:endChr m:val=")"/>
            <m:grow/>
          </m:dPr>
          <m:e>
            <m:r>
              <m:t>λ</m:t>
            </m:r>
          </m:e>
        </m:d>
      </m:oMath>
      <w:r>
        <w:t xml:space="preserve"> </w:t>
      </w:r>
      <w:r>
        <w:t xml:space="preserve">without opening the chamber. An average of five</w:t>
      </w:r>
      <w:r>
        <w:t xml:space="preserve"> </w:t>
      </w:r>
      <m:oMath>
        <m:r>
          <m:t>R</m:t>
        </m:r>
        <m:d>
          <m:dPr>
            <m:begChr m:val="("/>
            <m:sepChr m:val=""/>
            <m:end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sepChr m:val=""/>
            <m:end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6"/>
    <w:bookmarkStart w:id="45" w:name="spectrum-post-processing"/>
    <w:p>
      <w:pPr>
        <w:pStyle w:val="Heading4"/>
      </w:pPr>
      <w:r>
        <w:t xml:space="preserve">2.1.3.2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sepChr m:val=""/>
            <m:end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7" w:name="eq-ndvi"/>
      <m:oMathPara>
        <m:oMathParaPr>
          <m:jc m:val="center"/>
        </m:oMathParaPr>
        <m:oMath>
          <m:r>
            <m:t>N</m:t>
          </m:r>
          <m:r>
            <m:t>D</m:t>
          </m:r>
          <m:r>
            <m:t>V</m:t>
          </m:r>
          <m:r>
            <m:t>I</m:t>
          </m:r>
          <m:r>
            <m:rPr>
              <m:sty m:val="p"/>
            </m:rPr>
            <m:t>=</m:t>
          </m:r>
          <m:f>
            <m:fPr>
              <m:type m:val="bar"/>
            </m:fPr>
            <m:num>
              <m:r>
                <m:t>R</m:t>
              </m:r>
              <m:d>
                <m:dPr>
                  <m:begChr m:val="("/>
                  <m:sepChr m:val=""/>
                  <m:endChr m:val=")"/>
                  <m:grow/>
                </m:dPr>
                <m:e>
                  <m:r>
                    <m:t>840</m:t>
                  </m:r>
                </m:e>
              </m:d>
              <m:r>
                <m:rPr>
                  <m:sty m:val="p"/>
                </m:rPr>
                <m:t>−</m:t>
              </m:r>
              <m:r>
                <m:t>R</m:t>
              </m:r>
              <m:d>
                <m:dPr>
                  <m:begChr m:val="("/>
                  <m:sepChr m:val=""/>
                  <m:endChr m:val=")"/>
                  <m:grow/>
                </m:dPr>
                <m:e>
                  <m:r>
                    <m:t>668</m:t>
                  </m:r>
                </m:e>
              </m:d>
            </m:num>
            <m:den>
              <m:r>
                <m:t>R</m:t>
              </m:r>
              <m:d>
                <m:dPr>
                  <m:begChr m:val="("/>
                  <m:sepChr m:val=""/>
                  <m:endChr m:val=")"/>
                  <m:grow/>
                </m:dPr>
                <m:e>
                  <m:r>
                    <m:t>840</m:t>
                  </m:r>
                </m:e>
              </m:d>
              <m:r>
                <m:rPr>
                  <m:sty m:val="p"/>
                </m:rPr>
                <m:t>+</m:t>
              </m:r>
              <m:r>
                <m:t>R</m:t>
              </m:r>
              <m:d>
                <m:dPr>
                  <m:begChr m:val="("/>
                  <m:sepChr m:val=""/>
                  <m:endChr m:val=")"/>
                  <m:grow/>
                </m:dPr>
                <m:e>
                  <m:r>
                    <m:t>668</m:t>
                  </m:r>
                </m:e>
              </m:d>
            </m:den>
          </m:f>
          <m:r>
            <m:t>  </m:t>
          </m:r>
          <m:d>
            <m:dPr>
              <m:begChr m:val="("/>
              <m:sepChr m:val=""/>
              <m:endChr m:val=")"/>
              <m:grow/>
            </m:dPr>
            <m:e>
              <m:r>
                <m:t>1</m:t>
              </m:r>
            </m:e>
          </m:d>
        </m:oMath>
      </m:oMathPara>
      <w:bookmarkEnd w:id="37"/>
    </w:p>
    <w:p>
      <w:pPr>
        <w:pStyle w:val="FirstParagraph"/>
      </w:pPr>
      <w:r>
        <w:t xml:space="preserve">where</w:t>
      </w:r>
      <w:r>
        <w:t xml:space="preserve"> </w:t>
      </w:r>
      <m:oMath>
        <m:r>
          <m:t>R</m:t>
        </m:r>
        <m:d>
          <m:dPr>
            <m:begChr m:val="("/>
            <m:sepChr m:val=""/>
            <m:endChr m:val=")"/>
            <m:grow/>
          </m:dPr>
          <m:e>
            <m:r>
              <m:t>840</m:t>
            </m:r>
          </m:e>
        </m:d>
      </m:oMath>
      <w:r>
        <w:t xml:space="preserve"> </w:t>
      </w:r>
      <w:r>
        <w:t xml:space="preserve">and</w:t>
      </w:r>
      <w:r>
        <w:t xml:space="preserve"> </w:t>
      </w:r>
      <m:oMath>
        <m:r>
          <m:t>R</m:t>
        </m:r>
        <m:d>
          <m:dPr>
            <m:begChr m:val="("/>
            <m:sepChr m:val=""/>
            <m:end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8" w:name="eq-gli"/>
      <m:oMathPara>
        <m:oMathParaPr>
          <m:jc m:val="center"/>
        </m:oMathParaPr>
        <m:oMath>
          <m:r>
            <m:t>G</m:t>
          </m:r>
          <m:r>
            <m:t>L</m:t>
          </m:r>
          <m:r>
            <m:t>I</m:t>
          </m:r>
          <m:r>
            <m:rPr>
              <m:sty m:val="p"/>
            </m:rPr>
            <m:t>=</m:t>
          </m:r>
          <m:f>
            <m:fPr>
              <m:type m:val="bar"/>
            </m:fPr>
            <m:num>
              <m:d>
                <m:dPr>
                  <m:begChr m:val="["/>
                  <m:sepChr m:val=""/>
                  <m:endChr m:val="]"/>
                  <m:grow/>
                </m:dPr>
                <m:e>
                  <m:r>
                    <m:t>R</m:t>
                  </m:r>
                  <m:d>
                    <m:dPr>
                      <m:begChr m:val="("/>
                      <m:sepChr m:val=""/>
                      <m:endChr m:val=")"/>
                      <m:grow/>
                    </m:dPr>
                    <m:e>
                      <m:r>
                        <m:t>550</m:t>
                      </m:r>
                    </m:e>
                  </m:d>
                  <m:r>
                    <m:rPr>
                      <m:sty m:val="p"/>
                    </m:rPr>
                    <m:t>−</m:t>
                  </m:r>
                  <m:r>
                    <m:t>R</m:t>
                  </m:r>
                  <m:d>
                    <m:dPr>
                      <m:begChr m:val="("/>
                      <m:sepChr m:val=""/>
                      <m:endChr m:val=")"/>
                      <m:grow/>
                    </m:dPr>
                    <m:e>
                      <m:r>
                        <m:t>668</m:t>
                      </m:r>
                    </m:e>
                  </m:d>
                </m:e>
              </m:d>
              <m:r>
                <m:rPr>
                  <m:sty m:val="p"/>
                </m:rPr>
                <m:t>+</m:t>
              </m:r>
              <m:d>
                <m:dPr>
                  <m:begChr m:val="["/>
                  <m:sepChr m:val=""/>
                  <m:endChr m:val="]"/>
                  <m:grow/>
                </m:dPr>
                <m:e>
                  <m:r>
                    <m:t>R</m:t>
                  </m:r>
                  <m:d>
                    <m:dPr>
                      <m:begChr m:val="("/>
                      <m:sepChr m:val=""/>
                      <m:endChr m:val=")"/>
                      <m:grow/>
                    </m:dPr>
                    <m:e>
                      <m:r>
                        <m:t>550</m:t>
                      </m:r>
                    </m:e>
                  </m:d>
                  <m:r>
                    <m:rPr>
                      <m:sty m:val="p"/>
                    </m:rPr>
                    <m:t>−</m:t>
                  </m:r>
                  <m:r>
                    <m:t>R</m:t>
                  </m:r>
                  <m:d>
                    <m:dPr>
                      <m:begChr m:val="("/>
                      <m:sepChr m:val=""/>
                      <m:endChr m:val=")"/>
                      <m:grow/>
                    </m:dPr>
                    <m:e>
                      <m:r>
                        <m:t>450</m:t>
                      </m:r>
                    </m:e>
                  </m:d>
                </m:e>
              </m:d>
            </m:num>
            <m:den>
              <m:d>
                <m:dPr>
                  <m:begChr m:val="("/>
                  <m:sepChr m:val=""/>
                  <m:endChr m:val=")"/>
                  <m:grow/>
                </m:dPr>
                <m:e>
                  <m:r>
                    <m:t>2</m:t>
                  </m:r>
                  <m:r>
                    <m:rPr>
                      <m:sty m:val="p"/>
                    </m:rPr>
                    <m:t>×</m:t>
                  </m:r>
                  <m:r>
                    <m:t>R</m:t>
                  </m:r>
                  <m:d>
                    <m:dPr>
                      <m:begChr m:val="("/>
                      <m:sepChr m:val=""/>
                      <m:endChr m:val=")"/>
                      <m:grow/>
                    </m:dPr>
                    <m:e>
                      <m:r>
                        <m:t>550</m:t>
                      </m:r>
                    </m:e>
                  </m:d>
                </m:e>
              </m:d>
              <m:r>
                <m:rPr>
                  <m:sty m:val="p"/>
                </m:rPr>
                <m:t>+</m:t>
              </m:r>
              <m:r>
                <m:t>R</m:t>
              </m:r>
              <m:d>
                <m:dPr>
                  <m:begChr m:val="("/>
                  <m:sepChr m:val=""/>
                  <m:endChr m:val=")"/>
                  <m:grow/>
                </m:dPr>
                <m:e>
                  <m:r>
                    <m:t>668</m:t>
                  </m:r>
                </m:e>
              </m:d>
              <m:r>
                <m:rPr>
                  <m:sty m:val="p"/>
                </m:rPr>
                <m:t>+</m:t>
              </m:r>
              <m:r>
                <m:t>R</m:t>
              </m:r>
              <m:d>
                <m:dPr>
                  <m:begChr m:val="("/>
                  <m:sepChr m:val=""/>
                  <m:endChr m:val=")"/>
                  <m:grow/>
                </m:dPr>
                <m:e>
                  <m:r>
                    <m:t>450</m:t>
                  </m:r>
                </m:e>
              </m:d>
            </m:den>
          </m:f>
          <m:r>
            <m:t>  </m:t>
          </m:r>
          <m:d>
            <m:dPr>
              <m:begChr m:val="("/>
              <m:sepChr m:val=""/>
              <m:endChr m:val=")"/>
              <m:grow/>
            </m:dPr>
            <m:e>
              <m:r>
                <m:t>2</m:t>
              </m:r>
            </m:e>
          </m:d>
        </m:oMath>
      </m:oMathPara>
      <w:bookmarkEnd w:id="38"/>
    </w:p>
    <w:p>
      <w:pPr>
        <w:pStyle w:val="FirstParagraph"/>
      </w:pPr>
      <w:r>
        <w:t xml:space="preserve">where</w:t>
      </w:r>
      <w:r>
        <w:t xml:space="preserve"> </w:t>
      </w:r>
      <m:oMath>
        <m:r>
          <m:t>R</m:t>
        </m:r>
        <m:d>
          <m:dPr>
            <m:begChr m:val="("/>
            <m:sepChr m:val=""/>
            <m:endChr m:val=")"/>
            <m:grow/>
          </m:dPr>
          <m:e>
            <m:r>
              <m:t>550</m:t>
            </m:r>
          </m:e>
        </m:d>
      </m:oMath>
      <w:r>
        <w:t xml:space="preserve"> </w:t>
      </w:r>
      <w:r>
        <w:t xml:space="preserve">and</w:t>
      </w:r>
      <w:r>
        <w:t xml:space="preserve"> </w:t>
      </w:r>
      <m:oMath>
        <m:r>
          <m:t>R</m:t>
        </m:r>
        <m:d>
          <m:dPr>
            <m:begChr m:val="("/>
            <m:sepChr m:val=""/>
            <m:endChr m:val=")"/>
            <m:grow/>
          </m:dPr>
          <m:e>
            <m:r>
              <m:t>450</m:t>
            </m:r>
          </m:e>
        </m:d>
      </m:oMath>
      <w:r>
        <w:t xml:space="preserve"> </w:t>
      </w:r>
      <w:r>
        <w:t xml:space="preserve">are the reflectance in the green (at 550 nm) and in the blue (at 450 nm) spectral bands, respectively.</w:t>
      </w:r>
    </w:p>
    <w:p>
      <w:pPr>
        <w:pStyle w:val="BodyText"/>
      </w:pPr>
      <w:r>
        <w:t xml:space="preserve">To quantify heatwave-induced changes in seagrass reflectance, we developed the Seagrass Heat Shock Index (SHSI). This metric captures deviations in reflectance at 740 nm, located in the red-edge region where the difference between impacted and non-impacted seagrass is most pronounced (</w:t>
      </w:r>
      <w:hyperlink w:anchor="fig-Exp_Spectra">
        <w:r>
          <w:rPr>
            <w:rStyle w:val="Hyperlink"/>
          </w:rPr>
          <w:t xml:space="preserve">Figure 6</w:t>
        </w:r>
      </w:hyperlink>
      <w:r>
        <w:t xml:space="preserve">). The reflectance at 560 and at 740 nm are compared to a linear baseline drawn between two anchor wavelengths: 490 nm in the blue region and 865 nm in the near-infrared. The blue anchor (490 nm) was chosen because impacted and non-impacted seagrass exhibit very similar reflectance in this region, providing a stable baseline reference. The near-infrared anchor (865 nm) was selected because the two spectra converge at longer wavelengths, making it the most suitable endpoint available in multispectral sensors such as Sentinel-2. This configuration allows the SHSI to capture not only the loss of reflectance in the red-edge region but also changes in the green spectral region, thereby enhancing its sensitivity to stress-induced spectral alterations.</w:t>
      </w:r>
    </w:p>
    <w:p>
      <w:pPr>
        <w:pStyle w:val="BodyText"/>
      </w:pPr>
      <w:bookmarkStart w:id="39" w:name="eq-SDI"/>
      <m:oMathPara>
        <m:oMathParaPr>
          <m:jc m:val="center"/>
        </m:oMathParaPr>
        <m:oMath>
          <m:m>
            <m:mPr>
              <m:baseJc m:val="center"/>
              <m:plcHide m:val="on"/>
              <m:mcs>
                <m:mc>
                  <m:mcPr>
                    <m:mcJc m:val="right"/>
                    <m:count m:val="1"/>
                  </m:mcPr>
                </m:mc>
                <m:mc>
                  <m:mcPr>
                    <m:mcJc m:val="left"/>
                    <m:count m:val="1"/>
                  </m:mcPr>
                </m:mc>
              </m:mcs>
            </m:mPr>
            <m:mr>
              <m:e>
                <m:r>
                  <m:rPr>
                    <m:sty m:val="p"/>
                  </m:rPr>
                  <m:t>S</m:t>
                </m:r>
                <m:r>
                  <m:rPr>
                    <m:sty m:val="p"/>
                  </m:rPr>
                  <m:t>H</m:t>
                </m:r>
                <m:r>
                  <m:rPr>
                    <m:sty m:val="p"/>
                  </m:rPr>
                  <m:t>S</m:t>
                </m:r>
                <m:r>
                  <m:rPr>
                    <m:sty m:val="p"/>
                  </m:rPr>
                  <m:t>I</m:t>
                </m:r>
              </m:e>
              <m:e>
                <m:r>
                  <m:rPr>
                    <m:sty m:val="p"/>
                  </m:rPr>
                  <m:t>=</m:t>
                </m:r>
                <m:nary>
                  <m:naryPr>
                    <m:chr m:val="∑"/>
                    <m:limLoc m:val="undOvr"/>
                    <m:subHide m:val="off"/>
                    <m:supHide m:val="on"/>
                  </m:naryPr>
                  <m:sub>
                    <m:r>
                      <m:t>λ</m:t>
                    </m:r>
                    <m:r>
                      <m:rPr>
                        <m:sty m:val="p"/>
                      </m:rPr>
                      <m:t>∈</m:t>
                    </m:r>
                    <m:r>
                      <m:rPr>
                        <m:sty m:val="p"/>
                      </m:rPr>
                      <m:t>{</m:t>
                    </m:r>
                    <m:r>
                      <m:t>560</m:t>
                    </m:r>
                    <m:r>
                      <m:rPr>
                        <m:sty m:val="p"/>
                      </m:rPr>
                      <m:t>,</m:t>
                    </m:r>
                    <m:r>
                      <m:t> </m:t>
                    </m:r>
                    <m:r>
                      <m:t>740</m:t>
                    </m:r>
                    <m:r>
                      <m:rPr>
                        <m:sty m:val="p"/>
                      </m:rPr>
                      <m:t>}</m:t>
                    </m:r>
                  </m:sub>
                  <m:sup>
                    <m:r>
                      <m:t>​</m:t>
                    </m:r>
                  </m:sup>
                  <m:e>
                    <m:r>
                      <m:t>Δ</m:t>
                    </m:r>
                  </m:e>
                </m:nary>
                <m:d>
                  <m:dPr>
                    <m:begChr m:val="("/>
                    <m:sepChr m:val=""/>
                    <m:endChr m:val=")"/>
                    <m:grow/>
                  </m:dPr>
                  <m:e>
                    <m:r>
                      <m:t>λ</m:t>
                    </m:r>
                  </m:e>
                </m:d>
              </m:e>
            </m:mr>
            <m:mr>
              <m:e>
                <m:r>
                  <m:t>Δ</m:t>
                </m:r>
                <m:d>
                  <m:dPr>
                    <m:begChr m:val="("/>
                    <m:sepChr m:val=""/>
                    <m:endChr m:val=")"/>
                    <m:grow/>
                  </m:dPr>
                  <m:e>
                    <m:r>
                      <m:t>λ</m:t>
                    </m:r>
                  </m:e>
                </m:d>
              </m:e>
              <m:e>
                <m:r>
                  <m:rPr>
                    <m:sty m:val="p"/>
                  </m:rPr>
                  <m:t>=</m:t>
                </m:r>
                <m:r>
                  <m:t>I</m:t>
                </m:r>
                <m:d>
                  <m:dPr>
                    <m:begChr m:val="("/>
                    <m:sepChr m:val=""/>
                    <m:endChr m:val=")"/>
                    <m:grow/>
                  </m:dPr>
                  <m:e>
                    <m:r>
                      <m:t>λ</m:t>
                    </m:r>
                  </m:e>
                </m:d>
                <m:r>
                  <m:rPr>
                    <m:sty m:val="p"/>
                  </m:rPr>
                  <m:t>−</m:t>
                </m:r>
                <m:r>
                  <m:t>R</m:t>
                </m:r>
                <m:d>
                  <m:dPr>
                    <m:begChr m:val="("/>
                    <m:sepChr m:val=""/>
                    <m:endChr m:val=")"/>
                    <m:grow/>
                  </m:dPr>
                  <m:e>
                    <m:r>
                      <m:t>λ</m:t>
                    </m:r>
                  </m:e>
                </m:d>
                <m:r>
                  <m:rPr>
                    <m:sty m:val="p"/>
                  </m:rPr>
                  <m:t>,</m:t>
                </m:r>
              </m:e>
            </m:mr>
            <m:mr>
              <m:e>
                <m:r>
                  <m:t>I</m:t>
                </m:r>
                <m:d>
                  <m:dPr>
                    <m:begChr m:val="("/>
                    <m:sepChr m:val=""/>
                    <m:endChr m:val=")"/>
                    <m:grow/>
                  </m:dPr>
                  <m:e>
                    <m:r>
                      <m:t>λ</m:t>
                    </m:r>
                  </m:e>
                </m:d>
              </m:e>
              <m:e>
                <m:r>
                  <m:rPr>
                    <m:sty m:val="p"/>
                  </m:rPr>
                  <m:t>=</m:t>
                </m:r>
                <m:r>
                  <m:t>R</m:t>
                </m:r>
                <m:d>
                  <m:dPr>
                    <m:begChr m:val="("/>
                    <m:sepChr m:val=""/>
                    <m:endChr m:val=")"/>
                    <m:grow/>
                  </m:dPr>
                  <m:e>
                    <m:sSub>
                      <m:e>
                        <m:r>
                          <m:t>λ</m:t>
                        </m:r>
                      </m:e>
                      <m:sub>
                        <m:r>
                          <m:t>1</m:t>
                        </m:r>
                      </m:sub>
                    </m:sSub>
                  </m:e>
                </m:d>
                <m:r>
                  <m:rPr>
                    <m:sty m:val="p"/>
                  </m:rPr>
                  <m:t>+</m:t>
                </m:r>
                <m:f>
                  <m:fPr>
                    <m:type m:val="bar"/>
                  </m:fPr>
                  <m:num>
                    <m:r>
                      <m:t>λ</m:t>
                    </m:r>
                    <m:r>
                      <m:rPr>
                        <m:sty m:val="p"/>
                      </m:rPr>
                      <m:t>−</m:t>
                    </m:r>
                    <m:sSub>
                      <m:e>
                        <m:r>
                          <m:t>λ</m:t>
                        </m:r>
                      </m:e>
                      <m:sub>
                        <m:r>
                          <m:t>1</m:t>
                        </m:r>
                      </m:sub>
                    </m:sSub>
                  </m:num>
                  <m:den>
                    <m:sSub>
                      <m:e>
                        <m:r>
                          <m:t>λ</m:t>
                        </m:r>
                      </m:e>
                      <m:sub>
                        <m:r>
                          <m:t>2</m:t>
                        </m:r>
                      </m:sub>
                    </m:sSub>
                    <m:r>
                      <m:rPr>
                        <m:sty m:val="p"/>
                      </m:rPr>
                      <m:t>−</m:t>
                    </m:r>
                    <m:sSub>
                      <m:e>
                        <m:r>
                          <m:t>λ</m:t>
                        </m:r>
                      </m:e>
                      <m:sub>
                        <m:r>
                          <m:t>1</m:t>
                        </m:r>
                      </m:sub>
                    </m:sSub>
                  </m:den>
                </m:f>
                <m:d>
                  <m:dPr>
                    <m:begChr m:val="["/>
                    <m:sepChr m:val=""/>
                    <m:endChr m:val="]"/>
                    <m:grow/>
                  </m:dPr>
                  <m:e>
                    <m:r>
                      <m:t>R</m:t>
                    </m:r>
                    <m:d>
                      <m:dPr>
                        <m:begChr m:val="("/>
                        <m:sepChr m:val=""/>
                        <m:endChr m:val=")"/>
                        <m:grow/>
                      </m:dPr>
                      <m:e>
                        <m:sSub>
                          <m:e>
                            <m:r>
                              <m:t>λ</m:t>
                            </m:r>
                          </m:e>
                          <m:sub>
                            <m:r>
                              <m:t>2</m:t>
                            </m:r>
                          </m:sub>
                        </m:sSub>
                      </m:e>
                    </m:d>
                    <m:r>
                      <m:rPr>
                        <m:sty m:val="p"/>
                      </m:rPr>
                      <m:t>−</m:t>
                    </m:r>
                    <m:r>
                      <m:t>R</m:t>
                    </m:r>
                    <m:d>
                      <m:dPr>
                        <m:begChr m:val="("/>
                        <m:sepChr m:val=""/>
                        <m:endChr m:val=")"/>
                        <m:grow/>
                      </m:dPr>
                      <m:e>
                        <m:sSub>
                          <m:e>
                            <m:r>
                              <m:t>λ</m:t>
                            </m:r>
                          </m:e>
                          <m:sub>
                            <m:r>
                              <m:t>1</m:t>
                            </m:r>
                          </m:sub>
                        </m:sSub>
                      </m:e>
                    </m:d>
                  </m:e>
                </m:d>
              </m:e>
            </m:mr>
          </m:m>
          <m:r>
            <m:t>  </m:t>
          </m:r>
          <m:d>
            <m:dPr>
              <m:begChr m:val="("/>
              <m:sepChr m:val=""/>
              <m:endChr m:val=")"/>
              <m:grow/>
            </m:dPr>
            <m:e>
              <m:r>
                <m:t>3</m:t>
              </m:r>
            </m:e>
          </m:d>
        </m:oMath>
      </m:oMathPara>
      <w:bookmarkEnd w:id="39"/>
    </w:p>
    <w:p>
      <w:pPr>
        <w:pStyle w:val="FirstParagraph"/>
      </w:pPr>
      <w:r>
        <w:t xml:space="preserve">where</w:t>
      </w:r>
      <w:r>
        <w:t xml:space="preserve"> </w:t>
      </w:r>
      <m:oMath>
        <m:sSub>
          <m:e>
            <m:r>
              <m:t>λ</m:t>
            </m:r>
          </m:e>
          <m:sub>
            <m:r>
              <m:t>1</m:t>
            </m:r>
          </m:sub>
        </m:sSub>
      </m:oMath>
      <w:r>
        <w:t xml:space="preserve"> </w:t>
      </w:r>
      <w:r>
        <w:t xml:space="preserve">= 490 and</w:t>
      </w:r>
      <w:r>
        <w:t xml:space="preserve"> </w:t>
      </w:r>
      <m:oMath>
        <m:sSub>
          <m:e>
            <m:r>
              <m:t>λ</m:t>
            </m:r>
          </m:e>
          <m:sub>
            <m:r>
              <m:t>2</m:t>
            </m:r>
          </m:sub>
        </m:sSub>
      </m:oMath>
      <w:r>
        <w:t xml:space="preserve"> </w:t>
      </w:r>
      <w:r>
        <w:t xml:space="preserve">= 865. A positive SHSI indicates stressed (browned) seagrass, while a negative value characterizes healthy green seagrass. These wavelengths were selected to align with the spectral resolution of satellites missions such as Sentinel-2, for broader remote sensing application.</w:t>
      </w:r>
    </w:p>
    <w:bookmarkStart w:id="44" w:name="cell-fig-SHSI"/>
    <w:tbl>
      <w:tblPr>
        <w:tblStyle w:val="Table"/>
        <w:tblW w:type="pct" w:w="5000"/>
        <w:tblLayout w:type="fixed"/>
        <w:tblLook w:firstRow="0" w:lastRow="0" w:firstColumn="0" w:lastColumn="0" w:noHBand="0" w:noVBand="0" w:val="0000"/>
      </w:tblPr>
      <w:tblGrid>
        <w:gridCol w:w="7920"/>
      </w:tblGrid>
      <w:tr>
        <w:tc>
          <w:tcPr/>
          <w:bookmarkStart w:id="43" w:name="fig-SHSI"/>
          <w:p>
            <w:pPr>
              <w:pStyle w:val="Compact"/>
              <w:jc w:val="center"/>
            </w:pPr>
            <w:r>
              <w:drawing>
                <wp:inline>
                  <wp:extent cx="5646420" cy="5646420"/>
                  <wp:effectExtent b="0" l="0" r="0" t="0"/>
                  <wp:docPr descr="" title="" id="41" name="Picture"/>
                  <a:graphic>
                    <a:graphicData uri="http://schemas.openxmlformats.org/drawingml/2006/picture">
                      <pic:pic>
                        <pic:nvPicPr>
                          <pic:cNvPr descr="Figs/High_res/Plot_explain_SHSI.png" id="42" name="Picture"/>
                          <pic:cNvPicPr>
                            <a:picLocks noChangeArrowheads="1" noChangeAspect="1"/>
                          </pic:cNvPicPr>
                        </pic:nvPicPr>
                        <pic:blipFill>
                          <a:blip r:embed="rId40"/>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3"/>
        </w:tc>
      </w:tr>
    </w:tbl>
    <w:bookmarkEnd w:id="44"/>
    <w:bookmarkEnd w:id="45"/>
    <w:bookmarkEnd w:id="46"/>
    <w:bookmarkEnd w:id="47"/>
    <w:bookmarkStart w:id="64" w:name="X53c8231f04157ff9451ec0257d89262a154cfec"/>
    <w:p>
      <w:pPr>
        <w:pStyle w:val="Heading2"/>
      </w:pPr>
      <w:r>
        <w:t xml:space="preserve">2.2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2" w:name="cell-fig-quiberonMap"/>
    <w:tbl>
      <w:tblPr>
        <w:tblStyle w:val="Table"/>
        <w:tblW w:type="pct" w:w="5000"/>
        <w:tblLayout w:type="fixed"/>
        <w:tblLook w:firstRow="0" w:lastRow="0" w:firstColumn="0" w:lastColumn="0" w:noHBand="0" w:noVBand="0" w:val="0000"/>
      </w:tblPr>
      <w:tblGrid>
        <w:gridCol w:w="7920"/>
      </w:tblGrid>
      <w:tr>
        <w:tc>
          <w:tcPr/>
          <w:bookmarkStart w:id="51" w:name="fig-quiberonMap"/>
          <w:p>
            <w:pPr>
              <w:pStyle w:val="Compact"/>
              <w:jc w:val="center"/>
            </w:pPr>
            <w:r>
              <w:drawing>
                <wp:inline>
                  <wp:extent cx="5646420" cy="5646420"/>
                  <wp:effectExtent b="0" l="0" r="0" t="0"/>
                  <wp:docPr descr="" title="" id="49" name="Picture"/>
                  <a:graphic>
                    <a:graphicData uri="http://schemas.openxmlformats.org/drawingml/2006/picture">
                      <pic:pic>
                        <pic:nvPicPr>
                          <pic:cNvPr descr="Figs/Low_res/Quiberon_map.png" id="50" name="Picture"/>
                          <pic:cNvPicPr>
                            <a:picLocks noChangeArrowheads="1" noChangeAspect="1"/>
                          </pic:cNvPicPr>
                        </pic:nvPicPr>
                        <pic:blipFill>
                          <a:blip r:embed="rId48"/>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1"/>
        </w:tc>
      </w:tr>
    </w:tbl>
    <w:bookmarkEnd w:id="52"/>
    <w:bookmarkStart w:id="57" w:name="cell-fig-QuiberonImg"/>
    <w:tbl>
      <w:tblPr>
        <w:tblStyle w:val="Table"/>
        <w:tblW w:type="pct" w:w="5000"/>
        <w:tblLayout w:type="fixed"/>
        <w:tblLook w:firstRow="0" w:lastRow="0" w:firstColumn="0" w:lastColumn="0" w:noHBand="0" w:noVBand="0" w:val="0000"/>
      </w:tblPr>
      <w:tblGrid>
        <w:gridCol w:w="7920"/>
      </w:tblGrid>
      <w:tr>
        <w:tc>
          <w:tcPr/>
          <w:bookmarkStart w:id="56" w:name="fig-QuiberonImg"/>
          <w:p>
            <w:pPr>
              <w:pStyle w:val="Compact"/>
              <w:jc w:val="center"/>
            </w:pPr>
            <w:r>
              <w:drawing>
                <wp:inline>
                  <wp:extent cx="2692781" cy="1785257"/>
                  <wp:effectExtent b="0" l="0" r="0" t="0"/>
                  <wp:docPr descr="" title="" id="54" name="Picture"/>
                  <a:graphic>
                    <a:graphicData uri="http://schemas.openxmlformats.org/drawingml/2006/picture">
                      <pic:pic>
                        <pic:nvPicPr>
                          <pic:cNvPr descr="Figs/Low_res/img_Quiberon.png" id="55" name="Picture"/>
                          <pic:cNvPicPr>
                            <a:picLocks noChangeArrowheads="1" noChangeAspect="1"/>
                          </pic:cNvPicPr>
                        </pic:nvPicPr>
                        <pic:blipFill>
                          <a:blip r:embed="rId53"/>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6"/>
        </w:tc>
      </w:tr>
    </w:tbl>
    <w:bookmarkEnd w:id="57"/>
    <w:bookmarkStart w:id="61" w:name="temperature-data-and-hw-detection"/>
    <w:p>
      <w:pPr>
        <w:pStyle w:val="Heading3"/>
      </w:pPr>
      <w:r>
        <w:t xml:space="preserve">2.2.1 Temperature data and HW detection</w:t>
      </w:r>
    </w:p>
    <w:bookmarkStart w:id="58" w:name="air-temperature"/>
    <w:p>
      <w:pPr>
        <w:pStyle w:val="Heading4"/>
      </w:pPr>
      <w:r>
        <w:t xml:space="preserve">2.2.1.1 Air temperature</w:t>
      </w:r>
    </w:p>
    <w:p>
      <w:pPr>
        <w:pStyle w:val="FirstParagraph"/>
      </w:pPr>
      <w:r>
        <w:t xml:space="preserve">Hourly air temperature data from 1952 to 2024 (more than 395,000 observation) from a nearby weather station (Lorient-Lann Bihoue, 47°45’46”N 3°26’11”W) was retrieved from Meteo France (https://portail-api.meteofrance.fr).</w:t>
      </w:r>
    </w:p>
    <w:bookmarkEnd w:id="58"/>
    <w:bookmarkStart w:id="59" w:name="water-temperature"/>
    <w:p>
      <w:pPr>
        <w:pStyle w:val="Heading4"/>
      </w:pPr>
      <w:r>
        <w:t xml:space="preserve">2.2.1.2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59"/>
    <w:bookmarkStart w:id="60" w:name="heatwave-detection-and-characterization"/>
    <w:p>
      <w:pPr>
        <w:pStyle w:val="Heading4"/>
      </w:pPr>
      <w:r>
        <w:t xml:space="preserve">2.2.1.3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(i.e. the average temperature of each day of the year since the start of the time serie)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60"/>
    <w:bookmarkEnd w:id="61"/>
    <w:bookmarkStart w:id="62" w:name="satellite-observations"/>
    <w:p>
      <w:pPr>
        <w:pStyle w:val="Heading3"/>
      </w:pPr>
      <w:r>
        <w:t xml:space="preserve">2.2.2 Satellite observations</w:t>
      </w:r>
    </w:p>
    <w:p>
      <w:pPr>
        <w:pStyle w:val="FirstParagraph"/>
      </w:pPr>
      <w:r>
        <w:t xml:space="preserve">Three 2021 Sentinel-2 images of the study site were selected to assess the effect of the combined AHW and MHW (</w:t>
      </w:r>
      <w:r>
        <w:t xml:space="preserve">“HW event”</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2"/>
    <w:bookmarkStart w:id="63" w:name="emersion-time-of-the-seagrass-meadow"/>
    <w:p>
      <w:pPr>
        <w:pStyle w:val="Heading3"/>
      </w:pPr>
      <w:r>
        <w:t xml:space="preserve">2.2.3 Emersion time of the seagrass meadow</w:t>
      </w:r>
    </w:p>
    <w:p>
      <w:pPr>
        <w:pStyle w:val="FirstParagraph"/>
      </w:pPr>
      <w:r>
        <w:t xml:space="preserve">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“Service Hydrographique et Océanographique de la Marine”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3"/>
    <w:bookmarkEnd w:id="64"/>
    <w:bookmarkStart w:id="65" w:name="statistics"/>
    <w:p>
      <w:pPr>
        <w:pStyle w:val="Heading2"/>
      </w:pPr>
      <w:r>
        <w:t xml:space="preserve">2.3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5"/>
    <w:bookmarkEnd w:id="66"/>
    <w:bookmarkStart w:id="108" w:name="results"/>
    <w:p>
      <w:pPr>
        <w:pStyle w:val="Heading1"/>
      </w:pPr>
      <w:r>
        <w:t xml:space="preserve">3. Results</w:t>
      </w:r>
    </w:p>
    <w:bookmarkStart w:id="84" w:name="laboratory-experiment-1"/>
    <w:p>
      <w:pPr>
        <w:pStyle w:val="Heading2"/>
      </w:pPr>
      <w:r>
        <w:t xml:space="preserve">3.1 Laboratory Experiment</w:t>
      </w:r>
    </w:p>
    <w:bookmarkStart w:id="72" w:name="heatwave-effect-on-seagrass-reflectance"/>
    <w:p>
      <w:pPr>
        <w:pStyle w:val="Heading3"/>
      </w:pPr>
      <w:r>
        <w:t xml:space="preserve">3.1.1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sepChr m:val=""/>
            <m:end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sepChr m:val=""/>
            <m:endChr m:val=")"/>
            <m:grow/>
          </m:dPr>
          <m:e>
            <m:r>
              <m:t>λ</m:t>
            </m:r>
          </m:e>
        </m:d>
      </m:oMath>
      <w:r>
        <w:t xml:space="preserve"> </w:t>
      </w:r>
      <w:r>
        <w:t xml:space="preserve">showed severe changes throughout the experiment. During day 1, the Treatment</w:t>
      </w:r>
      <w:r>
        <w:t xml:space="preserve"> </w:t>
      </w:r>
      <m:oMath>
        <m:r>
          <m:t>R</m:t>
        </m:r>
        <m:d>
          <m:dPr>
            <m:begChr m:val="("/>
            <m:sepChr m:val=""/>
            <m:endChr m:val=")"/>
            <m:grow/>
          </m:dPr>
          <m:e>
            <m:r>
              <m:t>λ</m:t>
            </m:r>
          </m:e>
        </m:d>
      </m:oMath>
      <w:r>
        <w:t xml:space="preserve"> </w:t>
      </w:r>
      <w:r>
        <w:t xml:space="preserve">was generally similar to the Control</w:t>
      </w:r>
      <w:r>
        <w:t xml:space="preserve"> </w:t>
      </w:r>
      <m:oMath>
        <m:r>
          <m:t>R</m:t>
        </m:r>
        <m:d>
          <m:dPr>
            <m:begChr m:val="("/>
            <m:sepChr m:val=""/>
            <m:endChr m:val=")"/>
            <m:grow/>
          </m:dPr>
          <m:e>
            <m:r>
              <m:t>λ</m:t>
            </m:r>
          </m:e>
        </m:d>
      </m:oMath>
      <w:r>
        <w:t xml:space="preserve">, despite a slightly less marked peak around 560 nm and slightly lower Red-Edge around 750 nm. A drastic decrease was then observed during days 2 and 3 across all wavelengths, particularly in the green–yellow spectral region (500–650 nm) and in the red-edge and short-wave portion of the near-infrared (710–910 nm). During day 3, the collapse in</w:t>
      </w:r>
      <w:r>
        <w:t xml:space="preserve"> </w:t>
      </w:r>
      <m:oMath>
        <m:r>
          <m:t>R</m:t>
        </m:r>
        <m:d>
          <m:dPr>
            <m:begChr m:val="("/>
            <m:sepChr m:val=""/>
            <m:endChr m:val=")"/>
            <m:grow/>
          </m:dPr>
          <m:e>
            <m:r>
              <m:t>λ</m:t>
            </m:r>
          </m:e>
        </m:d>
      </m:oMath>
      <w:r>
        <w:t xml:space="preserve"> </w:t>
      </w:r>
      <w:r>
        <w:t xml:space="preserve">appeared to stabilize in the Red Edge and the shortwave near-infrared, whereas it slightly continued in the green spectral region. At the end of the HW experiment, the</w:t>
      </w:r>
      <w:r>
        <w:t xml:space="preserve"> </w:t>
      </w:r>
      <m:oMath>
        <m:r>
          <m:t>R</m:t>
        </m:r>
        <m:d>
          <m:dPr>
            <m:begChr m:val="("/>
            <m:sepChr m:val=""/>
            <m:endChr m:val=")"/>
            <m:grow/>
          </m:dPr>
          <m:e>
            <m:r>
              <m:t>λ</m:t>
            </m:r>
          </m:e>
        </m:d>
      </m:oMath>
      <w:r>
        <w:t xml:space="preserve"> </w:t>
      </w:r>
      <w:r>
        <w:t xml:space="preserve">valley around 665 nm was also less pronounced, suggesting a decrease of chlorophyll-a concentration.</w:t>
      </w:r>
    </w:p>
    <w:bookmarkStart w:id="71" w:name="cell-fig-Exp_Spectra"/>
    <w:tbl>
      <w:tblPr>
        <w:tblStyle w:val="Table"/>
        <w:tblW w:type="pct" w:w="5000"/>
        <w:tblLayout w:type="fixed"/>
        <w:tblLook w:firstRow="0" w:lastRow="0" w:firstColumn="0" w:lastColumn="0" w:noHBand="0" w:noVBand="0" w:val="0000"/>
      </w:tblPr>
      <w:tblGrid>
        <w:gridCol w:w="7920"/>
      </w:tblGrid>
      <w:tr>
        <w:tc>
          <w:tcPr/>
          <w:bookmarkStart w:id="70" w:name="fig-Exp_Spectra"/>
          <w:p>
            <w:pPr>
              <w:pStyle w:val="Compact"/>
              <w:jc w:val="center"/>
            </w:pPr>
            <w:r>
              <w:drawing>
                <wp:inline>
                  <wp:extent cx="5646420" cy="282321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bookmarkEnd w:id="70"/>
        </w:tc>
      </w:tr>
    </w:tbl>
    <w:bookmarkEnd w:id="71"/>
    <w:bookmarkEnd w:id="72"/>
    <w:bookmarkStart w:id="83" w:name="heatwave-effect-on-radiometric-indices"/>
    <w:p>
      <w:pPr>
        <w:pStyle w:val="Heading3"/>
      </w:pPr>
      <w:r>
        <w:t xml:space="preserve">3.1.2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changed after the experimental heatwave (</w:t>
      </w:r>
      <w:hyperlink w:anchor="fig-Exp_Spectral_indices">
        <w:r>
          <w:rPr>
            <w:rStyle w:val="Hyperlink"/>
          </w:rPr>
          <w:t xml:space="preserve">Figure 7</w:t>
        </w:r>
      </w:hyperlink>
      <w:r>
        <w:t xml:space="preserve"> </w:t>
      </w:r>
      <w:r>
        <w:t xml:space="preserve">;</w:t>
      </w:r>
      <w:r>
        <w:t xml:space="preserve"> </w:t>
      </w:r>
      <w:hyperlink w:anchor="sec-AnnexeC">
        <w:r>
          <w:rPr>
            <w:rStyle w:val="Hyperlink"/>
          </w:rPr>
          <w:t xml:space="preserve">Section 6.3</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 lower than that of the Control in day 1 (</w:t>
      </w:r>
      <w:hyperlink w:anchor="fig-Exp_Spectral_indices">
        <w:r>
          <w:rPr>
            <w:rStyle w:val="Hyperlink"/>
          </w:rPr>
          <w:t xml:space="preserve">Figure 7</w:t>
        </w:r>
      </w:hyperlink>
      <w:r>
        <w:t xml:space="preserve"> </w:t>
      </w:r>
      <w:r>
        <w:t xml:space="preserve">D). By day 2, the SHSI exhibited a rapid increase of approximately %, eventually reaching an overall rise of % by day 3.</w:t>
      </w:r>
    </w:p>
    <w:p>
      <w:pPr>
        <w:pStyle w:val="BodyText"/>
      </w:pPr>
      <w:r>
        <w:t xml:space="preserve">With a maximum deviation of %, SHSI emerges as the most sensitive index for detecting seagrass browning. Consequently, only this index was considered for the next steps of the study.</w:t>
      </w:r>
    </w:p>
    <w:bookmarkStart w:id="77" w:name="cell-fig-Exp_Spectral_indices"/>
    <w:tbl>
      <w:tblPr>
        <w:tblStyle w:val="Table"/>
        <w:tblW w:type="pct" w:w="5000"/>
        <w:tblLayout w:type="fixed"/>
        <w:tblLook w:firstRow="0" w:lastRow="0" w:firstColumn="0" w:lastColumn="0" w:noHBand="0" w:noVBand="0" w:val="0000"/>
      </w:tblPr>
      <w:tblGrid>
        <w:gridCol w:w="7920"/>
      </w:tblGrid>
      <w:tr>
        <w:tc>
          <w:tcPr/>
          <w:bookmarkStart w:id="76" w:name="fig-Exp_Spectral_indices"/>
          <w:p>
            <w:pPr>
              <w:pStyle w:val="Compact"/>
              <w:jc w:val="center"/>
            </w:pPr>
            <w:r>
              <w:drawing>
                <wp:inline>
                  <wp:extent cx="5646420" cy="564642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6"/>
        </w:tc>
      </w:tr>
    </w:tbl>
    <w:bookmarkEnd w:id="77"/>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-0.25 and -0.14, respectively. By the end of the experiment, seagrasses in the Treatment group exhibited a median SHSI of 0.22, consistent with their visibly darkened appearance. In contrast, the Control group retained a green appearance throughout the experiment, with a median SHSI of -0.12. A negative SHSI was considered indicative of non-impacted seagrasses, while a positive SHSI was used as a marker for impacted seagrasses.</w:t>
      </w:r>
    </w:p>
    <w:bookmarkStart w:id="82" w:name="cell-fig-SDI_over_Time"/>
    <w:tbl>
      <w:tblPr>
        <w:tblStyle w:val="Table"/>
        <w:tblW w:type="pct" w:w="5000"/>
        <w:tblLayout w:type="fixed"/>
        <w:tblLook w:firstRow="0" w:lastRow="0" w:firstColumn="0" w:lastColumn="0" w:noHBand="0" w:noVBand="0" w:val="0000"/>
      </w:tblPr>
      <w:tblGrid>
        <w:gridCol w:w="7920"/>
      </w:tblGrid>
      <w:tr>
        <w:tc>
          <w:tcPr/>
          <w:bookmarkStart w:id="81" w:name="fig-SDI_over_Time"/>
          <w:p>
            <w:pPr>
              <w:pStyle w:val="Compact"/>
              <w:jc w:val="center"/>
            </w:pPr>
            <w:r>
              <w:drawing>
                <wp:inline>
                  <wp:extent cx="5646420" cy="3387852"/>
                  <wp:effectExtent b="0" l="0" r="0" t="0"/>
                  <wp:docPr descr="" title="" id="79" name="Picture"/>
                  <a:graphic>
                    <a:graphicData uri="http://schemas.openxmlformats.org/drawingml/2006/picture">
                      <pic:pic>
                        <pic:nvPicPr>
                          <pic:cNvPr descr="Figs/Low_res/SHSI_exp_overtime.png" id="80" name="Picture"/>
                          <pic:cNvPicPr>
                            <a:picLocks noChangeArrowheads="1" noChangeAspect="1"/>
                          </pic:cNvPicPr>
                        </pic:nvPicPr>
                        <pic:blipFill>
                          <a:blip r:embed="rId78"/>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experimental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1"/>
        </w:tc>
      </w:tr>
    </w:tbl>
    <w:bookmarkEnd w:id="82"/>
    <w:bookmarkEnd w:id="83"/>
    <w:bookmarkEnd w:id="84"/>
    <w:bookmarkStart w:id="107" w:name="X8f6520fb2cd603cd376acac4efc8d29f28e0a7a"/>
    <w:p>
      <w:pPr>
        <w:pStyle w:val="Heading2"/>
      </w:pPr>
      <w:r>
        <w:t xml:space="preserve">3.2 HW of September 2021 in Quiberon, South Brittany</w:t>
      </w:r>
    </w:p>
    <w:bookmarkStart w:id="90" w:name="spectral-changes"/>
    <w:p>
      <w:pPr>
        <w:pStyle w:val="Heading3"/>
      </w:pPr>
      <w:r>
        <w:t xml:space="preserve">3.2.1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89" w:name="cell-fig-S2_comparison"/>
    <w:tbl>
      <w:tblPr>
        <w:tblStyle w:val="Table"/>
        <w:tblW w:type="pct" w:w="5000"/>
        <w:tblLayout w:type="fixed"/>
        <w:tblLook w:firstRow="0" w:lastRow="0" w:firstColumn="0" w:lastColumn="0" w:noHBand="0" w:noVBand="0" w:val="0000"/>
      </w:tblPr>
      <w:tblGrid>
        <w:gridCol w:w="7920"/>
      </w:tblGrid>
      <w:tr>
        <w:tc>
          <w:tcPr/>
          <w:bookmarkStart w:id="88" w:name="fig-S2_comparison"/>
          <w:p>
            <w:pPr>
              <w:pStyle w:val="Compact"/>
              <w:jc w:val="center"/>
            </w:pPr>
            <w:r>
              <w:drawing>
                <wp:inline>
                  <wp:extent cx="5646420" cy="5392331"/>
                  <wp:effectExtent b="0" l="0" r="0" t="0"/>
                  <wp:docPr descr="" title="" id="86" name="Picture"/>
                  <a:graphic>
                    <a:graphicData uri="http://schemas.openxmlformats.org/drawingml/2006/picture">
                      <pic:pic>
                        <pic:nvPicPr>
                          <pic:cNvPr descr="Figs/Low_res/Heatwaves_S2_plot.png" id="87" name="Picture"/>
                          <pic:cNvPicPr>
                            <a:picLocks noChangeArrowheads="1" noChangeAspect="1"/>
                          </pic:cNvPicPr>
                        </pic:nvPicPr>
                        <pic:blipFill>
                          <a:blip r:embed="rId85"/>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8"/>
        </w:tc>
      </w:tr>
    </w:tbl>
    <w:bookmarkEnd w:id="89"/>
    <w:bookmarkEnd w:id="90"/>
    <w:bookmarkStart w:id="106" w:name="shsi-metric-applied-to-sentinel-2"/>
    <w:p>
      <w:pPr>
        <w:pStyle w:val="Heading3"/>
      </w:pPr>
      <w:r>
        <w:t xml:space="preserve">3.2.2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5" w:name="cell-fig-NDVI_GLI_SPC"/>
    <w:tbl>
      <w:tblPr>
        <w:tblStyle w:val="Table"/>
        <w:tblW w:type="pct" w:w="5000"/>
        <w:tblLayout w:type="fixed"/>
        <w:tblLook w:firstRow="0" w:lastRow="0" w:firstColumn="0" w:lastColumn="0" w:noHBand="0" w:noVBand="0" w:val="0000"/>
      </w:tblPr>
      <w:tblGrid>
        <w:gridCol w:w="7920"/>
      </w:tblGrid>
      <w:tr>
        <w:tc>
          <w:tcPr/>
          <w:bookmarkStart w:id="94" w:name="fig-NDVI_GLI_SPC"/>
          <w:p>
            <w:pPr>
              <w:pStyle w:val="Compact"/>
              <w:jc w:val="center"/>
            </w:pPr>
            <w:r>
              <w:drawing>
                <wp:inline>
                  <wp:extent cx="5646420" cy="2823210"/>
                  <wp:effectExtent b="0" l="0" r="0" t="0"/>
                  <wp:docPr descr="" title="" id="92" name="Picture"/>
                  <a:graphic>
                    <a:graphicData uri="http://schemas.openxmlformats.org/drawingml/2006/picture">
                      <pic:pic>
                        <pic:nvPicPr>
                          <pic:cNvPr descr="Figs/Low_res/SHSI_S2.png" id="93" name="Picture"/>
                          <pic:cNvPicPr>
                            <a:picLocks noChangeArrowheads="1" noChangeAspect="1"/>
                          </pic:cNvPicPr>
                        </pic:nvPicPr>
                        <pic:blipFill>
                          <a:blip r:embed="rId9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4"/>
        </w:tc>
      </w:tr>
    </w:tbl>
    <w:bookmarkEnd w:id="95"/>
    <w:p>
      <w:pPr>
        <w:pStyle w:val="BodyText"/>
      </w:pPr>
      <w:r>
        <w:t xml:space="preserve">Using the SHSI (</w:t>
      </w:r>
      <w:hyperlink w:anchor="eq-SDI">
        <w:r>
          <w:rPr>
            <w:rStyle w:val="Hyperlink"/>
          </w:rPr>
          <w:t xml:space="preserve">Equation 3</w:t>
        </w:r>
      </w:hyperlink>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100" w:name="cell-fig-Map_darkening_Bathy"/>
    <w:tbl>
      <w:tblPr>
        <w:tblStyle w:val="Table"/>
        <w:tblW w:type="pct" w:w="5000"/>
        <w:tblLayout w:type="fixed"/>
        <w:tblLook w:firstRow="0" w:lastRow="0" w:firstColumn="0" w:lastColumn="0" w:noHBand="0" w:noVBand="0" w:val="0000"/>
      </w:tblPr>
      <w:tblGrid>
        <w:gridCol w:w="7920"/>
      </w:tblGrid>
      <w:tr>
        <w:tc>
          <w:tcPr/>
          <w:bookmarkStart w:id="99" w:name="fig-Map_darkening_Bathy"/>
          <w:p>
            <w:pPr>
              <w:pStyle w:val="Compact"/>
              <w:jc w:val="center"/>
            </w:pPr>
            <w:r>
              <w:drawing>
                <wp:inline>
                  <wp:extent cx="5646420" cy="4128640"/>
                  <wp:effectExtent b="0" l="0" r="0" t="0"/>
                  <wp:docPr descr="" title="" id="97" name="Picture"/>
                  <a:graphic>
                    <a:graphicData uri="http://schemas.openxmlformats.org/drawingml/2006/picture">
                      <pic:pic>
                        <pic:nvPicPr>
                          <pic:cNvPr descr="Figs/High_res/SHSI_S2_map.png" id="98" name="Picture"/>
                          <pic:cNvPicPr>
                            <a:picLocks noChangeArrowheads="1" noChangeAspect="1"/>
                          </pic:cNvPicPr>
                        </pic:nvPicPr>
                        <pic:blipFill>
                          <a:blip r:embed="rId96"/>
                          <a:stretch>
                            <a:fillRect/>
                          </a:stretch>
                        </pic:blipFill>
                        <pic:spPr bwMode="auto">
                          <a:xfrm>
                            <a:off x="0" y="0"/>
                            <a:ext cx="5646420" cy="41286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 1st of September 2021), During (B ; 6th of September 2021) and After (C ; 8th of October 2021) the HW and SHSI applied to the same Sentinel-2 images Before (D), During (E) and After (F) the HW.</w:t>
            </w:r>
          </w:p>
          <w:bookmarkEnd w:id="99"/>
        </w:tc>
      </w:tr>
    </w:tbl>
    <w:bookmarkEnd w:id="100"/>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w:t>
      </w:r>
      <w:r>
        <w:t xml:space="preserve">;</w:t>
      </w:r>
      <w:r>
        <w:t xml:space="preserve"> </w:t>
      </w:r>
      <w:hyperlink w:anchor="sec-AnnexeD">
        <w:r>
          <w:rPr>
            <w:rStyle w:val="Hyperlink"/>
          </w:rPr>
          <w:t xml:space="preserve">Section 6.4</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5" w:name="cell-fig-GAM_Emersion"/>
    <w:tbl>
      <w:tblPr>
        <w:tblStyle w:val="Table"/>
        <w:tblW w:type="pct" w:w="5000"/>
        <w:tblLayout w:type="fixed"/>
        <w:tblLook w:firstRow="0" w:lastRow="0" w:firstColumn="0" w:lastColumn="0" w:noHBand="0" w:noVBand="0" w:val="0000"/>
      </w:tblPr>
      <w:tblGrid>
        <w:gridCol w:w="7920"/>
      </w:tblGrid>
      <w:tr>
        <w:tc>
          <w:tcPr/>
          <w:bookmarkStart w:id="104" w:name="fig-GAM_Emersion"/>
          <w:p>
            <w:pPr>
              <w:pStyle w:val="Compact"/>
              <w:jc w:val="center"/>
            </w:pPr>
            <w:r>
              <w:drawing>
                <wp:inline>
                  <wp:extent cx="5646420" cy="2823210"/>
                  <wp:effectExtent b="0" l="0" r="0" t="0"/>
                  <wp:docPr descr="" title="" id="102" name="Picture"/>
                  <a:graphic>
                    <a:graphicData uri="http://schemas.openxmlformats.org/drawingml/2006/picture">
                      <pic:pic>
                        <pic:nvPicPr>
                          <pic:cNvPr descr="Figs/Low_res/GAM_emersion.png" id="103" name="Picture"/>
                          <pic:cNvPicPr>
                            <a:picLocks noChangeArrowheads="1" noChangeAspect="1"/>
                          </pic:cNvPicPr>
                        </pic:nvPicPr>
                        <pic:blipFill>
                          <a:blip r:embed="rId10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4"/>
        </w:tc>
      </w:tr>
    </w:tbl>
    <w:bookmarkEnd w:id="105"/>
    <w:bookmarkEnd w:id="106"/>
    <w:bookmarkEnd w:id="107"/>
    <w:bookmarkEnd w:id="108"/>
    <w:bookmarkStart w:id="112" w:name="discussion"/>
    <w:p>
      <w:pPr>
        <w:pStyle w:val="Heading1"/>
      </w:pPr>
      <w:r>
        <w:t xml:space="preserve">4. Discussion</w:t>
      </w:r>
    </w:p>
    <w:bookmarkStart w:id="109" w:name="Xb7f7f02f8dbcb55c30d8a7e7a31bd5d7dbd38a5"/>
    <w:p>
      <w:pPr>
        <w:pStyle w:val="Heading2"/>
      </w:pPr>
      <w:r>
        <w:t xml:space="preserve">4.1 Effect of heatwaves on</w:t>
      </w:r>
      <w:r>
        <w:t xml:space="preserve"> </w:t>
      </w:r>
      <w:r>
        <w:rPr>
          <w:i/>
          <w:iCs/>
        </w:rPr>
        <w:t xml:space="preserve">Zostera noltei</w:t>
      </w:r>
      <w:r>
        <w:t xml:space="preserve"> </w:t>
      </w:r>
      <w:r>
        <w:t xml:space="preserve">reflectance</w:t>
      </w:r>
    </w:p>
    <w:p>
      <w:pPr>
        <w:pStyle w:val="FirstParagraph"/>
      </w:pPr>
      <w:r>
        <w:t xml:space="preserve">This study explored the dual effect of MHWs and AHWs on spectral reflectance of intertidal seagrasses. Significant changes in the reflectance of seagrasses exposed to HWs were observed both in field measurements and the laboratory experiment. Effects were drops of reflectance around 560 nm and around 740 nm (</w:t>
      </w:r>
      <w:hyperlink w:anchor="fig-Exp_Spectral_indices">
        <w:r>
          <w:rPr>
            <w:rStyle w:val="Hyperlink"/>
          </w:rPr>
          <w:t xml:space="preserve">Figure 7</w:t>
        </w:r>
      </w:hyperlink>
      <w:r>
        <w:t xml:space="preserve">) and of the second derivative at 665 nm (R’’665), NDVI, and GLI (</w:t>
      </w:r>
      <w:hyperlink w:anchor="fig-Exp_Spectral_indices">
        <w:r>
          <w:rPr>
            <w:rStyle w:val="Hyperlink"/>
          </w:rPr>
          <w:t xml:space="preserve">Figure 7</w:t>
        </w:r>
      </w:hyperlink>
      <w:r>
        <w:t xml:space="preserve"> </w:t>
      </w:r>
      <w:r>
        <w:t xml:space="preserve">A, B &amp; C) indexes. By contrast, SHSI showed a marked increase, reaching up to 600% for some samples by day 3 (</w:t>
      </w:r>
      <w:hyperlink w:anchor="fig-Exp_Spectral_indices">
        <w:r>
          <w:rPr>
            <w:rStyle w:val="Hyperlink"/>
          </w:rPr>
          <w:t xml:space="preserve">Figure 7</w:t>
        </w:r>
      </w:hyperlink>
      <w:r>
        <w:t xml:space="preserve"> </w:t>
      </w:r>
      <w:r>
        <w:t xml:space="preserve">D), which demonstrated its sensitivity at quantifying seagrass browning. These changes suggest a progressive reduction in photosynthetic activity as well as potential structural or physiological changes to the leaves, such as degraded pigmentation or altered light absorption. Moreover, we observed a considerable decrease in the reflectance in the NIR region (700 - 1300 nm) in stressed plants, which is mainly related with the destruction of the membranes (chloroplasts, thylakoids, cell walls) due to thermal oxidative stress, and the consequent decrease of light scattering through the leaf surface</w:t>
      </w:r>
      <w:r>
        <w:t xml:space="preserve"> </w:t>
      </w:r>
      <w:r>
        <w:t xml:space="preserve">(Knipling, 1970)</w:t>
      </w:r>
      <w:r>
        <w:t xml:space="preserve">. The leaf darkening observed in plants subjected to thermal stress was mainly explained by the oxidation of phenolic compounds by the enzyme polyphenol oxidase and with a damage of the photosynthetic apparatus</w:t>
      </w:r>
      <w:r>
        <w:t xml:space="preserve"> </w:t>
      </w:r>
      <w:r>
        <w:t xml:space="preserve">(Allakhverdiev et al., 2008)</w:t>
      </w:r>
      <w:r>
        <w:t xml:space="preserve">. High temperatures destabilize chloroplasts membranes, disrupting photosystem II and impairing recovery of photosynthetic function. As chlorophyll-a degrades, the ratio of pigments shifts, with pigments like carotenoids becoming more prominent</w:t>
      </w:r>
      <w:r>
        <w:t xml:space="preserve"> </w:t>
      </w:r>
      <w:r>
        <w:t xml:space="preserve">(Dascaliuc et al., 2007; Jones and Clayton-Greene, 1992)</w:t>
      </w:r>
      <w:r>
        <w:t xml:space="preserve">. These processes can eventually result in growth impairment and plant death.</w:t>
      </w:r>
    </w:p>
    <w:p>
      <w:pPr>
        <w:pStyle w:val="BodyText"/>
      </w:pPr>
      <w:r>
        <w:t xml:space="preserve">The Seagrass Heat Shock Index (</w:t>
      </w:r>
      <w:hyperlink w:anchor="eq-SDI">
        <w:r>
          <w:rPr>
            <w:rStyle w:val="Hyperlink"/>
          </w:rPr>
          <w:t xml:space="preserve">Equation 3</w:t>
        </w:r>
      </w:hyperlink>
      <w:r>
        <w:t xml:space="preserve">) developed in this study makes it possible to detect reductions in the green and the Red-Edge regions caused by thermal stress using only three reflectance bands (560 740 and 840 nm). These spectral bands are available in current (i.e. Sentinel-2, Pleiades-Neo, WorldView-3, SkySat, and GeoSat-2) and future multi-spectral missions (i.e. Sentinel-2 Next Generation and Landsat Next), opening new perspectives for the detection and monitoring of heatwave effects on intertidal seagrass. As shown in the next section, SHSI can be used to assess the extent and severity of darkening events across intertidal seagrass meadows from high resolution satellite images.</w:t>
      </w:r>
    </w:p>
    <w:bookmarkEnd w:id="109"/>
    <w:bookmarkStart w:id="110" w:name="X9241c7e1de5a94cee1951b46be3852b40e2741d"/>
    <w:p>
      <w:pPr>
        <w:pStyle w:val="Heading2"/>
      </w:pPr>
      <w:r>
        <w:t xml:space="preserve">4.2 Satellite observations of HW effects on intertidal seagrass</w:t>
      </w:r>
    </w:p>
    <w:p>
      <w:pPr>
        <w:pStyle w:val="FirstParagraph"/>
      </w:pPr>
      <w:r>
        <w:t xml:space="preserve">Using our new Seagrass Heat Shock Index, Sentinel-2 images acquired before, during, and after a HW event made it possible to detect seagrass leaf darkening at high spatial resolution, as well as to describe the spatial distribution of the heatwave impact over the whole meadow. The analyse of satellite images in Quiberon Bay during the 2021 HW revealed that most of the meadow darkening took place in the upper intertidal area, where plants were exposed to air for more than 13 hours per day, while no significant browning was observed in the lower intertidal zone.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 Field observations further revealed that leaf detachment began after the heatwave, causing an apparent decline in seagrass density at the upper intertidal.</w:t>
      </w:r>
      <w:r>
        <w:t xml:space="preserve"> </w:t>
      </w:r>
      <w:r>
        <w:rPr>
          <w:i/>
          <w:iCs/>
        </w:rPr>
        <w:t xml:space="preserve">Zostera noltei</w:t>
      </w:r>
      <w:r>
        <w:t xml:space="preserve">, as a species inhabiting the intertidal zone and regularly exposed to air, has developed adaptations to minimize hydric stress, such as its narrow leaves, which help reduce water loss during air exposure periods</w:t>
      </w:r>
      <w:r>
        <w:t xml:space="preserve"> </w:t>
      </w:r>
      <w:r>
        <w:t xml:space="preserve">(Cabaço et al., 2009)</w:t>
      </w:r>
      <w:r>
        <w:t xml:space="preserve">. Nonetheless, if plants at the upper subtidal are exposed to intense heating and irradiance for prolonged periods, these mechanisms may not be able to prevent degradation of photosynthetic pigments, decreases in photosynthetic capacity and tissue degradation.</w:t>
      </w:r>
    </w:p>
    <w:p>
      <w:pPr>
        <w:pStyle w:val="BodyText"/>
      </w:pPr>
      <w:r>
        <w:t xml:space="preserve">During the HW, Sentinel-2 imagery indicated that impacted seagrass patches (i.e., areas exhibiting seagrass darkening) experienced a sharp decline in NDVI. Moreover, the Sentinel-2 image acquired one month after the HW showed that the NDVI of impacted seagrass patches had not recovered to its initial level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 NDVI associated with greater seagrass coverage and low NDVI indicating reduced cover. Our findings demonstrate that heatwaves altered the spectral signature of seagrasses, causing a decrease in NDVI—and consequently, in the satellite-derived estimate of seagrass cover—while the actual coverage observed in the field remained stable (see</w:t>
      </w:r>
      <w:r>
        <w:t xml:space="preserve"> </w:t>
      </w:r>
      <w:hyperlink w:anchor="fig-QuiberonImg">
        <w:r>
          <w:rPr>
            <w:rStyle w:val="Hyperlink"/>
          </w:rPr>
          <w:t xml:space="preserve">Figure 5</w:t>
        </w:r>
      </w:hyperlink>
      <w:r>
        <w:t xml:space="preserve">). This discrepancy underscores a potential limitation of remote sensing in accurately capturing true seagrass cover during stress events. We demonstrate that such bias could be corrected by the combined analysis of both NDVI and SHSI indices, as proxies of seagrass cover and heatwave impact.</w:t>
      </w:r>
    </w:p>
    <w:p>
      <w:pPr>
        <w:pStyle w:val="BodyText"/>
      </w:pPr>
      <w:r>
        <w:t xml:space="preserve">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w:t>
      </w:r>
      <w:r>
        <w:t xml:space="preserve"> </w:t>
      </w:r>
      <w:r>
        <w:rPr>
          <w:i/>
          <w:iCs/>
        </w:rPr>
        <w:t xml:space="preserve">Z. noltei</w:t>
      </w:r>
      <w:r>
        <w:t xml:space="preserve"> </w:t>
      </w:r>
      <w:r>
        <w:t xml:space="preserve">patches after thermal disturbance.</w:t>
      </w:r>
      <w:r>
        <w:t xml:space="preserve"> </w:t>
      </w:r>
      <w:r>
        <w:rPr>
          <w:i/>
          <w:iCs/>
        </w:rPr>
        <w:t xml:space="preserve">Zostera noltei</w:t>
      </w:r>
      <w:r>
        <w:t xml:space="preserve"> </w:t>
      </w:r>
      <w:r>
        <w:t xml:space="preserve">is a dynamic, fast-growing colonizer species</w:t>
      </w:r>
      <w:r>
        <w:t xml:space="preserve"> </w:t>
      </w:r>
      <w:r>
        <w:t xml:space="preserve">(Roca et al., 2016)</w:t>
      </w:r>
      <w:r>
        <w:t xml:space="preserve">, with fast leaf turnover times and growth rates</w:t>
      </w:r>
      <w:r>
        <w:t xml:space="preserve"> </w:t>
      </w:r>
      <w:r>
        <w:t xml:space="preserve">(Borum et al., 2004)</w:t>
      </w:r>
      <w:r>
        <w:t xml:space="preserve"> </w:t>
      </w:r>
      <w:r>
        <w:t xml:space="preserve">and fast rhizome elongation rates</w:t>
      </w:r>
      <w:r>
        <w:t xml:space="preserve"> </w:t>
      </w:r>
      <w:r>
        <w:t xml:space="preserve">(Duarte, 1991)</w:t>
      </w:r>
      <w:r>
        <w:t xml:space="preserve">. The return to green color in some parts of the meadow after recovery might be due to new leaf growth, which was likely sustained by the energy reserves of the surviving below ground biomass</w:t>
      </w:r>
      <w:r>
        <w:t xml:space="preserve"> </w:t>
      </w:r>
      <w:r>
        <w:t xml:space="preserve">(Hemminga, 1998)</w:t>
      </w:r>
      <w:r>
        <w:t xml:space="preserve">.</w:t>
      </w:r>
    </w:p>
    <w:bookmarkEnd w:id="110"/>
    <w:bookmarkStart w:id="111" w:name="X729e0e9cf0ae04acbfe1544e67ed14357344b2c"/>
    <w:p>
      <w:pPr>
        <w:pStyle w:val="Heading2"/>
      </w:pPr>
      <w:r>
        <w:t xml:space="preserve">4.3 Ecological implications of heatwaves impact on</w:t>
      </w:r>
      <w:r>
        <w:t xml:space="preserve"> </w:t>
      </w:r>
      <w:r>
        <w:rPr>
          <w:i/>
          <w:iCs/>
        </w:rPr>
        <w:t xml:space="preserve">Zostera noltei</w:t>
      </w:r>
    </w:p>
    <w:p>
      <w:pPr>
        <w:pStyle w:val="FirstParagraph"/>
      </w:pPr>
      <w:r>
        <w:t xml:space="preserve">In the present study we observed that heatwave-driven thermal stress changed the spectral reflectance of</w:t>
      </w:r>
      <w:r>
        <w:t xml:space="preserve"> </w:t>
      </w:r>
      <w:r>
        <w:rPr>
          <w:i/>
          <w:iCs/>
        </w:rPr>
        <w:t xml:space="preserve">Z. noltei</w:t>
      </w:r>
      <w:r>
        <w:t xml:space="preserve"> </w:t>
      </w:r>
      <w:r>
        <w:t xml:space="preserve">leaves, indicating photosynthetic pigments degradation, with potential negative consequences on health, growth and survival of the above ground biomass. In this sense, previous experiments on the effects of warming on</w:t>
      </w:r>
      <w:r>
        <w:t xml:space="preserve"> </w:t>
      </w:r>
      <w:r>
        <w:rPr>
          <w:i/>
          <w:iCs/>
        </w:rPr>
        <w:t xml:space="preserve">Zostera noltei</w:t>
      </w:r>
      <w:r>
        <w:t xml:space="preserve"> </w:t>
      </w:r>
      <w:r>
        <w:t xml:space="preserve">have shown contrasting results, depending on the duration and intensity of heating. In some cases, there were no significant changes in photosynthetic performance or survival under short-term moderate stress</w:t>
      </w:r>
      <w:r>
        <w:t xml:space="preserve"> </w:t>
      </w:r>
      <w:r>
        <w:t xml:space="preserve">(Franssen et al., 2014)</w:t>
      </w:r>
      <w:r>
        <w:t xml:space="preserve">, or quaunder gradual temperature increases</w:t>
      </w:r>
      <w:r>
        <w:t xml:space="preserve"> </w:t>
      </w:r>
      <w:r>
        <w:t xml:space="preserve">(Román et al., 2022)</w:t>
      </w:r>
      <w:r>
        <w:t xml:space="preserve">. By contrast, studies focused on extreme temperature events have evidenced decreases of photosynthetic performance and leaf tissue integrity</w:t>
      </w:r>
      <w:r>
        <w:t xml:space="preserve"> </w:t>
      </w:r>
      <w:r>
        <w:t xml:space="preserve">(Massa et al., 2009; Román et al., 2023)</w:t>
      </w:r>
      <w:r>
        <w:t xml:space="preserve">. Therefore, our findings, jointly with previous research, suggest that</w:t>
      </w:r>
      <w:r>
        <w:t xml:space="preserve"> </w:t>
      </w:r>
      <w:r>
        <w:rPr>
          <w:i/>
          <w:iCs/>
        </w:rPr>
        <w:t xml:space="preserve">Z. noltei</w:t>
      </w:r>
      <w:r>
        <w:t xml:space="preserve"> </w:t>
      </w:r>
      <w:r>
        <w:t xml:space="preserve">meadows at the upper intertidal could be a vulnerable species under the future global warming scenarios, in which heatwaves will be more frequent and intense</w:t>
      </w:r>
      <w:r>
        <w:t xml:space="preserve"> </w:t>
      </w:r>
      <w:r>
        <w:t xml:space="preserve">(Climate Change (IPCC), 2023; Stillman, 2019)</w:t>
      </w:r>
      <w:r>
        <w:t xml:space="preserve">.</w:t>
      </w:r>
    </w:p>
    <w:p>
      <w:pPr>
        <w:pStyle w:val="BodyText"/>
      </w:pPr>
      <w:r>
        <w:t xml:space="preserve">The observed tissue degradation, both in the laboratory experiment and the field, can eventually result in decreases of meadows density and cover under recurrent heatwaves. This decline could have cascading effect on species that rely on the provision of refuge and/or food by the seagrass canopy</w:t>
      </w:r>
      <w:r>
        <w:t xml:space="preserve"> </w:t>
      </w:r>
      <w:r>
        <w:t xml:space="preserve">(Zoffoli et al., 2023)</w:t>
      </w:r>
      <w:r>
        <w:t xml:space="preserve">. Commercially important fish and shellfish populations that rely on seagrass for sustenance and refuge could also be impacted, with negative consequences on local fisheries’ productivity and the livelihoods of coastal communities</w:t>
      </w:r>
      <w:r>
        <w:t xml:space="preserve"> </w:t>
      </w:r>
      <w:r>
        <w:t xml:space="preserve">(Unsworth and Cullen-Unsworth, 2014)</w:t>
      </w:r>
      <w:r>
        <w:t xml:space="preserve">. Furthermore, as seagrass meadows decline, their capacity to act as a blue carbon sink—critical for climate mitigation—could diminish, contributing to increased atmospheric carbon levels</w:t>
      </w:r>
      <w:r>
        <w:t xml:space="preserve"> </w:t>
      </w:r>
      <w:r>
        <w:t xml:space="preserve">(Armitage and Fourqurean, 2016; Samper-Villarreal et al., 2020)</w:t>
      </w:r>
      <w:r>
        <w:t xml:space="preserve">. Moreover, the sediment stabilization and wave attenuation could be hampered, ultimately increasing the risk of coastal erosion</w:t>
      </w:r>
      <w:r>
        <w:t xml:space="preserve"> </w:t>
      </w:r>
      <w:r>
        <w:t xml:space="preserve">(Calleja et al., 2007; Folmer et al., 2012; Gacia et al., 1999)</w:t>
      </w:r>
      <w:r>
        <w:t xml:space="preserve">.</w:t>
      </w:r>
    </w:p>
    <w:p>
      <w:pPr>
        <w:pStyle w:val="BodyText"/>
      </w:pP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w:t>
      </w:r>
    </w:p>
    <w:bookmarkEnd w:id="111"/>
    <w:bookmarkEnd w:id="112"/>
    <w:bookmarkStart w:id="113" w:name="conclusion"/>
    <w:p>
      <w:pPr>
        <w:pStyle w:val="Heading1"/>
      </w:pPr>
      <w:r>
        <w:t xml:space="preserve">5. Conclusion</w:t>
      </w:r>
    </w:p>
    <w:p>
      <w:pPr>
        <w:pStyle w:val="FirstParagraph"/>
      </w:pPr>
      <w:r>
        <w:t xml:space="preserve">This research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Heat stress effects on seagrass reflectance were documented in the laboratory using a controlled experiment in order to understand how extreme heat events affect seagrass health and to assess the potential of remote sensing for HW impacts monitoring.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We applied and validated the newly developed Seagrass Heat Shock Index to Sentinel-2 satellite images acquired during an heatwave event, and documented the broad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regular spectral monitoring into conservation strategies, as it can help predict seagrass resilience and guide adaptive management practices. Future work should focus on refining remote sensing tools and examining the cumulative effects of repeated heatwave events to support the conservation of intertidal seagrass meadows in a warming world.</w:t>
      </w:r>
    </w:p>
    <w:bookmarkEnd w:id="113"/>
    <w:bookmarkStart w:id="134" w:name="annexes"/>
    <w:p>
      <w:pPr>
        <w:pStyle w:val="Heading1"/>
      </w:pPr>
      <w:r>
        <w:t xml:space="preserve">6. Annexes</w:t>
      </w:r>
    </w:p>
    <w:bookmarkStart w:id="117"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5" name="Picture"/>
            <a:graphic>
              <a:graphicData uri="http://schemas.openxmlformats.org/drawingml/2006/picture">
                <pic:pic>
                  <pic:nvPicPr>
                    <pic:cNvPr descr="Figs/High_res/Temperature_compare.png" id="116" name="Picture"/>
                    <pic:cNvPicPr>
                      <a:picLocks noChangeArrowheads="1" noChangeAspect="1"/>
                    </pic:cNvPicPr>
                  </pic:nvPicPr>
                  <pic:blipFill>
                    <a:blip r:embed="rId11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7"/>
    <w:bookmarkStart w:id="129" w:name="sec-AnnexeB"/>
    <w:p>
      <w:pPr>
        <w:pStyle w:val="Heading2"/>
      </w:pPr>
      <w:r>
        <w:t xml:space="preserve">6.2 Annexes B - Validation of the SHSI</w:t>
      </w:r>
    </w:p>
    <w:p>
      <w:pPr>
        <w:pStyle w:val="FirstParagraph"/>
      </w:pPr>
      <w:r>
        <w:t xml:space="preserve">A field campaign was conducted in the seagrass meadow of the Ria de Aveiro Coastal Lagoon (Portugal) from July 14 to 18, 2025. Two distinct study areas were selected, and within each, a grid of randomly distributed sampling stations was established, covering a total surface of 5.6 ha (</w:t>
      </w:r>
      <w:hyperlink w:anchor="fig-Map_Aveiro">
        <w:r>
          <w:rPr>
            <w:rStyle w:val="Hyperlink"/>
          </w:rPr>
          <w:t xml:space="preserve">Figure 13</w:t>
        </w:r>
      </w:hyperlink>
      <w:r>
        <w:t xml:space="preserve">). At every station, a photo-quadrat of the meadow was collected. Each quadrat image was subsequently analyzed in the laboratory by independent observers, who classified the meadow condition as either impacted by heat stress (i.e., leaves showing visible discoloration or browning) or unimpacted (i.e., leaves appearing green and healthy). This set of visual classifications was used as the ground-truth dataset.</w:t>
      </w:r>
    </w:p>
    <w:bookmarkStart w:id="122" w:name="cell-fig-Map_Aveiro"/>
    <w:tbl>
      <w:tblPr>
        <w:tblStyle w:val="Table"/>
        <w:tblW w:type="pct" w:w="5000"/>
        <w:tblLayout w:type="fixed"/>
        <w:tblLook w:firstRow="0" w:lastRow="0" w:firstColumn="0" w:lastColumn="0" w:noHBand="0" w:noVBand="0" w:val="0000"/>
      </w:tblPr>
      <w:tblGrid>
        <w:gridCol w:w="7920"/>
      </w:tblGrid>
      <w:tr>
        <w:tc>
          <w:tcPr/>
          <w:bookmarkStart w:id="121" w:name="fig-Map_Aveiro"/>
          <w:p>
            <w:pPr>
              <w:pStyle w:val="Compact"/>
              <w:jc w:val="center"/>
            </w:pPr>
            <w:r>
              <w:drawing>
                <wp:inline>
                  <wp:extent cx="5646420" cy="3513154"/>
                  <wp:effectExtent b="0" l="0" r="0" t="0"/>
                  <wp:docPr descr="" title="" id="119" name="Picture"/>
                  <a:graphic>
                    <a:graphicData uri="http://schemas.openxmlformats.org/drawingml/2006/picture">
                      <pic:pic>
                        <pic:nvPicPr>
                          <pic:cNvPr descr="Figs/high_res/Aveiro_StudyArea_WithInsets.png" id="120" name="Picture"/>
                          <pic:cNvPicPr>
                            <a:picLocks noChangeArrowheads="1" noChangeAspect="1"/>
                          </pic:cNvPicPr>
                        </pic:nvPicPr>
                        <pic:blipFill>
                          <a:blip r:embed="rId118"/>
                          <a:stretch>
                            <a:fillRect/>
                          </a:stretch>
                        </pic:blipFill>
                        <pic:spPr bwMode="auto">
                          <a:xfrm>
                            <a:off x="0" y="0"/>
                            <a:ext cx="5646420" cy="35131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Location of field observations in a seagrass meadow impacted by a HW that occurred on the 14th of July 2025 in Ria de Aveiro coastal lagoon, Portugal. Green points indicate the location of quadrat pictures over unimpacted seagrasses (i.e. showing a green colour on the field), and orange points indicate the location of quadrats taken over impacted seagrasses (i.e. showing a brown color on the field).</w:t>
            </w:r>
          </w:p>
          <w:bookmarkEnd w:id="121"/>
        </w:tc>
      </w:tr>
    </w:tbl>
    <w:bookmarkEnd w:id="122"/>
    <w:p>
      <w:pPr>
        <w:pStyle w:val="BodyText"/>
      </w:pPr>
      <w:r>
        <w:t xml:space="preserve">To complement the in situ observations, a Level-2 Sentinel-2 MSI image acquired on July 15, 2025 was downloaded from the Copernicus Open Access Hub</w:t>
      </w:r>
      <w:r>
        <w:t xml:space="preserve"> </w:t>
      </w:r>
      <w:r>
        <w:t xml:space="preserve">(European Space Agency, 2024a)</w:t>
      </w:r>
      <w:r>
        <w:t xml:space="preserve">, provided by the European Space Agency (ESA). Level-2 products correspond to atmospherically corrected surface reflectance (Sen2Cor processor;</w:t>
      </w:r>
      <w:r>
        <w:t xml:space="preserve"> </w:t>
      </w:r>
      <w:r>
        <w:t xml:space="preserve">European Space Agency (2024b)</w:t>
      </w:r>
      <w:r>
        <w:t xml:space="preserve">) and are delivered as orthorectified data at 10–20 m spatial resolution.</w:t>
      </w:r>
      <w:r>
        <w:t xml:space="preserve"> </w:t>
      </w:r>
      <w:r>
        <w:t xml:space="preserve">SHSI was computed using</w:t>
      </w:r>
      <w:r>
        <w:t xml:space="preserve"> </w:t>
      </w:r>
      <w:hyperlink w:anchor="eq-SDI">
        <w:r>
          <w:rPr>
            <w:rStyle w:val="Hyperlink"/>
          </w:rPr>
          <w:t xml:space="preserve">Equation 3</w:t>
        </w:r>
      </w:hyperlink>
      <w:r>
        <w:t xml:space="preserve">.</w:t>
      </w:r>
      <w:r>
        <w:t xml:space="preserve"> </w:t>
      </w:r>
      <w:hyperlink w:anchor="fig-Map_Aveiro_SHSI">
        <w:r>
          <w:rPr>
            <w:rStyle w:val="Hyperlink"/>
          </w:rPr>
          <w:t xml:space="preserve">Figure 14</w:t>
        </w:r>
      </w:hyperlink>
      <w:r>
        <w:t xml:space="preserve"> </w:t>
      </w:r>
      <w:r>
        <w:t xml:space="preserve">indicates that Site A remained largely unaffected by heat stress, except for a localized patch where SHSI values exceeded 0. Conversely, Site B exhibited widespread signs of thermal impact, with SHSI values above 0 across most of the site.</w:t>
      </w:r>
    </w:p>
    <w:bookmarkStart w:id="127" w:name="cell-fig-Map_Aveiro_SHSI"/>
    <w:tbl>
      <w:tblPr>
        <w:tblStyle w:val="Table"/>
        <w:tblW w:type="pct" w:w="5000"/>
        <w:tblLayout w:type="fixed"/>
        <w:tblLook w:firstRow="0" w:lastRow="0" w:firstColumn="0" w:lastColumn="0" w:noHBand="0" w:noVBand="0" w:val="0000"/>
      </w:tblPr>
      <w:tblGrid>
        <w:gridCol w:w="7920"/>
      </w:tblGrid>
      <w:tr>
        <w:tc>
          <w:tcPr/>
          <w:bookmarkStart w:id="126" w:name="fig-Map_Aveiro_SHSI"/>
          <w:p>
            <w:pPr>
              <w:pStyle w:val="Compact"/>
              <w:jc w:val="center"/>
            </w:pPr>
            <w:r>
              <w:drawing>
                <wp:inline>
                  <wp:extent cx="5646420" cy="6569275"/>
                  <wp:effectExtent b="0" l="0" r="0" t="0"/>
                  <wp:docPr descr="" title="" id="124" name="Picture"/>
                  <a:graphic>
                    <a:graphicData uri="http://schemas.openxmlformats.org/drawingml/2006/picture">
                      <pic:pic>
                        <pic:nvPicPr>
                          <pic:cNvPr descr="Figs/high_res/plot_SHSI_Aveiro-01.png" id="125" name="Picture"/>
                          <pic:cNvPicPr>
                            <a:picLocks noChangeArrowheads="1" noChangeAspect="1"/>
                          </pic:cNvPicPr>
                        </pic:nvPicPr>
                        <pic:blipFill>
                          <a:blip r:embed="rId123"/>
                          <a:stretch>
                            <a:fillRect/>
                          </a:stretch>
                        </pic:blipFill>
                        <pic:spPr bwMode="auto">
                          <a:xfrm>
                            <a:off x="0" y="0"/>
                            <a:ext cx="5646420" cy="65692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Seagrass Heat Shock Index over Site A (A) and Site B (B) and Sentinel-2 RGB color composition of Site A (C) and Site B (D) of Ria de Aveiro Coastal Lagoon.</w:t>
            </w:r>
          </w:p>
          <w:bookmarkEnd w:id="126"/>
        </w:tc>
      </w:tr>
    </w:tbl>
    <w:bookmarkEnd w:id="127"/>
    <w:p>
      <w:pPr>
        <w:pStyle w:val="BodyText"/>
      </w:pPr>
      <w:r>
        <w:t xml:space="preserve">Pixels of SHSI were then categorized as:</w:t>
      </w:r>
    </w:p>
    <w:p>
      <w:pPr>
        <w:pStyle w:val="BodyText"/>
      </w:pPr>
      <w:r>
        <w:t xml:space="preserve">Impacted when SHSI &gt; 0</w:t>
      </w:r>
    </w:p>
    <w:p>
      <w:pPr>
        <w:pStyle w:val="BodyText"/>
      </w:pPr>
      <w:r>
        <w:t xml:space="preserve">Unimpacted when SHSI ≤ 0</w:t>
      </w:r>
    </w:p>
    <w:p>
      <w:pPr>
        <w:pStyle w:val="BodyText"/>
      </w:pPr>
      <w:r>
        <w:t xml:space="preserve">This binary classification derived from the satellite data was compared against the ground-truth labels obtained from the photo-quadrats. A confusion matrix was computed, from which standard performance metrics (overall accuracy, sensitivity, specificity, user and producer accuracies, F1-score, and Cohen’s κ) were derived to assess the reliability of Sentinel-2–based SHSI in detecting heat-stressed seagrass patches.</w:t>
      </w:r>
    </w:p>
    <w:tbl>
      <w:tblPr>
        <w:tblStyle w:val="Table"/>
        <w:tblW w:type="pct" w:w="5000"/>
        <w:tblLayout w:type="fixed"/>
        <w:tblLook w:firstRow="0" w:lastRow="0" w:firstColumn="0" w:lastColumn="0" w:noHBand="0" w:noVBand="0" w:val="0000"/>
      </w:tblPr>
      <w:tblGrid>
        <w:gridCol w:w="7920"/>
      </w:tblGrid>
      <w:tr>
        <w:tc>
          <w:tcPr/>
          <w:bookmarkStart w:id="128" w:name="tbl-validation"/>
          <w:p>
            <w:pPr>
              <w:jc w:val="center"/>
            </w:pPr>
            <w:pPr>
              <w:jc w:val="start"/>
              <w:spacing w:before="200"/>
              <w:pStyle w:val="ImageCaption"/>
            </w:pPr>
            <w:r>
              <w:t xml:space="preserve">Table 1: Confusion matrix and accuracy metrics (Sensitivity, Specificity, User’s and Producer’s accuracy and F1 score) of the SHSI capacity to detect heat impacted seagrasses.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1"/>
              <w:gridCol w:w="1670"/>
              <w:gridCol w:w="1670"/>
              <w:gridCol w:w="1376"/>
            </w:tblGrid>
            <w:tr>
              <w:trPr>
                <w:trHeight w:val="571" w:hRule="auto"/>
                <w:tblHeader/>
              </w:trPr>
              header1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Truth</w:t>
                  </w:r>
                </w:p>
              </w:tc>
            </w:tr>
            <w:tr>
              <w:trPr>
                <w:trHeight w:val="612" w:hRule="auto"/>
                <w:tblHeader/>
              </w:trPr>
              header2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Unimpacted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Impacted</w:t>
                  </w:r>
                </w:p>
              </w:tc>
            </w:tr>
            <w:tr>
              <w:trPr>
                <w:trHeight w:val="1486" w:hRule="auto"/>
              </w:trPr>
              body1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textDirection w:val="btL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Prediction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Unimpacted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1486"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textDirection w:val="btL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Impacted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w:t>
                  </w:r>
                </w:p>
              </w:tc>
            </w:tr>
          </w:tbl>
          <w:bookmarkEnd w:id="128"/>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85"/>
        <w:gridCol w:w="1511"/>
        <w:gridCol w:w="1511"/>
        <w:gridCol w:w="2090"/>
        <w:gridCol w:w="2566"/>
        <w:gridCol w:w="1340"/>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Class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User's 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Producer's 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F1 Score</w:t>
            </w:r>
          </w:p>
        </w:tc>
      </w:tr>
      <w:tr>
        <w:trPr>
          <w:trHeight w:val="61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Unimpacted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0.90</w:t>
            </w:r>
          </w:p>
        </w:tc>
      </w:tr>
      <w:tr>
        <w:trPr>
          <w:trHeight w:val="612"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Impacted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0.94</w:t>
            </w:r>
          </w:p>
        </w:tc>
      </w:tr>
    </w:tbl>
    <w:p>
      <w:pPr>
        <w:pStyle w:val="BodyText"/>
      </w:pPr>
      <w:r>
        <w:t xml:space="preserve">Overall the SHSI can detected impacted meadow with an accuracy of 0.92, a kappa coeffiscient of 0.84 and an F1 score of 0.92. All truly impacted pixels have been correctly identified by the SHSI but 19% of truly Unimpacted pixels have shown positive SHSI values.</w:t>
      </w:r>
    </w:p>
    <w:bookmarkEnd w:id="129"/>
    <w:bookmarkStart w:id="131" w:name="sec-AnnexeC"/>
    <w:p>
      <w:pPr>
        <w:pStyle w:val="Heading2"/>
      </w:pPr>
      <w:r>
        <w:t xml:space="preserve">6.3 Annexes C - Outputs of GLMM</w:t>
      </w:r>
    </w:p>
    <w:tbl>
      <w:tblPr>
        <w:tblStyle w:val="Table"/>
        <w:tblW w:type="pct" w:w="5000"/>
        <w:tblLayout w:type="fixed"/>
        <w:tblLook w:firstRow="0" w:lastRow="0" w:firstColumn="0" w:lastColumn="0" w:noHBand="0" w:noVBand="0" w:val="0000"/>
      </w:tblPr>
      <w:tblGrid>
        <w:gridCol w:w="7920"/>
      </w:tblGrid>
      <w:tr>
        <w:tc>
          <w:tcPr/>
          <w:bookmarkStart w:id="130" w:name="tbl-GLMM"/>
          <w:p>
            <w:pPr>
              <w:jc w:val="center"/>
            </w:pPr>
            <w:pPr>
              <w:jc w:val="start"/>
              <w:spacing w:before="200"/>
              <w:pStyle w:val="ImageCaption"/>
            </w:pPr>
            <w:r>
              <w:t xml:space="preserve">Table 2: Outputs of the Generalised Linear model assessing the relationship between time (days) and the relative change to the control of different vegetation indices (</w:t>
            </w:r>
            <w:hyperlink w:anchor="fig-Exp_Spectral_indices">
              <w:r>
                <w:rPr>
                  <w:rStyle w:val="Hyperlink"/>
                </w:rPr>
                <w:t xml:space="preserve">Figure 7</w:t>
              </w:r>
            </w:hyperlink>
            <w:r>
              <w:t xml:space="preserve">, Second Derivative, NDVI, GLI, and SHSI). Each index has two terms: Intercept and Slope. The Intercept represents the expected value of the index at the reference time point (e.g., day 0), while the Slope quantifies the effect of time, indicating how the index changes per unit increase in days. The Estimate represents the posterior mean of the regression coefficient, while Std. Error indicates its standard deviation. The Lower 95% CI and Upper 95% CI define the 95% credible interval, showing the range within which the true parameter is expected to fall with 95% probability. The Rhat statistic assesses model convergence (values close to 1 indicate proper convergence). Bulk_ESS and Tail_ESS denote the effective sample sizes for bulk estimation and tail uncertainty, respectively, reflecting the reliability of the posterior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475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Index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Lower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Upper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Bulk_ESS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Tail_ESS</w:t>
                  </w:r>
                </w:p>
              </w:tc>
            </w:tr>
            <w:tr>
              <w:trPr>
                <w:trHeight w:val="612" w:hRule="auto"/>
              </w:trPr>
              body1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Second Derivative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5,043.77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5,181.38</w:t>
                  </w:r>
                </w:p>
              </w:tc>
            </w:tr>
            <w:tr>
              <w:trPr>
                <w:trHeight w:val="615" w:hRule="auto"/>
              </w:trPr>
              body2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32,534.18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13,213.40</w:t>
                  </w:r>
                </w:p>
              </w:tc>
            </w:tr>
            <w:tr>
              <w:trPr>
                <w:trHeight w:val="612" w:hRule="auto"/>
              </w:trPr>
              body3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NDVI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2,202.34</w:t>
                  </w:r>
                </w:p>
              </w:tc>
            </w:tr>
            <w:tr>
              <w:trPr>
                <w:trHeight w:val="615" w:hRule="auto"/>
              </w:trPr>
              body4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24,262.64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11,825.41</w:t>
                  </w:r>
                </w:p>
              </w:tc>
            </w:tr>
            <w:tr>
              <w:trPr>
                <w:trHeight w:val="612" w:hRule="auto"/>
              </w:trPr>
              body5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GLI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3,827.11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3,191.25</w:t>
                  </w:r>
                </w:p>
              </w:tc>
            </w:tr>
            <w:tr>
              <w:trPr>
                <w:trHeight w:val="615" w:hRule="auto"/>
              </w:trPr>
              body6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28,556.33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12,646.62</w:t>
                  </w:r>
                </w:p>
              </w:tc>
            </w:tr>
            <w:tr>
              <w:trPr>
                <w:trHeight w:val="612" w:hRule="auto"/>
              </w:trPr>
              body7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SHSI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6,452.14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5,210.97</w:t>
                  </w:r>
                </w:p>
              </w:tc>
            </w:tr>
            <w:tr>
              <w:trPr>
                <w:trHeight w:val="615" w:hRule="auto"/>
              </w:trPr>
              body8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11,415.09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7,365.45</w:t>
                  </w:r>
                </w:p>
              </w:tc>
            </w:tr>
          </w:tbl>
          <w:bookmarkEnd w:id="130"/>
        </w:tc>
      </w:tr>
    </w:tbl>
    <w:bookmarkEnd w:id="131"/>
    <w:bookmarkStart w:id="133" w:name="sec-AnnexeD"/>
    <w:p>
      <w:pPr>
        <w:pStyle w:val="Heading2"/>
      </w:pPr>
      <w:r>
        <w:t xml:space="preserve">6.4 Annexes D - Outputs of GAM</w:t>
      </w:r>
    </w:p>
    <w:tbl>
      <w:tblPr>
        <w:tblStyle w:val="Table"/>
        <w:tblW w:type="pct" w:w="5000"/>
        <w:tblLayout w:type="fixed"/>
        <w:tblLook w:firstRow="0" w:lastRow="0" w:firstColumn="0" w:lastColumn="0" w:noHBand="0" w:noVBand="0" w:val="0000"/>
      </w:tblPr>
      <w:tblGrid>
        <w:gridCol w:w="7920"/>
      </w:tblGrid>
      <w:tr>
        <w:tc>
          <w:tcPr/>
          <w:bookmarkStart w:id="132" w:name="tbl-GAM"/>
          <w:p>
            <w:pPr>
              <w:jc w:val="center"/>
            </w:pPr>
            <w:pPr>
              <w:jc w:val="start"/>
              <w:spacing w:before="200"/>
              <w:pStyle w:val="ImageCaption"/>
            </w:pPr>
            <w:r>
              <w:t xml:space="preserve">Table 3: Outputs of the Generalized Additive Model (GAM) assessing the relationship between emersion time per day (hours) and the relative change in SHSI (</w:t>
            </w:r>
            <w:hyperlink w:anchor="fig-GAM_Emersion">
              <w:r>
                <w:rPr>
                  <w:rStyle w:val="Hyperlink"/>
                </w:rPr>
                <w:t xml:space="preserve">Figure 12</w:t>
              </w:r>
            </w:hyperlink>
            <w:r>
              <w:t xml:space="preserve">). The Intercept represents the expected SHSI value at the reference level of emersion time. The Estimate indicates the mean effect, with its Standard Error quantifying variability. The t-value and p-value assess statistical significance. The smooth term captures the nonlinear effect of emersion time, where the effective degrees of freedom (edf) reflect the function’s complexity. The F-value and p-value evaluate the significance of this effect. Model fit is described by the adjusted R², deviance explained, and Generalized Cross-Validation (GCV) score, while N represents the sample size.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1"/>
              <w:gridCol w:w="2489"/>
              <w:gridCol w:w="1328"/>
              <w:gridCol w:w="1364"/>
              <w:gridCol w:w="1206"/>
              <w:gridCol w:w="1181"/>
              <w:gridCol w:w="576"/>
            </w:tblGrid>
            <w:tr>
              <w:trPr>
                <w:trHeight w:val="614" w:hRule="auto"/>
                <w:tblHeader/>
              </w:trPr>
              header1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 Error</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r>
            <w:tr>
              <w:trPr>
                <w:trHeight w:val="617" w:hRule="auto"/>
              </w:trPr>
              body1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 parametric coefficients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0.294</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0.004</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66.676</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&lt;0.0001</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614" w:hRule="auto"/>
              </w:trPr>
              body2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Ref. 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r>
            <w:tr>
              <w:trPr>
                <w:trHeight w:val="617" w:hRule="auto"/>
              </w:trPr>
              body3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 smooth terms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s(emersion_per_day)</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587.956</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&lt;0.0001</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footer1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Signif. codes: 0 &lt;= '***' &lt; 0.001 &lt; '**' &lt; 0.01 &lt; '*' &lt; 0.05</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footer3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Adjusted R-squared: 0.118, Deviance explained 0.118</w:t>
                  </w:r>
                </w:p>
              </w:tc>
            </w:tr>
            <w:tr>
              <w:trPr>
                <w:trHeight w:val="360" w:hRule="auto"/>
              </w:trPr>
              footer4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GCV : 0.171, Scale est: 0.171, N: 8798</w:t>
                  </w:r>
                </w:p>
              </w:tc>
            </w:tr>
          </w:tbl>
          <w:bookmarkEnd w:id="132"/>
        </w:tc>
      </w:tr>
    </w:tbl>
    <w:bookmarkEnd w:id="133"/>
    <w:bookmarkEnd w:id="134"/>
    <w:bookmarkStart w:id="236" w:name="references"/>
    <w:p>
      <w:pPr>
        <w:pStyle w:val="Heading1"/>
      </w:pPr>
      <w:r>
        <w:t xml:space="preserve">7. References</w:t>
      </w:r>
    </w:p>
    <w:bookmarkStart w:id="235" w:name="refs"/>
    <w:bookmarkStart w:id="135" w:name="ref-allakhverdiev2008heat"/>
    <w:p>
      <w:pPr>
        <w:pStyle w:val="Bibliography"/>
      </w:pPr>
      <w:r>
        <w:t xml:space="preserve">Allakhverdiev, S.I., Kreslavski, V.D., Klimov, V.V., Los, D.A., Carpentier, R., Mohanty, P., 2008. Heat stress: An overview of molecular responses in photosynthesis. Photosynthesis research 98, 541–550.</w:t>
      </w:r>
    </w:p>
    <w:bookmarkEnd w:id="135"/>
    <w:bookmarkStart w:id="136"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36"/>
    <w:bookmarkStart w:id="137" w:name="ref-armitage2016carbon"/>
    <w:p>
      <w:pPr>
        <w:pStyle w:val="Bibliography"/>
      </w:pPr>
      <w:r>
        <w:t xml:space="preserve">Armitage, A., Fourqurean, J.W., 2016. Carbon storage in seagrass soils: Long-term nutrient history exceeds the effects of near-term nutrient enrichment. Biogeosciences 13, 313–321.</w:t>
      </w:r>
    </w:p>
    <w:bookmarkEnd w:id="137"/>
    <w:bookmarkStart w:id="138"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38"/>
    <w:bookmarkStart w:id="139" w:name="ref-borum2004european"/>
    <w:p>
      <w:pPr>
        <w:pStyle w:val="Bibliography"/>
      </w:pPr>
      <w:r>
        <w:t xml:space="preserve">Borum, J., Duarte, C.M., Krause-Jensen, D., Greve, T.M., 2004. European seagrasses: An introduction to monitoring and management. Monitoring; Managing of European Seagrasses Project.</w:t>
      </w:r>
    </w:p>
    <w:bookmarkEnd w:id="139"/>
    <w:bookmarkStart w:id="140"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40"/>
    <w:bookmarkStart w:id="141" w:name="ref-brun2003effect"/>
    <w:p>
      <w:pPr>
        <w:pStyle w:val="Bibliography"/>
      </w:pPr>
      <w:r>
        <w:t xml:space="preserve">Brun, F.G., Vergara, J.J., Navarro, G., Hernández, I., Pérez-Lloréns, J.L., 2003. Effect of shading by ulva rigida canopies on growth and carbon balance of the seagrass zostera noltii. Marine Ecology Progress Series 265, 85–96.</w:t>
      </w:r>
    </w:p>
    <w:bookmarkEnd w:id="141"/>
    <w:bookmarkStart w:id="143" w:name="ref-JSSv100i05"/>
    <w:p>
      <w:pPr>
        <w:pStyle w:val="Bibliography"/>
      </w:pPr>
      <w:r>
        <w:t xml:space="preserve">Bürkner, P.-C., 2021. Bayesian item response modeling in r with brms and stan. Journal of Statistical Software 100, 1–54.</w:t>
      </w:r>
      <w:r>
        <w:t xml:space="preserve"> </w:t>
      </w:r>
      <w:hyperlink r:id="rId142">
        <w:r>
          <w:rPr>
            <w:rStyle w:val="Hyperlink"/>
          </w:rPr>
          <w:t xml:space="preserve">https://doi.org/10.18637/jss.v100.i05</w:t>
        </w:r>
      </w:hyperlink>
    </w:p>
    <w:bookmarkEnd w:id="143"/>
    <w:bookmarkStart w:id="144"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44"/>
    <w:bookmarkStart w:id="145"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45"/>
    <w:bookmarkStart w:id="146"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46"/>
    <w:bookmarkStart w:id="148"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47">
        <w:r>
          <w:rPr>
            <w:rStyle w:val="Hyperlink"/>
          </w:rPr>
          <w:t xml:space="preserve">https://doi.org/10.18637/jss.v076.i01</w:t>
        </w:r>
      </w:hyperlink>
    </w:p>
    <w:bookmarkEnd w:id="148"/>
    <w:bookmarkStart w:id="150" w:name="ref-IPCC2023"/>
    <w:p>
      <w:pPr>
        <w:pStyle w:val="Bibliography"/>
      </w:pPr>
      <w:r>
        <w:t xml:space="preserve">Climate Change (IPCC), I.P. on, 2023. Summary for policymakers. IPCC, Geneva, Switzerland.</w:t>
      </w:r>
      <w:r>
        <w:t xml:space="preserve"> </w:t>
      </w:r>
      <w:hyperlink r:id="rId149">
        <w:r>
          <w:rPr>
            <w:rStyle w:val="Hyperlink"/>
          </w:rPr>
          <w:t xml:space="preserve">https://doi.org/10.59327/IPCC/AR6-9789291691647.001</w:t>
        </w:r>
      </w:hyperlink>
    </w:p>
    <w:bookmarkEnd w:id="150"/>
    <w:bookmarkStart w:id="15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51">
        <w:r>
          <w:rPr>
            <w:rStyle w:val="Hyperlink"/>
          </w:rPr>
          <w:t xml:space="preserve">https://doi.org/10.48670/moi-00311</w:t>
        </w:r>
      </w:hyperlink>
    </w:p>
    <w:bookmarkEnd w:id="152"/>
    <w:bookmarkStart w:id="154"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53">
        <w:r>
          <w:rPr>
            <w:rStyle w:val="Hyperlink"/>
          </w:rPr>
          <w:t xml:space="preserve">https://doi.org/10.1007/s11099-007-0084-3</w:t>
        </w:r>
      </w:hyperlink>
    </w:p>
    <w:bookmarkEnd w:id="154"/>
    <w:bookmarkStart w:id="155"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55"/>
    <w:bookmarkStart w:id="157"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56">
        <w:r>
          <w:rPr>
            <w:rStyle w:val="Hyperlink"/>
          </w:rPr>
          <w:t xml:space="preserve">https://doi.org/10.1038/s43247-024-01543-z</w:t>
        </w:r>
      </w:hyperlink>
    </w:p>
    <w:bookmarkEnd w:id="157"/>
    <w:bookmarkStart w:id="159"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58">
        <w:r>
          <w:rPr>
            <w:rStyle w:val="Hyperlink"/>
          </w:rPr>
          <w:t xml:space="preserve">https://doi.org/10.1016/j.rse.2024.114340</w:t>
        </w:r>
      </w:hyperlink>
    </w:p>
    <w:bookmarkEnd w:id="159"/>
    <w:bookmarkStart w:id="160" w:name="ref-deguette2022physiological"/>
    <w:p>
      <w:pPr>
        <w:pStyle w:val="Bibliography"/>
      </w:pPr>
      <w:r>
        <w:t xml:space="preserve">Deguette, A., Barrote, I., Silva, J., 2022. Physiological and morphological effects of a marine heatwave on the seagrass cymodocea nodosa. Scientific Reports 12, 7950.</w:t>
      </w:r>
    </w:p>
    <w:bookmarkEnd w:id="160"/>
    <w:bookmarkStart w:id="161" w:name="ref-douay2022new"/>
    <w:p>
      <w:pPr>
        <w:pStyle w:val="Bibliography"/>
      </w:pPr>
      <w:r>
        <w:t xml:space="preserve">Douay, F., Verpoorter, C., Duong, G., Spilmont, N., Gevaert, F., 2022. New hyperspectral procedure to discriminate intertidal macroalgae. Remote Sensing 14, 346.</w:t>
      </w:r>
    </w:p>
    <w:bookmarkEnd w:id="161"/>
    <w:bookmarkStart w:id="162" w:name="ref-duarte1991allometric"/>
    <w:p>
      <w:pPr>
        <w:pStyle w:val="Bibliography"/>
      </w:pPr>
      <w:r>
        <w:t xml:space="preserve">Duarte, C.M., 1991. Allometric scaling of seagrass form and productivity. Marine ecology progress series. Oldendorf 77, 289–300.</w:t>
      </w:r>
    </w:p>
    <w:bookmarkEnd w:id="162"/>
    <w:bookmarkStart w:id="164" w:name="ref-electricblue_intertidal_chamber"/>
    <w:p>
      <w:pPr>
        <w:pStyle w:val="Bibliography"/>
      </w:pPr>
      <w:r>
        <w:t xml:space="preserve">Electric Blue, 2023.</w:t>
      </w:r>
      <w:r>
        <w:t xml:space="preserve"> </w:t>
      </w:r>
      <w:hyperlink r:id="rId163">
        <w:r>
          <w:rPr>
            <w:rStyle w:val="Hyperlink"/>
          </w:rPr>
          <w:t xml:space="preserve">Intertidal chamber</w:t>
        </w:r>
      </w:hyperlink>
      <w:r>
        <w:t xml:space="preserve">.</w:t>
      </w:r>
    </w:p>
    <w:bookmarkEnd w:id="164"/>
    <w:bookmarkStart w:id="165" w:name="ref-sen2cor"/>
    <w:p>
      <w:pPr>
        <w:pStyle w:val="Bibliography"/>
      </w:pPr>
      <w:r>
        <w:t xml:space="preserve">European Space Agency, 2024b. Sen2Cor: Sentinel-2 atmospheric correction processor.</w:t>
      </w:r>
    </w:p>
    <w:bookmarkEnd w:id="165"/>
    <w:bookmarkStart w:id="166" w:name="ref-copernicus_sentinel2"/>
    <w:p>
      <w:pPr>
        <w:pStyle w:val="Bibliography"/>
      </w:pPr>
      <w:r>
        <w:t xml:space="preserve">European Space Agency, 2024a. Copernicus open access hub.</w:t>
      </w:r>
    </w:p>
    <w:bookmarkEnd w:id="166"/>
    <w:bookmarkStart w:id="167"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67"/>
    <w:bookmarkStart w:id="168"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68"/>
    <w:bookmarkStart w:id="169" w:name="ref-gacia1999approach"/>
    <w:p>
      <w:pPr>
        <w:pStyle w:val="Bibliography"/>
      </w:pPr>
      <w:r>
        <w:t xml:space="preserve">Gacia, E., Granata, T., Duarte, C., 1999. An approach to measurement of particle flux and sediment retention within seagrass (posidonia oceanica) meadows. Aquatic Botany 65, 255–268.</w:t>
      </w:r>
    </w:p>
    <w:bookmarkEnd w:id="169"/>
    <w:bookmarkStart w:id="170"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70"/>
    <w:bookmarkStart w:id="171" w:name="ref-gardner2018global"/>
    <w:p>
      <w:pPr>
        <w:pStyle w:val="Bibliography"/>
      </w:pPr>
      <w:r>
        <w:t xml:space="preserve">Gardner, R.C., Finlayson, C., 2018. Global wetland outlook: State of the world’s wetlands and their services to people, in: Ramsar Convention Secretariat. pp. 2020–5.</w:t>
      </w:r>
    </w:p>
    <w:bookmarkEnd w:id="171"/>
    <w:bookmarkStart w:id="172"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72"/>
    <w:bookmarkStart w:id="173" w:name="ref-green2021historical"/>
    <w:p>
      <w:pPr>
        <w:pStyle w:val="Bibliography"/>
      </w:pPr>
      <w:r>
        <w:t xml:space="preserve">Green, A.E., Unsworth, R.K., Chadwick, M.A., Jones, P.J., 2021. Historical analysis exposes catastrophic seagrass loss for the united kingdom. Frontiers in plant science 12, 629962.</w:t>
      </w:r>
    </w:p>
    <w:bookmarkEnd w:id="173"/>
    <w:bookmarkStart w:id="174"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74"/>
    <w:bookmarkStart w:id="175" w:name="ref-hemminga1998root"/>
    <w:p>
      <w:pPr>
        <w:pStyle w:val="Bibliography"/>
      </w:pPr>
      <w:r>
        <w:t xml:space="preserve">Hemminga, M., 1998. The root/rhizome system of seagrasses: An asset and a burden. Journal of Sea Research 39, 183–196.</w:t>
      </w:r>
    </w:p>
    <w:bookmarkEnd w:id="175"/>
    <w:bookmarkStart w:id="17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76"/>
    <w:bookmarkStart w:id="17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77"/>
    <w:bookmarkStart w:id="178"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78"/>
    <w:bookmarkStart w:id="180" w:name="ref-ioc_sea_level_lecy"/>
    <w:p>
      <w:pPr>
        <w:pStyle w:val="Bibliography"/>
      </w:pPr>
      <w:r>
        <w:t xml:space="preserve">IOC, 2024.</w:t>
      </w:r>
      <w:r>
        <w:t xml:space="preserve"> </w:t>
      </w:r>
      <w:hyperlink r:id="rId179">
        <w:r>
          <w:rPr>
            <w:rStyle w:val="Hyperlink"/>
          </w:rPr>
          <w:t xml:space="preserve">Intergovernmental oceanographic commission ; sea level monitoring station - le conquet, france (LECY)</w:t>
        </w:r>
      </w:hyperlink>
      <w:r>
        <w:t xml:space="preserve">.</w:t>
      </w:r>
    </w:p>
    <w:bookmarkEnd w:id="180"/>
    <w:bookmarkStart w:id="181"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81"/>
    <w:bookmarkStart w:id="183"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82">
        <w:r>
          <w:rPr>
            <w:rStyle w:val="Hyperlink"/>
          </w:rPr>
          <w:t xml:space="preserve">https://doi.org/10.1016/S0304-4238(05)80016-0</w:t>
        </w:r>
      </w:hyperlink>
    </w:p>
    <w:bookmarkEnd w:id="183"/>
    <w:bookmarkStart w:id="185"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84">
        <w:r>
          <w:rPr>
            <w:rStyle w:val="Hyperlink"/>
          </w:rPr>
          <w:t xml:space="preserve">https://doi.org/10.1016/S0034-4257(70)80021-9</w:t>
        </w:r>
      </w:hyperlink>
    </w:p>
    <w:bookmarkEnd w:id="185"/>
    <w:bookmarkStart w:id="186" w:name="ref-hsdar"/>
    <w:p>
      <w:pPr>
        <w:pStyle w:val="Bibliography"/>
      </w:pPr>
      <w:r>
        <w:t xml:space="preserve">Lehnert, L.W., Meyer, H., Bendix, J., 2017. Hsdar: Manage, analyse and simulate hyperspectral data in r.</w:t>
      </w:r>
    </w:p>
    <w:bookmarkEnd w:id="186"/>
    <w:bookmarkStart w:id="187" w:name="ref-loarie2009velocity"/>
    <w:p>
      <w:pPr>
        <w:pStyle w:val="Bibliography"/>
      </w:pPr>
      <w:r>
        <w:t xml:space="preserve">Loarie, S.R., Duffy, P.B., Hamilton, H., Asner, G.P., Field, C.B., Ackerly, D.D., 2009. The velocity of climate change. Nature 462, 1052–1055.</w:t>
      </w:r>
    </w:p>
    <w:bookmarkEnd w:id="187"/>
    <w:bookmarkStart w:id="188"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88"/>
    <w:bookmarkStart w:id="190" w:name="ref-malvern_panalytical_rs3"/>
    <w:p>
      <w:pPr>
        <w:pStyle w:val="Bibliography"/>
      </w:pPr>
      <w:r>
        <w:t xml:space="preserve">Malvern Panalytical, 2023.</w:t>
      </w:r>
      <w:r>
        <w:t xml:space="preserve"> </w:t>
      </w:r>
      <w:hyperlink r:id="rId189">
        <w:r>
          <w:rPr>
            <w:rStyle w:val="Hyperlink"/>
          </w:rPr>
          <w:t xml:space="preserve">RS3 software</w:t>
        </w:r>
      </w:hyperlink>
      <w:r>
        <w:t xml:space="preserve">.</w:t>
      </w:r>
    </w:p>
    <w:bookmarkEnd w:id="190"/>
    <w:bookmarkStart w:id="191" w:name="ref-marba2010mediterranean"/>
    <w:p>
      <w:pPr>
        <w:pStyle w:val="Bibliography"/>
      </w:pPr>
      <w:r>
        <w:t xml:space="preserve">Marbà, N., Duarte, C.M., 2010. Mediterranean warming triggers seagrass (posidonia oceanica) shoot mortality. Global change biology 16, 2366–2375.</w:t>
      </w:r>
    </w:p>
    <w:bookmarkEnd w:id="191"/>
    <w:bookmarkStart w:id="192"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92"/>
    <w:bookmarkStart w:id="193"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93"/>
    <w:bookmarkStart w:id="194"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94"/>
    <w:bookmarkStart w:id="196"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95">
        <w:r>
          <w:rPr>
            <w:rStyle w:val="Hyperlink"/>
          </w:rPr>
          <w:t xml:space="preserve">https://doi.org/10.3390/rs16234383</w:t>
        </w:r>
      </w:hyperlink>
    </w:p>
    <w:bookmarkEnd w:id="196"/>
    <w:bookmarkStart w:id="197"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97"/>
    <w:bookmarkStart w:id="198"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98"/>
    <w:bookmarkStart w:id="199" w:name="ref-perkins2013measurement"/>
    <w:p>
      <w:pPr>
        <w:pStyle w:val="Bibliography"/>
      </w:pPr>
      <w:r>
        <w:t xml:space="preserve">Perkins, S.E., Alexander, L.V., 2013. On the measurement of heat waves. Journal of climate 26, 4500–4517.</w:t>
      </w:r>
    </w:p>
    <w:bookmarkEnd w:id="199"/>
    <w:bookmarkStart w:id="201" w:name="ref-Rbase"/>
    <w:p>
      <w:pPr>
        <w:pStyle w:val="Bibliography"/>
      </w:pPr>
      <w:r>
        <w:t xml:space="preserve">R Core Team, 2023.</w:t>
      </w:r>
      <w:r>
        <w:t xml:space="preserve"> </w:t>
      </w:r>
      <w:hyperlink r:id="rId200">
        <w:r>
          <w:rPr>
            <w:rStyle w:val="Hyperlink"/>
          </w:rPr>
          <w:t xml:space="preserve">R: A language and environment for statistical computing</w:t>
        </w:r>
      </w:hyperlink>
      <w:r>
        <w:t xml:space="preserve">. R Foundation for Statistical Computing, Vienna, Austria.</w:t>
      </w:r>
    </w:p>
    <w:bookmarkEnd w:id="201"/>
    <w:bookmarkStart w:id="202" w:name="ref-ramesh2020seagrass"/>
    <w:p>
      <w:pPr>
        <w:pStyle w:val="Bibliography"/>
      </w:pPr>
      <w:r>
        <w:t xml:space="preserve">Ramesh, C., Mohanraju, R., 2020. Seagrass ecosystems of andaman and nicobar islands: Status and future perspective. Environmental &amp; Earth Sciences Research Journal 7.</w:t>
      </w:r>
    </w:p>
    <w:bookmarkEnd w:id="202"/>
    <w:bookmarkStart w:id="203" w:name="ref-roca2016response"/>
    <w:p>
      <w:pPr>
        <w:pStyle w:val="Bibliography"/>
      </w:pPr>
      <w:r>
        <w:t xml:space="preserve">Roca, G., Alcoverro, T., Krause-Jensen, D., Balsby, T.J.S., Katwijk, M.M. van, Marbà, N., Santos, R., Arthur, R., Mascaró, O., Fernández-Torquemada, Y., others, 2016. Response of seagrass indicators to shifts in environmental stressors: A global review and management synthesis. Ecological Indicators 63, 310–323.</w:t>
      </w:r>
    </w:p>
    <w:bookmarkEnd w:id="203"/>
    <w:bookmarkStart w:id="204" w:name="ref-roman2021using"/>
    <w:p>
      <w:pPr>
        <w:pStyle w:val="Bibliography"/>
      </w:pPr>
      <w:r>
        <w:t xml:space="preserve">Román, A., Tovar-Sánchez, A., Olivé, I., Navarro, G., 2021. Using a UAV-mounted multispectral camera for the monitoring of marine macrophytes. Frontiers in Marine Science 8, 722698.</w:t>
      </w:r>
    </w:p>
    <w:bookmarkEnd w:id="204"/>
    <w:bookmarkStart w:id="205" w:name="ref-roman2023clam"/>
    <w:p>
      <w:pPr>
        <w:pStyle w:val="Bibliography"/>
      </w:pPr>
      <w:r>
        <w:t xml:space="preserve">Román, M., Gilbert, F., Viejo, R.M., Román, S., Troncoso, J.S., Vázquez, E., Olabarria, C., 2023. Are clam-seagrass interactions affected by heatwaves during emersion? Marine Environmental Research 186, 105906.</w:t>
      </w:r>
    </w:p>
    <w:bookmarkEnd w:id="205"/>
    <w:bookmarkStart w:id="206" w:name="ref-roman2022effects"/>
    <w:p>
      <w:pPr>
        <w:pStyle w:val="Bibliography"/>
      </w:pPr>
      <w:r>
        <w:t xml:space="preserve">Román, S., Vázquez, E., Román, M., Viejo, R.M., Woodin, S.A., Wethey, D.S., Troncoso, J.S., Olabarria, C., 2022. Effects of warming on biological interactions between clams and the seagrass zostera noltei: A case study using open top chambers. Estuarine, Coastal and Shelf Science 276, 108027.</w:t>
      </w:r>
    </w:p>
    <w:bookmarkEnd w:id="206"/>
    <w:bookmarkStart w:id="207" w:name="ref-rouse1974monitoring"/>
    <w:p>
      <w:pPr>
        <w:pStyle w:val="Bibliography"/>
      </w:pPr>
      <w:r>
        <w:t xml:space="preserve">Rouse, J.W., Haas, R.H., Schell, J.A., Deering, D.W., others, 1974. Monitoring vegetation systems in the great plains with ERTS. NASA Spec. Publ 351, 309.</w:t>
      </w:r>
    </w:p>
    <w:bookmarkEnd w:id="207"/>
    <w:bookmarkStart w:id="208"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208"/>
    <w:bookmarkStart w:id="209"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9"/>
    <w:bookmarkStart w:id="211"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10">
        <w:r>
          <w:rPr>
            <w:rStyle w:val="Hyperlink"/>
          </w:rPr>
          <w:t xml:space="preserve">https://doi.org/10.21105/joss.00821</w:t>
        </w:r>
      </w:hyperlink>
    </w:p>
    <w:bookmarkEnd w:id="211"/>
    <w:bookmarkStart w:id="212"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12"/>
    <w:bookmarkStart w:id="214" w:name="ref-shom_ram_2022"/>
    <w:p>
      <w:pPr>
        <w:pStyle w:val="Bibliography"/>
      </w:pPr>
      <w:r>
        <w:t xml:space="preserve">SHOM, 2022.</w:t>
      </w:r>
      <w:r>
        <w:t xml:space="preserve"> </w:t>
      </w:r>
      <w:hyperlink r:id="rId213">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14"/>
    <w:bookmarkStart w:id="216" w:name="Xbef41143b4d4042e58f11cfc27e216202646012"/>
    <w:p>
      <w:pPr>
        <w:pStyle w:val="Bibliography"/>
      </w:pPr>
      <w:r>
        <w:t xml:space="preserve">SHOM, 2021.</w:t>
      </w:r>
      <w:r>
        <w:t xml:space="preserve"> </w:t>
      </w:r>
      <w:hyperlink r:id="rId215">
        <w:r>
          <w:rPr>
            <w:rStyle w:val="Hyperlink"/>
          </w:rPr>
          <w:t xml:space="preserve">Service hydrographique et océanographique de la marine ; bathymétrie Litto3D® bretagne 2018-2021</w:t>
        </w:r>
      </w:hyperlink>
      <w:r>
        <w:t xml:space="preserve">.</w:t>
      </w:r>
    </w:p>
    <w:bookmarkEnd w:id="216"/>
    <w:bookmarkStart w:id="217"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7"/>
    <w:bookmarkStart w:id="21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8"/>
    <w:bookmarkStart w:id="219" w:name="ref-stan2020rstan"/>
    <w:p>
      <w:pPr>
        <w:pStyle w:val="Bibliography"/>
      </w:pPr>
      <w:r>
        <w:t xml:space="preserve">Stan Development Team, C., others, 2020. RStan: The r interface to stan. R package version 2.21. 2.</w:t>
      </w:r>
    </w:p>
    <w:bookmarkEnd w:id="219"/>
    <w:bookmarkStart w:id="220" w:name="ref-stillman2019heat"/>
    <w:p>
      <w:pPr>
        <w:pStyle w:val="Bibliography"/>
      </w:pPr>
      <w:r>
        <w:t xml:space="preserve">Stillman, J.H., 2019. Heat waves, the new normal: Summertime temperature extremes will impact animals, ecosystems, and human communities. Physiology 34, 86–100.</w:t>
      </w:r>
    </w:p>
    <w:bookmarkEnd w:id="220"/>
    <w:bookmarkStart w:id="221"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21"/>
    <w:bookmarkStart w:id="222"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22"/>
    <w:bookmarkStart w:id="223"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23"/>
    <w:bookmarkStart w:id="224" w:name="ref-unsworth2014biodiversity"/>
    <w:p>
      <w:pPr>
        <w:pStyle w:val="Bibliography"/>
      </w:pPr>
      <w:r>
        <w:t xml:space="preserve">Unsworth, R., Cullen-Unsworth, L.C., 2014. Biodiversity, ecosystem services, and the conservation of seagrass meadows. Coast. Conserv 19, 95.</w:t>
      </w:r>
    </w:p>
    <w:bookmarkEnd w:id="224"/>
    <w:bookmarkStart w:id="225" w:name="ref-unsworth2021seagrass"/>
    <w:p>
      <w:pPr>
        <w:pStyle w:val="Bibliography"/>
      </w:pPr>
      <w:r>
        <w:t xml:space="preserve">Unsworth, R.K., Butterworth, E.G., 2021. Seagrass meadows provide a significant resource in support of avifauna. Diversity 13, 363.</w:t>
      </w:r>
    </w:p>
    <w:bookmarkEnd w:id="225"/>
    <w:bookmarkStart w:id="226" w:name="ref-unsworth2022planetary"/>
    <w:p>
      <w:pPr>
        <w:pStyle w:val="Bibliography"/>
      </w:pPr>
      <w:r>
        <w:t xml:space="preserve">Unsworth, R.K., Cullen-Unsworth, L.C., Jones, B.L., Lilley, R.J., 2022. The planetary role of seagrass conservation. Science 377, 609–613.</w:t>
      </w:r>
    </w:p>
    <w:bookmarkEnd w:id="226"/>
    <w:bookmarkStart w:id="227"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7"/>
    <w:bookmarkStart w:id="228"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8"/>
    <w:bookmarkStart w:id="229"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9"/>
    <w:bookmarkStart w:id="230" w:name="ref-zahoor2023water"/>
    <w:p>
      <w:pPr>
        <w:pStyle w:val="Bibliography"/>
      </w:pPr>
      <w:r>
        <w:t xml:space="preserve">Zahoor, I., Mushtaq, A., 2023. Water pollution from agricultural activities: A critical global review. Int. J. Chem. Biochem. Sci 23, 164–176.</w:t>
      </w:r>
    </w:p>
    <w:bookmarkEnd w:id="230"/>
    <w:bookmarkStart w:id="231"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31"/>
    <w:bookmarkStart w:id="233"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32">
        <w:r>
          <w:rPr>
            <w:rStyle w:val="Hyperlink"/>
          </w:rPr>
          <w:t xml:space="preserve">https://doi.org/10.1002/rse2.319</w:t>
        </w:r>
      </w:hyperlink>
    </w:p>
    <w:bookmarkEnd w:id="233"/>
    <w:bookmarkStart w:id="234"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34"/>
    <w:bookmarkEnd w:id="235"/>
    <w:bookmarkEnd w:id="236"/>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101" Target="media/rId101.png" /><Relationship Type="http://schemas.openxmlformats.org/officeDocument/2006/relationships/image" Id="rId85" Target="media/rId85.png" /><Relationship Type="http://schemas.openxmlformats.org/officeDocument/2006/relationships/image" Id="rId48" Target="media/rId48.png" /><Relationship Type="http://schemas.openxmlformats.org/officeDocument/2006/relationships/image" Id="rId91" Target="media/rId91.png" /><Relationship Type="http://schemas.openxmlformats.org/officeDocument/2006/relationships/image" Id="rId78" Target="media/rId78.png" /><Relationship Type="http://schemas.openxmlformats.org/officeDocument/2006/relationships/image" Id="rId53" Target="media/rId53.png" /><Relationship Type="http://schemas.openxmlformats.org/officeDocument/2006/relationships/image" Id="rId73" Target="media/rId73.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hyperlink" Id="rId213" Target="https://diffusion.shom.fr/references-altimetriques-maritimes-ram.html" TargetMode="External" /><Relationship Type="http://schemas.openxmlformats.org/officeDocument/2006/relationships/hyperlink" Id="rId232" Target="https://doi.org/10.1002/rse2.319" TargetMode="External" /><Relationship Type="http://schemas.openxmlformats.org/officeDocument/2006/relationships/hyperlink" Id="rId153" Target="https://doi.org/10.1007/s11099-007-0084-3" TargetMode="External" /><Relationship Type="http://schemas.openxmlformats.org/officeDocument/2006/relationships/hyperlink" Id="rId184" Target="https://doi.org/10.1016/S0034-4257(70)80021-9" TargetMode="External" /><Relationship Type="http://schemas.openxmlformats.org/officeDocument/2006/relationships/hyperlink" Id="rId182" Target="https://doi.org/10.1016/S0304-4238(05)80016-0" TargetMode="External" /><Relationship Type="http://schemas.openxmlformats.org/officeDocument/2006/relationships/hyperlink" Id="rId158" Target="https://doi.org/10.1016/j.rse.2024.114340" TargetMode="External" /><Relationship Type="http://schemas.openxmlformats.org/officeDocument/2006/relationships/hyperlink" Id="rId156" Target="https://doi.org/10.1038/s43247-024-01543-z" TargetMode="External" /><Relationship Type="http://schemas.openxmlformats.org/officeDocument/2006/relationships/hyperlink" Id="rId147" Target="https://doi.org/10.18637/jss.v076.i01" TargetMode="External" /><Relationship Type="http://schemas.openxmlformats.org/officeDocument/2006/relationships/hyperlink" Id="rId142" Target="https://doi.org/10.18637/jss.v100.i05" TargetMode="External" /><Relationship Type="http://schemas.openxmlformats.org/officeDocument/2006/relationships/hyperlink" Id="rId210" Target="https://doi.org/10.21105/joss.00821" TargetMode="External" /><Relationship Type="http://schemas.openxmlformats.org/officeDocument/2006/relationships/hyperlink" Id="rId195" Target="https://doi.org/10.3390/rs16234383" TargetMode="External" /><Relationship Type="http://schemas.openxmlformats.org/officeDocument/2006/relationships/hyperlink" Id="rId151" Target="https://doi.org/10.48670/moi-00311" TargetMode="External" /><Relationship Type="http://schemas.openxmlformats.org/officeDocument/2006/relationships/hyperlink" Id="rId149" Target="https://doi.org/10.59327/IPCC/AR6-9789291691647.001" TargetMode="External" /><Relationship Type="http://schemas.openxmlformats.org/officeDocument/2006/relationships/hyperlink" Id="rId163" Target="https://electricblue.eu/intertidal-chamber" TargetMode="External" /><Relationship Type="http://schemas.openxmlformats.org/officeDocument/2006/relationships/hyperlink" Id="rId215" Target="https://services.data.shom.fr/geonetwork/srv/fre/catalog.search#/metadata/BATHYMETRIE_LITTO3D_BZH_2018_2021.xml" TargetMode="External" /><Relationship Type="http://schemas.openxmlformats.org/officeDocument/2006/relationships/hyperlink" Id="rId200" Target="https://www.R-project.org/" TargetMode="External" /><Relationship Type="http://schemas.openxmlformats.org/officeDocument/2006/relationships/hyperlink" Id="rId179" Target="https://www.ioc-sealevelmonitoring.org/station.php?code=lecy" TargetMode="External" /><Relationship Type="http://schemas.openxmlformats.org/officeDocument/2006/relationships/hyperlink" Id="rId189"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13" Target="https://diffusion.shom.fr/references-altimetriques-maritimes-ram.html" TargetMode="External" /><Relationship Type="http://schemas.openxmlformats.org/officeDocument/2006/relationships/hyperlink" Id="rId232" Target="https://doi.org/10.1002/rse2.319" TargetMode="External" /><Relationship Type="http://schemas.openxmlformats.org/officeDocument/2006/relationships/hyperlink" Id="rId153" Target="https://doi.org/10.1007/s11099-007-0084-3" TargetMode="External" /><Relationship Type="http://schemas.openxmlformats.org/officeDocument/2006/relationships/hyperlink" Id="rId184" Target="https://doi.org/10.1016/S0034-4257(70)80021-9" TargetMode="External" /><Relationship Type="http://schemas.openxmlformats.org/officeDocument/2006/relationships/hyperlink" Id="rId182" Target="https://doi.org/10.1016/S0304-4238(05)80016-0" TargetMode="External" /><Relationship Type="http://schemas.openxmlformats.org/officeDocument/2006/relationships/hyperlink" Id="rId158" Target="https://doi.org/10.1016/j.rse.2024.114340" TargetMode="External" /><Relationship Type="http://schemas.openxmlformats.org/officeDocument/2006/relationships/hyperlink" Id="rId156" Target="https://doi.org/10.1038/s43247-024-01543-z" TargetMode="External" /><Relationship Type="http://schemas.openxmlformats.org/officeDocument/2006/relationships/hyperlink" Id="rId147" Target="https://doi.org/10.18637/jss.v076.i01" TargetMode="External" /><Relationship Type="http://schemas.openxmlformats.org/officeDocument/2006/relationships/hyperlink" Id="rId142" Target="https://doi.org/10.18637/jss.v100.i05" TargetMode="External" /><Relationship Type="http://schemas.openxmlformats.org/officeDocument/2006/relationships/hyperlink" Id="rId210" Target="https://doi.org/10.21105/joss.00821" TargetMode="External" /><Relationship Type="http://schemas.openxmlformats.org/officeDocument/2006/relationships/hyperlink" Id="rId195" Target="https://doi.org/10.3390/rs16234383" TargetMode="External" /><Relationship Type="http://schemas.openxmlformats.org/officeDocument/2006/relationships/hyperlink" Id="rId151" Target="https://doi.org/10.48670/moi-00311" TargetMode="External" /><Relationship Type="http://schemas.openxmlformats.org/officeDocument/2006/relationships/hyperlink" Id="rId149" Target="https://doi.org/10.59327/IPCC/AR6-9789291691647.001" TargetMode="External" /><Relationship Type="http://schemas.openxmlformats.org/officeDocument/2006/relationships/hyperlink" Id="rId163" Target="https://electricblue.eu/intertidal-chamber" TargetMode="External" /><Relationship Type="http://schemas.openxmlformats.org/officeDocument/2006/relationships/hyperlink" Id="rId215" Target="https://services.data.shom.fr/geonetwork/srv/fre/catalog.search#/metadata/BATHYMETRIE_LITTO3D_BZH_2018_2021.xml" TargetMode="External" /><Relationship Type="http://schemas.openxmlformats.org/officeDocument/2006/relationships/hyperlink" Id="rId200" Target="https://www.R-project.org/" TargetMode="External" /><Relationship Type="http://schemas.openxmlformats.org/officeDocument/2006/relationships/hyperlink" Id="rId179" Target="https://www.ioc-sealevelmonitoring.org/station.php?code=lecy" TargetMode="External" /><Relationship Type="http://schemas.openxmlformats.org/officeDocument/2006/relationships/hyperlink" Id="rId189"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Heatwave impacts on intertidal seagrass reflectance: from laboratory experiment to satellite mapping of seagrass heat shock index</dc:title>
  <dc:creator>Simon Oiry; Bede Ffinian Rowe Davies¹; Philippe Rosa¹; Augustin Debly¹; Maria Laura Zoffoli; Anne-Laure Barillé; Nicolas Harin³; Marta Román¹⁴; Pierre Gernez¹; Laurent Barillé¹</dc:creator>
  <cp:keywords>Remote Sensing, Pigment Composition, Seagrass, Coastal Ecosystems, Heatwaves</cp:keywords>
  <dcterms:created xsi:type="dcterms:W3CDTF">2025-10-07T13:55:53Z</dcterms:created>
  <dcterms:modified xsi:type="dcterms:W3CDTF">2025-10-07T13:55:53Z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2025-10-07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