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1.png" ContentType="image/png"/>
  <Override PartName="/word/media/rId114.png" ContentType="image/png"/>
  <Override PartName="/word/media/rId80.png" ContentType="image/png"/>
  <Override PartName="/word/media/rId24.png" ContentType="image/png"/>
  <Override PartName="/word/media/rId91.png" ContentType="image/png"/>
  <Override PartName="/word/media/rId74.png" ContentType="image/png"/>
  <Override PartName="/word/media/rId86.png" ContentType="image/png"/>
  <Override PartName="/word/media/rId118.png" ContentType="image/png"/>
  <Override PartName="/word/media/rId41.png" ContentType="image/png"/>
  <Override PartName="/word/media/rId46.png" ContentType="image/png"/>
  <Override PartName="/word/media/rId66.png" ContentType="image/png"/>
  <Override PartName="/word/media/rId99.png" ContentType="image/png"/>
  <Override PartName="/word/media/rId60.png" ContentType="image/png"/>
  <Override PartName="/word/media/rId104.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Cs/>
          <w:i/>
        </w:rPr>
        <w:t xml:space="preserve">Zostera</w:t>
      </w:r>
      <w:r>
        <w:rPr>
          <w:iCs/>
          <w:i/>
        </w:rPr>
        <w:t xml:space="preserve"> </w:t>
      </w:r>
      <w:r>
        <w:rPr>
          <w:iCs/>
          <w:i/>
        </w:rPr>
        <w:t xml:space="preserve">noltei</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2024-11-11</w:t>
      </w:r>
    </w:p>
    <w:p>
      <w:pPr>
        <w:pStyle w:val="AbstractTitle"/>
      </w:pPr>
      <w:r>
        <w:t xml:space="preserve">Abstract</w:t>
      </w:r>
    </w:p>
    <w:p>
      <w:pPr>
        <w:pStyle w:val="Abstract"/>
      </w:pPr>
      <w:r>
        <w:t xml:space="preserve">Seagrasses</w:t>
      </w:r>
      <w:r>
        <w:t xml:space="preserve"> </w:t>
      </w:r>
      <w:r>
        <w:t xml:space="preserve">are</w:t>
      </w:r>
      <w:r>
        <w:t xml:space="preserve"> </w:t>
      </w:r>
      <w:r>
        <w:t xml:space="preserve">critical</w:t>
      </w:r>
      <w:r>
        <w:t xml:space="preserve"> </w:t>
      </w:r>
      <w:r>
        <w:t xml:space="preserve">to</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aiding</w:t>
      </w:r>
      <w:r>
        <w:t xml:space="preserve"> </w:t>
      </w:r>
      <w:r>
        <w:t xml:space="preserve">carbon</w:t>
      </w:r>
      <w:r>
        <w:t xml:space="preserve"> </w:t>
      </w:r>
      <w:r>
        <w:t xml:space="preserve">sequestration.</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potentially</w:t>
      </w:r>
      <w:r>
        <w:t xml:space="preserve"> </w:t>
      </w:r>
      <w:r>
        <w:t xml:space="preserve">threatening</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pigment</w:t>
      </w:r>
      <w:r>
        <w:t xml:space="preserve"> </w:t>
      </w:r>
      <w:r>
        <w:t xml:space="preserve">composition</w:t>
      </w:r>
      <w:r>
        <w:t xml:space="preserve"> </w:t>
      </w:r>
      <w:r>
        <w:t xml:space="preserve">and</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We</w:t>
      </w:r>
      <w:r>
        <w:t xml:space="preserve"> </w:t>
      </w:r>
      <w:r>
        <w:t xml:space="preserve">performed</w:t>
      </w:r>
      <w:r>
        <w:t xml:space="preserve"> </w:t>
      </w:r>
      <w:r>
        <w:t xml:space="preserve">laboratory</w:t>
      </w:r>
      <w:r>
        <w:t xml:space="preserve"> </w:t>
      </w:r>
      <w:r>
        <w:t xml:space="preserve">experiments,</w:t>
      </w:r>
      <w:r>
        <w:t xml:space="preserve"> </w:t>
      </w:r>
      <w:r>
        <w:t xml:space="preserve">exposing</w:t>
      </w:r>
      <w:r>
        <w:t xml:space="preserve"> </w:t>
      </w:r>
      <w:r>
        <w:t xml:space="preserve">N.</w:t>
      </w:r>
      <w:r>
        <w:t xml:space="preserve"> </w:t>
      </w:r>
      <w:r>
        <w:t xml:space="preserve">noltei</w:t>
      </w:r>
      <w:r>
        <w:t xml:space="preserve"> </w:t>
      </w:r>
      <w:r>
        <w:t xml:space="preserve">samples</w:t>
      </w:r>
      <w:r>
        <w:t xml:space="preserve"> </w:t>
      </w:r>
      <w:r>
        <w:t xml:space="preserve">to</w:t>
      </w:r>
      <w:r>
        <w:t xml:space="preserve"> </w:t>
      </w:r>
      <w:r>
        <w:t xml:space="preserve">controlled</w:t>
      </w:r>
      <w:r>
        <w:t xml:space="preserve"> </w:t>
      </w:r>
      <w:r>
        <w:t xml:space="preserve">heatwave</w:t>
      </w:r>
      <w:r>
        <w:t xml:space="preserve"> </w:t>
      </w:r>
      <w:r>
        <w:t xml:space="preserve">conditions</w:t>
      </w:r>
      <w:r>
        <w:t xml:space="preserve"> </w:t>
      </w:r>
      <w:r>
        <w:t xml:space="preserve">while</w:t>
      </w:r>
      <w:r>
        <w:t xml:space="preserve"> </w:t>
      </w:r>
      <w:r>
        <w:t xml:space="preserve">measuring</w:t>
      </w:r>
      <w:r>
        <w:t xml:space="preserve"> </w:t>
      </w:r>
      <w:r>
        <w:t xml:space="preserve">hyperspectral</w:t>
      </w:r>
      <w:r>
        <w:t xml:space="preserve"> </w:t>
      </w:r>
      <w:r>
        <w:t xml:space="preserve">reflectance</w:t>
      </w:r>
      <w:r>
        <w:t xml:space="preserve"> </w:t>
      </w:r>
      <w:r>
        <w:t xml:space="preserve">and</w:t>
      </w:r>
      <w:r>
        <w:t xml:space="preserve"> </w:t>
      </w:r>
      <w:r>
        <w:t xml:space="preserve">pigment</w:t>
      </w:r>
      <w:r>
        <w:t xml:space="preserve"> </w:t>
      </w:r>
      <w:r>
        <w:t xml:space="preserve">concentration</w:t>
      </w:r>
      <w:r>
        <w:t xml:space="preserve"> </w:t>
      </w:r>
      <w:r>
        <w:t xml:space="preserve">to</w:t>
      </w:r>
      <w:r>
        <w:t xml:space="preserve"> </w:t>
      </w:r>
      <w:r>
        <w:t xml:space="preserve">assess</w:t>
      </w:r>
      <w:r>
        <w:t xml:space="preserve"> </w:t>
      </w:r>
      <w:r>
        <w:t xml:space="preserve">impact</w:t>
      </w:r>
      <w:r>
        <w:t xml:space="preserve"> </w:t>
      </w:r>
      <w:r>
        <w:t xml:space="preserve">over</w:t>
      </w:r>
      <w:r>
        <w:t xml:space="preserve"> </w:t>
      </w:r>
      <w:r>
        <w:t xml:space="preserve">time.</w:t>
      </w:r>
      <w:r>
        <w:t xml:space="preserve"> </w:t>
      </w:r>
      <w:r>
        <w:t xml:space="preserve">We</w:t>
      </w:r>
      <w:r>
        <w:t xml:space="preserve"> </w:t>
      </w:r>
      <w:r>
        <w:t xml:space="preserve">found</w:t>
      </w:r>
      <w:r>
        <w:t xml:space="preserve"> </w:t>
      </w:r>
      <w:r>
        <w:t xml:space="preserve">that</w:t>
      </w:r>
      <w:r>
        <w:t xml:space="preserve"> </w:t>
      </w:r>
      <w:r>
        <w:t xml:space="preserve">heatwaves</w:t>
      </w:r>
      <w:r>
        <w:t xml:space="preserve"> </w:t>
      </w:r>
      <w:r>
        <w:t xml:space="preserve">induced</w:t>
      </w:r>
      <w:r>
        <w:t xml:space="preserve"> </w:t>
      </w:r>
      <w:r>
        <w:t xml:space="preserve">significant</w:t>
      </w:r>
      <w:r>
        <w:t xml:space="preserve"> </w:t>
      </w:r>
      <w:r>
        <w:t xml:space="preserve">declines</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most</w:t>
      </w:r>
      <w:r>
        <w:t xml:space="preserve"> </w:t>
      </w:r>
      <w:r>
        <w:t xml:space="preserve">likely</w:t>
      </w:r>
      <w:r>
        <w:t xml:space="preserve"> </w:t>
      </w:r>
      <w:r>
        <w:t xml:space="preserve">due</w:t>
      </w:r>
      <w:r>
        <w:t xml:space="preserve"> </w:t>
      </w:r>
      <w:r>
        <w:t xml:space="preserve">to</w:t>
      </w:r>
      <w:r>
        <w:t xml:space="preserve"> </w:t>
      </w:r>
      <w:r>
        <w:t xml:space="preserve">pigment</w:t>
      </w:r>
      <w:r>
        <w:t xml:space="preserve"> </w:t>
      </w:r>
      <w:r>
        <w:t xml:space="preserve">degradation.</w:t>
      </w:r>
      <w:r>
        <w:t xml:space="preserve"> </w:t>
      </w:r>
      <w:r>
        <w:t xml:space="preserve">Furthemore,</w:t>
      </w:r>
      <w:r>
        <w:t xml:space="preserve"> </w:t>
      </w:r>
      <w:r>
        <w:t xml:space="preserve">key</w:t>
      </w:r>
      <w:r>
        <w:t xml:space="preserve"> </w:t>
      </w:r>
      <w:r>
        <w:t xml:space="preserve">vegetation</w:t>
      </w:r>
      <w:r>
        <w:t xml:space="preserve"> </w:t>
      </w:r>
      <w:r>
        <w:t xml:space="preserve">indices,</w:t>
      </w:r>
      <w:r>
        <w:t xml:space="preserve"> </w:t>
      </w:r>
      <w:r>
        <w:t xml:space="preserve">such</w:t>
      </w:r>
      <w:r>
        <w:t xml:space="preserve"> </w:t>
      </w:r>
      <w:r>
        <w:t xml:space="preserve">as</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displayed</w:t>
      </w:r>
      <w:r>
        <w:t xml:space="preserve"> </w:t>
      </w:r>
      <w:r>
        <w:t xml:space="preserve">marked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Seagrass</w:t>
      </w:r>
      <w:r>
        <w:t xml:space="preserve"> </w:t>
      </w:r>
      <w:r>
        <w:t xml:space="preserve">Darkening</w:t>
      </w:r>
      <w:r>
        <w:t xml:space="preserve"> </w:t>
      </w:r>
      <w:r>
        <w:t xml:space="preserve">Index</w:t>
      </w:r>
      <w:r>
        <w:t xml:space="preserve"> </w:t>
      </w:r>
      <w:r>
        <w:t xml:space="preserve">(SDI)</w:t>
      </w:r>
      <w:r>
        <w:t xml:space="preserve"> </w:t>
      </w:r>
      <w:r>
        <w:t xml:space="preserve">was</w:t>
      </w:r>
      <w:r>
        <w:t xml:space="preserve"> </w:t>
      </w:r>
      <w:r>
        <w:t xml:space="preserve">developed</w:t>
      </w:r>
      <w:r>
        <w:t xml:space="preserve"> </w:t>
      </w:r>
      <w:r>
        <w:t xml:space="preserve">to</w:t>
      </w:r>
      <w:r>
        <w:t xml:space="preserve"> </w:t>
      </w:r>
      <w:r>
        <w:t xml:space="preserve">identify</w:t>
      </w:r>
      <w:r>
        <w:t xml:space="preserve"> </w:t>
      </w:r>
      <w:r>
        <w:t xml:space="preserve">seagrass</w:t>
      </w:r>
      <w:r>
        <w:t xml:space="preserve"> </w:t>
      </w:r>
      <w:r>
        <w:t xml:space="preserve">darkening,</w:t>
      </w:r>
      <w:r>
        <w:t xml:space="preserve"> </w:t>
      </w:r>
      <w:r>
        <w:t xml:space="preserve">showing</w:t>
      </w:r>
      <w:r>
        <w:t xml:space="preserve"> </w:t>
      </w:r>
      <w:r>
        <w:t xml:space="preserve">a</w:t>
      </w:r>
      <w:r>
        <w:t xml:space="preserve"> </w:t>
      </w:r>
      <w:r>
        <w:t xml:space="preserve">strong</w:t>
      </w:r>
      <w:r>
        <w:t xml:space="preserve"> </w:t>
      </w:r>
      <w:r>
        <w:t xml:space="preserve">correlation</w:t>
      </w:r>
      <w:r>
        <w:t xml:space="preserve"> </w:t>
      </w:r>
      <w:r>
        <w:t xml:space="preserve">with</w:t>
      </w:r>
      <w:r>
        <w:t xml:space="preserve"> </w:t>
      </w:r>
      <w:r>
        <w:t xml:space="preserve">heatwave</w:t>
      </w:r>
      <w:r>
        <w:t xml:space="preserve"> </w:t>
      </w:r>
      <w:r>
        <w:t xml:space="preserve">exposure.</w:t>
      </w:r>
      <w:r>
        <w:t xml:space="preserve"> </w:t>
      </w:r>
      <w:r>
        <w:t xml:space="preserve">This</w:t>
      </w:r>
      <w:r>
        <w:t xml:space="preserve"> </w:t>
      </w:r>
      <w:r>
        <w:t xml:space="preserve">research</w:t>
      </w:r>
      <w:r>
        <w:t xml:space="preserve"> </w:t>
      </w:r>
      <w:r>
        <w:t xml:space="preserve">suggests</w:t>
      </w:r>
      <w:r>
        <w:t xml:space="preserve"> </w:t>
      </w:r>
      <w:r>
        <w:t xml:space="preserve">that</w:t>
      </w:r>
      <w:r>
        <w:t xml:space="preserve"> </w:t>
      </w:r>
      <w:r>
        <w:t xml:space="preserve">spectral</w:t>
      </w:r>
      <w:r>
        <w:t xml:space="preserve"> </w:t>
      </w:r>
      <w:r>
        <w:t xml:space="preserve">monitoring</w:t>
      </w:r>
      <w:r>
        <w:t xml:space="preserve"> </w:t>
      </w:r>
      <w:r>
        <w:t xml:space="preserve">can</w:t>
      </w:r>
      <w:r>
        <w:t xml:space="preserve"> </w:t>
      </w:r>
      <w:r>
        <w:t xml:space="preserve">effectively</w:t>
      </w:r>
      <w:r>
        <w:t xml:space="preserve"> </w:t>
      </w:r>
      <w:r>
        <w:t xml:space="preserve">track</w:t>
      </w:r>
      <w:r>
        <w:t xml:space="preserve"> </w:t>
      </w:r>
      <w:r>
        <w:t xml:space="preserve">the</w:t>
      </w:r>
      <w:r>
        <w:t xml:space="preserve"> </w:t>
      </w:r>
      <w:r>
        <w:t xml:space="preserve">early</w:t>
      </w:r>
      <w:r>
        <w:t xml:space="preserve"> </w:t>
      </w:r>
      <w:r>
        <w:t xml:space="preserve">impacts</w:t>
      </w:r>
      <w:r>
        <w:t xml:space="preserve"> </w:t>
      </w:r>
      <w:r>
        <w:t xml:space="preserve">of</w:t>
      </w:r>
      <w:r>
        <w:t xml:space="preserve"> </w:t>
      </w:r>
      <w:r>
        <w:t xml:space="preserve">heatwaves</w:t>
      </w:r>
      <w:r>
        <w:t xml:space="preserve"> </w:t>
      </w:r>
      <w:r>
        <w:t xml:space="preserve">on</w:t>
      </w:r>
      <w:r>
        <w:t xml:space="preserve"> </w:t>
      </w:r>
      <w:r>
        <w:t xml:space="preserve">seagrasses,</w:t>
      </w:r>
      <w:r>
        <w:t xml:space="preserve"> </w:t>
      </w:r>
      <w:r>
        <w:t xml:space="preserve">providing</w:t>
      </w:r>
      <w:r>
        <w:t xml:space="preserve"> </w:t>
      </w:r>
      <w:r>
        <w:t xml:space="preserve">a</w:t>
      </w:r>
      <w:r>
        <w:t xml:space="preserve"> </w:t>
      </w:r>
      <w:r>
        <w:t xml:space="preserve">valuable</w:t>
      </w:r>
      <w:r>
        <w:t xml:space="preserve"> </w:t>
      </w:r>
      <w:r>
        <w:t xml:space="preserve">tool</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Multispectral</w:t>
      </w:r>
      <w:r>
        <w:t xml:space="preserve"> </w:t>
      </w:r>
      <w:r>
        <w:t xml:space="preserve">satellite</w:t>
      </w:r>
      <w:r>
        <w:t xml:space="preserve"> </w:t>
      </w:r>
      <w:r>
        <w:t xml:space="preserve">observations</w:t>
      </w:r>
      <w:r>
        <w:t xml:space="preserve"> </w:t>
      </w:r>
      <w:r>
        <w:t xml:space="preserve">confirmed</w:t>
      </w:r>
      <w:r>
        <w:t xml:space="preserve"> </w:t>
      </w:r>
      <w:r>
        <w:t xml:space="preserve">these</w:t>
      </w:r>
      <w:r>
        <w:t xml:space="preserve"> </w:t>
      </w:r>
      <w:r>
        <w:t xml:space="preserve">findings,</w:t>
      </w:r>
      <w:r>
        <w:t xml:space="preserve"> </w:t>
      </w:r>
      <w:r>
        <w:t xml:space="preserve">showing</w:t>
      </w:r>
      <w:r>
        <w:t xml:space="preserve"> </w:t>
      </w:r>
      <w:r>
        <w:t xml:space="preserve">widespread</w:t>
      </w:r>
      <w:r>
        <w:t xml:space="preserve"> </w:t>
      </w:r>
      <w:r>
        <w:t xml:space="preserve">seagrass</w:t>
      </w:r>
      <w:r>
        <w:t xml:space="preserve"> </w:t>
      </w:r>
      <w:r>
        <w:t xml:space="preserve">darkening</w:t>
      </w:r>
      <w:r>
        <w:t xml:space="preserve"> </w:t>
      </w:r>
      <w:r>
        <w:t xml:space="preserve">during</w:t>
      </w:r>
      <w:r>
        <w:t xml:space="preserve"> </w:t>
      </w:r>
      <w:r>
        <w:t xml:space="preserve">atmospheric</w:t>
      </w:r>
      <w:r>
        <w:t xml:space="preserve"> </w:t>
      </w:r>
      <w:r>
        <w:t xml:space="preserve">and</w:t>
      </w:r>
      <w:r>
        <w:t xml:space="preserve"> </w:t>
      </w:r>
      <w:r>
        <w:t xml:space="preserve">marine</w:t>
      </w:r>
      <w:r>
        <w:t xml:space="preserve"> </w:t>
      </w:r>
      <w:r>
        <w:t xml:space="preserve">heatwave</w:t>
      </w:r>
      <w:r>
        <w:t xml:space="preserve"> </w:t>
      </w:r>
      <w:r>
        <w:t xml:space="preserve">events</w:t>
      </w:r>
      <w:r>
        <w:t xml:space="preserve"> </w:t>
      </w:r>
      <w:r>
        <w:t xml:space="preserve">in</w:t>
      </w:r>
      <w:r>
        <w:t xml:space="preserve"> </w:t>
      </w:r>
      <w:r>
        <w:t xml:space="preserve">Quiberon,</w:t>
      </w:r>
      <w:r>
        <w:t xml:space="preserve"> </w:t>
      </w:r>
      <w:r>
        <w:t xml:space="preserve">France.</w:t>
      </w:r>
      <w:r>
        <w:t xml:space="preserve"> </w:t>
      </w:r>
      <w:r>
        <w:t xml:space="preserve">Darkened</w:t>
      </w:r>
      <w:r>
        <w:t xml:space="preserve"> </w:t>
      </w:r>
      <w:r>
        <w:t xml:space="preserve">seagrasses</w:t>
      </w:r>
      <w:r>
        <w:t xml:space="preserve"> </w:t>
      </w:r>
      <w:r>
        <w:t xml:space="preserve">were</w:t>
      </w:r>
      <w:r>
        <w:t xml:space="preserve"> </w:t>
      </w:r>
      <w:r>
        <w:t xml:space="preserve">observed</w:t>
      </w:r>
      <w:r>
        <w:t xml:space="preserve"> </w:t>
      </w:r>
      <w:r>
        <w:t xml:space="preserve">in</w:t>
      </w:r>
      <w:r>
        <w:t xml:space="preserve"> </w:t>
      </w:r>
      <w:r>
        <w:t xml:space="preserve">areas</w:t>
      </w:r>
      <w:r>
        <w:t xml:space="preserve"> </w:t>
      </w:r>
      <w:r>
        <w:t xml:space="preserve">within</w:t>
      </w:r>
      <w:r>
        <w:t xml:space="preserve"> </w:t>
      </w:r>
      <w:r>
        <w:t xml:space="preserve">the</w:t>
      </w:r>
      <w:r>
        <w:t xml:space="preserve"> </w:t>
      </w:r>
      <w:r>
        <w:t xml:space="preserve">intertidal</w:t>
      </w:r>
      <w:r>
        <w:t xml:space="preserve"> </w:t>
      </w:r>
      <w:r>
        <w:t xml:space="preserve">zone</w:t>
      </w:r>
      <w:r>
        <w:t xml:space="preserve"> </w:t>
      </w:r>
      <w:r>
        <w:t xml:space="preserve">that</w:t>
      </w:r>
      <w:r>
        <w:t xml:space="preserve"> </w:t>
      </w:r>
      <w:r>
        <w:t xml:space="preserve">were</w:t>
      </w:r>
      <w:r>
        <w:t xml:space="preserve"> </w:t>
      </w:r>
      <w:r>
        <w:t xml:space="preserve">exposed</w:t>
      </w:r>
      <w:r>
        <w:t xml:space="preserve"> </w:t>
      </w:r>
      <w:r>
        <w:t xml:space="preserve">to</w:t>
      </w:r>
      <w:r>
        <w:t xml:space="preserve"> </w:t>
      </w:r>
      <w:r>
        <w:t xml:space="preserve">atmospheric</w:t>
      </w:r>
      <w:r>
        <w:t xml:space="preserve"> </w:t>
      </w:r>
      <w:r>
        <w:t xml:space="preserve">heatwave</w:t>
      </w:r>
      <w:r>
        <w:t xml:space="preserve"> </w:t>
      </w:r>
      <w:r>
        <w:t xml:space="preserve">more</w:t>
      </w:r>
      <w:r>
        <w:t xml:space="preserve"> </w:t>
      </w:r>
      <w:r>
        <w:t xml:space="preserve">than</w:t>
      </w:r>
      <w:r>
        <w:t xml:space="preserve"> </w:t>
      </w:r>
      <w:r>
        <w:t xml:space="preserve">13.5</w:t>
      </w:r>
      <w:r>
        <w:t xml:space="preserve"> </w:t>
      </w:r>
      <w:r>
        <w:t xml:space="preserve">hours</w:t>
      </w:r>
      <w:r>
        <w:t xml:space="preserve"> </w:t>
      </w:r>
      <w:r>
        <w:t xml:space="preserve">a</w:t>
      </w:r>
      <w:r>
        <w:t xml:space="preserve"> </w:t>
      </w:r>
      <w:r>
        <w:t xml:space="preserve">day.</w:t>
      </w:r>
      <w:r>
        <w:t xml:space="preserve"> </w:t>
      </w:r>
      <w:r>
        <w:t xml:space="preserve">This</w:t>
      </w:r>
      <w:r>
        <w:t xml:space="preserve"> </w:t>
      </w:r>
      <w:r>
        <w:t xml:space="preserve">work</w:t>
      </w:r>
      <w:r>
        <w:t xml:space="preserve"> </w:t>
      </w:r>
      <w:r>
        <w:t xml:space="preserve">highlights</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(Unsworth et al., 2022 ; Sousa et al., 2019)</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(Jankowska et al., 2019 ; Zoffoli et al., 2023 ; Gardner and Finlayson, 2018)</w:t>
      </w:r>
      <w:r>
        <w:t xml:space="preserve">. Understanding and preserving these ecosystems are vital for maintaining the biodiversity and productivity of coastal regions</w:t>
      </w:r>
      <w:r>
        <w:t xml:space="preserve"> </w:t>
      </w:r>
      <w:r>
        <w:t xml:space="preserve">(Scott et al., 2018 ; Ramesh and Mohanraju, 2020)</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 (</w:t>
      </w:r>
      <w:r>
        <w:rPr>
          <w:bCs/>
          <w:b/>
        </w:rPr>
        <w:t xml:space="preserve">Citation</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Cs/>
          <w:i/>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Cs/>
          <w:i/>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Cs/>
          <w:i/>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 Davies et al., 2024b)</w:t>
      </w:r>
      <w:r>
        <w:t xml:space="preserve">. Spectral indices such as the Normalized Difference Vegetation Index (NDVI) and the Soil-Adjusted Vegetation Index (SAVI) are effective for quantifying vegetation health over time</w:t>
      </w:r>
      <w:r>
        <w:t xml:space="preserve"> </w:t>
      </w:r>
      <w:r>
        <w:t xml:space="preserve">(Huete, 2012 ; Kloos et al., 2021 ; Cârlan et al., 2020 ; Akbar et al., 2020)</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3"/>
    <w:bookmarkStart w:id="59" w:name="material-methods"/>
    <w:p>
      <w:pPr>
        <w:pStyle w:val="Heading1"/>
      </w:pPr>
      <w:r>
        <w:t xml:space="preserve">2. Material &amp; Methods</w:t>
      </w:r>
    </w:p>
    <w:bookmarkStart w:id="40"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sampled were taken from a</w:t>
      </w:r>
      <w:r>
        <w:t xml:space="preserve"> </w:t>
      </w:r>
      <w:r>
        <w:rPr>
          <w:iCs/>
          <w:i/>
        </w:rPr>
        <w:t xml:space="preserve">Zostera noltei</w:t>
      </w:r>
      <w:r>
        <w:t xml:space="preserve"> </w:t>
      </w:r>
      <w:r>
        <w:t xml:space="preserve">(dwarf eelgrass) meadow on Noirmoutier Island, France (46°57’32.0”N, 2°10’37.0”W) at low tide in June 2024. A home-made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Cs/>
          <w:i/>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ook w:firstRow="0" w:lastRow="0" w:firstColumn="0" w:lastColumn="0" w:noHBand="0" w:noVBand="0" w:val="0000"/>
        <w:jc w:val="start"/>
        <w:tblLayout w:type="fixed"/>
      </w:tblPr>
      <w:tblGrid>
        <w:gridCol w:w="7920"/>
      </w:tblGrid>
      <w:tr>
        <w:tc>
          <w:tcPr/>
          <w:bookmarkStart w:id="27" w:name="fig-design"/>
          <w:p>
            <w:pPr>
              <w:pStyle w:val="Compact"/>
              <w:jc w:val="center"/>
            </w:pPr>
            <w:r>
              <w:drawing>
                <wp:inline>
                  <wp:extent cx="5943600" cy="5846341"/>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943600" cy="58463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Cs/>
          <w:i/>
        </w:rPr>
        <w:t xml:space="preserve">in situ</w:t>
      </w:r>
      <w:r>
        <w:t xml:space="preserve"> </w:t>
      </w:r>
      <w:r>
        <w:t xml:space="preserve">temperature sensors were installed at the sampling site in Bourgneuf Bay in August 2024. Daily maximum temperatures recorded by these</w:t>
      </w:r>
      <w:r>
        <w:t xml:space="preserve"> </w:t>
      </w:r>
      <w:r>
        <w:rPr>
          <w:iCs/>
          <w:i/>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ranging from 18°C to 19°C and air temperatures from 18°C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1"/>
    <w:bookmarkStart w:id="39" w:name="bio-optical-measurements"/>
    <w:p>
      <w:pPr>
        <w:pStyle w:val="Heading3"/>
      </w:pPr>
      <w:r>
        <w:t xml:space="preserve">2.1.3 Bio-optical measurements</w:t>
      </w:r>
    </w:p>
    <w:bookmarkStart w:id="3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w:t>
      </w:r>
      <w:r>
        <w:t xml:space="preserve"> </w:t>
      </w:r>
      <w:hyperlink r:id="rId32">
        <w:r>
          <w:rPr>
            <w:rStyle w:val="Hyperlink"/>
          </w:rPr>
          <w:t xml:space="preserve">RS3 softaware</w:t>
        </w:r>
      </w:hyperlink>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benthic chamber to the other, in order to measure reflectance in both treatment and control. As light conditions were controlled inside of the chambers, reflectance calibration of the instrument was performed each morning at the very first moment of low tide using a Spectralon white reference with 99% Lambertian reflectivity.</w:t>
      </w:r>
    </w:p>
    <w:p>
      <w:pPr>
        <w:pStyle w:val="BodyText"/>
      </w:pPr>
      <w:r>
        <w:t xml:space="preserve">The second derivative of</w:t>
      </w:r>
      <w:r>
        <w:t xml:space="preserve"> </w:t>
      </w:r>
      <m:oMath>
        <m:r>
          <m:t>R</m:t>
        </m:r>
        <m:d>
          <m:dPr>
            <m:begChr m:val="("/>
            <m:endChr m:val=")"/>
            <m:sepChr m:val=""/>
            <m:grow/>
          </m:dPr>
          <m:e>
            <m:r>
              <m:t>λ</m:t>
            </m:r>
          </m:e>
        </m:d>
      </m:oMath>
      <w:r>
        <w:t xml:space="preserve"> </w:t>
      </w:r>
      <w:r>
        <w:t xml:space="preserve">was calculated to retrieve absorption features and compare their variability over time.</w:t>
      </w:r>
    </w:p>
    <w:p>
      <w:pPr>
        <w:pStyle w:val="BodyText"/>
      </w:pPr>
      <w:r>
        <w:t xml:space="preserve">Two radiometric indices were also monitored throughout the experiment :</w:t>
      </w:r>
    </w:p>
    <w:p>
      <w:pPr>
        <w:numPr>
          <w:ilvl w:val="0"/>
          <w:numId w:val="1001"/>
        </w:numPr>
        <w:pStyle w:val="Compact"/>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numPr>
          <w:ilvl w:val="0"/>
          <w:numId w:val="1002"/>
        </w:numPr>
        <w:pStyle w:val="Compact"/>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4"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4"/>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A remote sensing based seagrass covers estimation equation, the SPC developed by</w:t>
      </w:r>
      <w:r>
        <w:t xml:space="preserve"> </w:t>
      </w:r>
      <w:r>
        <w:t xml:space="preserve">Zoffoli et al. (2020)</w:t>
      </w:r>
      <w:r>
        <w:t xml:space="preserve">, were used to retrieve the proportion of seagrass of Sentinel-2 pixel (</w:t>
      </w:r>
      <w:hyperlink w:anchor="eq-spc">
        <w:r>
          <w:rPr>
            <w:rStyle w:val="Hyperlink"/>
          </w:rPr>
          <w:t xml:space="preserve">Equation 3</w:t>
        </w:r>
      </w:hyperlink>
      <w:r>
        <w:t xml:space="preserve">):</w:t>
      </w:r>
    </w:p>
    <w:p>
      <w:pPr>
        <w:pStyle w:val="BodyText"/>
      </w:pPr>
      <w:bookmarkStart w:id="3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3</m:t>
              </m:r>
            </m:e>
          </m:d>
        </m:oMath>
      </m:oMathPara>
      <w:bookmarkEnd w:id="35"/>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5</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3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3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7"/>
    <w:bookmarkStart w:id="38" w:name="pigment-concentration-measurements"/>
    <w:p>
      <w:pPr>
        <w:pStyle w:val="Heading4"/>
      </w:pPr>
      <w:r>
        <w:t xml:space="preserve">2.1.3.2 Pigment concentration measurements</w:t>
      </w:r>
    </w:p>
    <w:p>
      <w:pPr>
        <w:pStyle w:val="FirstParagraph"/>
      </w:pPr>
      <w:r>
        <w:t xml:space="preserve">To assess changes in pigment concentration, at the beginning and the end of each diurnal low tide (09:00 am and 03:00 pm) leaves were taken from both the test and the control. Leaves were stored at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Cs/>
          <w:b/>
        </w:rPr>
        <w:t xml:space="preserve">Au secours Philippe !!!</w:t>
      </w:r>
    </w:p>
    <w:bookmarkEnd w:id="38"/>
    <w:bookmarkEnd w:id="39"/>
    <w:bookmarkEnd w:id="40"/>
    <w:bookmarkStart w:id="58" w:name="in-situ-seagrass-darkening."/>
    <w:p>
      <w:pPr>
        <w:pStyle w:val="Heading2"/>
      </w:pPr>
      <w:r>
        <w:t xml:space="preserve">2.2</w:t>
      </w:r>
      <w:r>
        <w:t xml:space="preserve"> </w:t>
      </w:r>
      <w:r>
        <w:rPr>
          <w:iCs/>
          <w:i/>
        </w:rPr>
        <w:t xml:space="preserve">In situ</w:t>
      </w:r>
      <w:r>
        <w:t xml:space="preserve"> </w:t>
      </w:r>
      <w:r>
        <w:t xml:space="preserve">seagrass darkening.</w:t>
      </w:r>
    </w:p>
    <w:bookmarkStart w:id="51" w:name="field-observation"/>
    <w:p>
      <w:pPr>
        <w:pStyle w:val="Heading3"/>
      </w:pPr>
      <w:r>
        <w:t xml:space="preserve">2.2.1 Field Observation</w:t>
      </w:r>
    </w:p>
    <w:bookmarkStart w:id="45" w:name="cell-fig-quiberonMap"/>
    <w:tbl>
      <w:tblPr>
        <w:tblStyle w:val="Table"/>
        <w:tblW w:type="pct" w:w="5000"/>
        <w:tblLook w:firstRow="0" w:lastRow="0" w:firstColumn="0" w:lastColumn="0" w:noHBand="0" w:noVBand="0" w:val="0000"/>
        <w:jc w:val="start"/>
        <w:tblLayout w:type="fixed"/>
      </w:tblPr>
      <w:tblGrid>
        <w:gridCol w:w="7920"/>
      </w:tblGrid>
      <w:tr>
        <w:tc>
          <w:tcPr/>
          <w:bookmarkStart w:id="44" w:name="fig-quiberonMap"/>
          <w:p>
            <w:pPr>
              <w:pStyle w:val="Compact"/>
              <w:jc w:val="center"/>
            </w:pPr>
            <w:r>
              <w:drawing>
                <wp:inline>
                  <wp:extent cx="5943600" cy="5943600"/>
                  <wp:effectExtent b="0" l="0" r="0" t="0"/>
                  <wp:docPr descr="" title="" id="42" name="Picture"/>
                  <a:graphic>
                    <a:graphicData uri="http://schemas.openxmlformats.org/drawingml/2006/picture">
                      <pic:pic>
                        <pic:nvPicPr>
                          <pic:cNvPr descr="Figs/Low_res/Quiberon_map.png" id="43" name="Picture"/>
                          <pic:cNvPicPr>
                            <a:picLocks noChangeArrowheads="1" noChangeAspect="1"/>
                          </pic:cNvPicPr>
                        </pic:nvPicPr>
                        <pic:blipFill>
                          <a:blip r:embed="rId4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4"/>
        </w:tc>
      </w:tr>
    </w:tbl>
    <w:bookmarkEnd w:id="45"/>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50" w:name="cell-fig-QuiberonImg"/>
    <w:tbl>
      <w:tblPr>
        <w:tblStyle w:val="Table"/>
        <w:tblW w:type="pct" w:w="5000"/>
        <w:tblLook w:firstRow="0" w:lastRow="0" w:firstColumn="0" w:lastColumn="0" w:noHBand="0" w:noVBand="0" w:val="0000"/>
        <w:jc w:val="start"/>
        <w:tblLayout w:type="fixed"/>
      </w:tblPr>
      <w:tblGrid>
        <w:gridCol w:w="7920"/>
      </w:tblGrid>
      <w:tr>
        <w:tc>
          <w:tcPr/>
          <w:bookmarkStart w:id="49" w:name="fig-QuiberonImg"/>
          <w:p>
            <w:pPr>
              <w:pStyle w:val="Compact"/>
              <w:jc w:val="center"/>
            </w:pPr>
            <w:r>
              <w:drawing>
                <wp:inline>
                  <wp:extent cx="5943600" cy="3929594"/>
                  <wp:effectExtent b="0" l="0" r="0" t="0"/>
                  <wp:docPr descr="" title="" id="47" name="Picture"/>
                  <a:graphic>
                    <a:graphicData uri="http://schemas.openxmlformats.org/drawingml/2006/picture">
                      <pic:pic>
                        <pic:nvPicPr>
                          <pic:cNvPr descr="Figs/Low_res/img_Quiberon.png" id="48" name="Picture"/>
                          <pic:cNvPicPr>
                            <a:picLocks noChangeArrowheads="1" noChangeAspect="1"/>
                          </pic:cNvPicPr>
                        </pic:nvPicPr>
                        <pic:blipFill>
                          <a:blip r:embed="rId46"/>
                          <a:stretch>
                            <a:fillRect/>
                          </a:stretch>
                        </pic:blipFill>
                        <pic:spPr bwMode="auto">
                          <a:xfrm>
                            <a:off x="0" y="0"/>
                            <a:ext cx="5943600" cy="3929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bookmarkEnd w:id="49"/>
        </w:tc>
      </w:tr>
    </w:tbl>
    <w:bookmarkEnd w:id="50"/>
    <w:bookmarkEnd w:id="51"/>
    <w:bookmarkStart w:id="55" w:name="Xf8a39f1f3d5cbc00f14159fcb612e83e416b551"/>
    <w:p>
      <w:pPr>
        <w:pStyle w:val="Heading3"/>
      </w:pPr>
      <w:r>
        <w:t xml:space="preserve">2.2.2 Temperature Data and identification of heatwaves</w:t>
      </w:r>
    </w:p>
    <w:bookmarkStart w:id="53"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52">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3"/>
    <w:bookmarkStart w:id="54"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54"/>
    <w:bookmarkEnd w:id="55"/>
    <w:bookmarkStart w:id="56" w:name="satellite-observation"/>
    <w:p>
      <w:pPr>
        <w:pStyle w:val="Heading3"/>
      </w:pPr>
      <w:r>
        <w:t xml:space="preserve">2.2.3 Satellite Observation</w:t>
      </w:r>
    </w:p>
    <w:p>
      <w:pPr>
        <w:pStyle w:val="FirstParagraph"/>
      </w:pPr>
      <w:r>
        <w:t xml:space="preserve">Two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image after the event on September 6, 2021. Both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forf each QPs (</w:t>
      </w:r>
      <w:hyperlink w:anchor="fig-quiberonMap">
        <w:r>
          <w:rPr>
            <w:rStyle w:val="Hyperlink"/>
          </w:rPr>
          <w:t xml:space="preserve">Figure 2</w:t>
        </w:r>
      </w:hyperlink>
      <w:r>
        <w:t xml:space="preserve">) were extracted and compared before and after the heatwave event.</w:t>
      </w:r>
    </w:p>
    <w:bookmarkEnd w:id="56"/>
    <w:bookmarkStart w:id="57"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7"/>
    <w:bookmarkEnd w:id="58"/>
    <w:bookmarkEnd w:id="59"/>
    <w:bookmarkStart w:id="98" w:name="results"/>
    <w:p>
      <w:pPr>
        <w:pStyle w:val="Heading1"/>
      </w:pPr>
      <w:r>
        <w:t xml:space="preserve">3. Results</w:t>
      </w:r>
    </w:p>
    <w:bookmarkStart w:id="73" w:name="laboratory-experiment-1"/>
    <w:p>
      <w:pPr>
        <w:pStyle w:val="Heading2"/>
      </w:pPr>
      <w:r>
        <w:t xml:space="preserve">3.1 Laboratory Experiment</w:t>
      </w:r>
    </w:p>
    <w:bookmarkStart w:id="65"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Additionally, a slight increase in reflectance at 665 nm between day 2 and day 3 was observed, possibly associated with a reduction in chlorophyll-a concentration (</w:t>
      </w:r>
      <w:hyperlink w:anchor="fig-Exp_Spectra">
        <w:r>
          <w:rPr>
            <w:rStyle w:val="Hyperlink"/>
          </w:rPr>
          <w:t xml:space="preserve">Figure 4</w:t>
        </w:r>
      </w:hyperlink>
      <w:r>
        <w:t xml:space="preserve">, right).</w:t>
      </w:r>
    </w:p>
    <w:bookmarkStart w:id="64" w:name="cell-fig-Exp_Spectra"/>
    <w:tbl>
      <w:tblPr>
        <w:tblStyle w:val="Table"/>
        <w:tblW w:type="pct" w:w="5000"/>
        <w:tblLook w:firstRow="0" w:lastRow="0" w:firstColumn="0" w:lastColumn="0" w:noHBand="0" w:noVBand="0" w:val="0000"/>
        <w:jc w:val="start"/>
        <w:tblLayout w:type="fixed"/>
      </w:tblPr>
      <w:tblGrid>
        <w:gridCol w:w="7920"/>
      </w:tblGrid>
      <w:tr>
        <w:tc>
          <w:tcPr/>
          <w:bookmarkStart w:id="63" w:name="fig-Exp_Spectra"/>
          <w:p>
            <w:pPr>
              <w:pStyle w:val="Compact"/>
              <w:jc w:val="center"/>
            </w:pPr>
            <w:r>
              <w:drawing>
                <wp:inline>
                  <wp:extent cx="5943600" cy="2971800"/>
                  <wp:effectExtent b="0" l="0" r="0" t="0"/>
                  <wp:docPr descr="" title="" id="61" name="Picture"/>
                  <a:graphic>
                    <a:graphicData uri="http://schemas.openxmlformats.org/drawingml/2006/picture">
                      <pic:pic>
                        <pic:nvPicPr>
                          <pic:cNvPr descr="Figs/Low_res/plot_Spectra_exp.png" id="62" name="Picture"/>
                          <pic:cNvPicPr>
                            <a:picLocks noChangeArrowheads="1" noChangeAspect="1"/>
                          </pic:cNvPicPr>
                        </pic:nvPicPr>
                        <pic:blipFill>
                          <a:blip r:embed="rId6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3"/>
        </w:tc>
      </w:tr>
    </w:tbl>
    <w:bookmarkEnd w:id="64"/>
    <w:bookmarkEnd w:id="65"/>
    <w:bookmarkStart w:id="71" w:name="evolution-of-spectral-metrics"/>
    <w:p>
      <w:pPr>
        <w:pStyle w:val="Heading3"/>
      </w:pPr>
      <w:r>
        <w:t xml:space="preserve">3.1.2 Evolution of spectral metrics</w:t>
      </w:r>
    </w:p>
    <w:p>
      <w:pPr>
        <w:pStyle w:val="FirstParagraph"/>
      </w:pPr>
      <w:hyperlink w:anchor="fig-Exp_Spectral_indices">
        <w:r>
          <w:rPr>
            <w:rStyle w:val="Hyperlink"/>
          </w:rPr>
          <w:t xml:space="preserve">Figure 5</w:t>
        </w:r>
      </w:hyperlink>
      <w:r>
        <w:t xml:space="preserve"> </w:t>
      </w:r>
      <w:r>
        <w:t xml:space="preserve">-A shows the average difference of the second derivative (</w:t>
      </w:r>
      <m:oMath>
        <m:r>
          <m:t>R</m:t>
        </m:r>
        <m:r>
          <m:rPr>
            <m:sty m:val="p"/>
          </m:rPr>
          <m:t>″</m:t>
        </m:r>
        <m:d>
          <m:dPr>
            <m:begChr m:val="("/>
            <m:endChr m:val=")"/>
            <m:sepChr m:val=""/>
            <m:grow/>
          </m:dPr>
          <m:e>
            <m:r>
              <m:t>λ</m:t>
            </m:r>
          </m:e>
        </m:d>
      </m:oMath>
      <w:r>
        <w:t xml:space="preserve">) of hyperspectral signature between the Control and the Treatment group at day 3. The maximum difference of</w:t>
      </w:r>
      <w:r>
        <w:t xml:space="preserve"> </w:t>
      </w:r>
      <m:oMath>
        <m:r>
          <m:t>R</m:t>
        </m:r>
        <m:r>
          <m:rPr>
            <m:sty m:val="p"/>
          </m:rPr>
          <m:t>″</m:t>
        </m:r>
        <m:d>
          <m:dPr>
            <m:begChr m:val="("/>
            <m:endChr m:val=")"/>
            <m:sepChr m:val=""/>
            <m:grow/>
          </m:dPr>
          <m:e>
            <m:r>
              <m:t>λ</m:t>
            </m:r>
          </m:e>
        </m:d>
      </m:oMath>
      <w:r>
        <w:t xml:space="preserve"> </w:t>
      </w:r>
      <w:r>
        <w:t xml:space="preserve">has been observed at 665 nm, position of absorption of chlorophyll-a, where the control were</w:t>
      </w:r>
      <w:r>
        <w:t xml:space="preserve"> </w:t>
      </w:r>
      <m:oMath>
        <m:r>
          <m:t>0.95</m:t>
        </m:r>
        <m:r>
          <m:rPr>
            <m:sty m:val="p"/>
          </m:rPr>
          <m:t>×</m:t>
        </m:r>
        <m:sSup>
          <m:e>
            <m:r>
              <m:t>10</m:t>
            </m:r>
          </m:e>
          <m:sup>
            <m:r>
              <m:rPr>
                <m:sty m:val="p"/>
              </m:rPr>
              <m:t>−</m:t>
            </m:r>
            <m:r>
              <m:t>4</m:t>
            </m:r>
          </m:sup>
        </m:sSup>
      </m:oMath>
      <w:r>
        <w:t xml:space="preserve"> </w:t>
      </w:r>
      <w:r>
        <w:t xml:space="preserve">higher then the treatment groups.</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indicated that, at the start of the experiment (day 1)</w:t>
      </w:r>
      <w:r>
        <w:t xml:space="preserve"> </w:t>
      </w:r>
      <m:oMath>
        <m:r>
          <m:t>R</m:t>
        </m:r>
        <m:sSub>
          <m:e>
            <m:r>
              <m:rPr>
                <m:sty m:val="p"/>
              </m:rPr>
              <m:t>″</m:t>
            </m:r>
          </m:e>
          <m:sub>
            <m:r>
              <m:t>665</m:t>
            </m:r>
            <m:r>
              <m:t> </m:t>
            </m:r>
            <m:r>
              <m:rPr>
                <m:nor/>
                <m:sty m:val="p"/>
              </m:rPr>
              <m:t>nm</m:t>
            </m:r>
          </m:sub>
        </m:sSub>
      </m:oMath>
      <w:r>
        <w:t xml:space="preserve"> </w:t>
      </w:r>
      <w:r>
        <w:t xml:space="preserve">for the Treatment group was on average 13 higher than that of the Control. However, by day 2,</w:t>
      </w:r>
      <w:r>
        <w:t xml:space="preserve"> </w:t>
      </w:r>
      <m:oMath>
        <m:r>
          <m:t>R</m:t>
        </m:r>
        <m:sSub>
          <m:e>
            <m:r>
              <m:rPr>
                <m:sty m:val="p"/>
              </m:rPr>
              <m:t>″</m:t>
            </m:r>
          </m:e>
          <m:sub>
            <m:r>
              <m:t>665</m:t>
            </m:r>
            <m:r>
              <m:t> </m:t>
            </m:r>
            <m:r>
              <m:rPr>
                <m:nor/>
                <m:sty m:val="p"/>
              </m:rPr>
              <m:t>nm</m:t>
            </m:r>
          </m:sub>
        </m:sSub>
      </m:oMath>
      <w:r>
        <w:t xml:space="preserve"> </w:t>
      </w:r>
      <w:r>
        <w:t xml:space="preserve">for the Treatment showed a rapid decrease of approximately -27 %, eventually reaching a total decline of -68 % by day 3 (</w:t>
      </w:r>
      <w:hyperlink w:anchor="fig-Exp_Spectral_indices">
        <w:r>
          <w:rPr>
            <w:rStyle w:val="Hyperlink"/>
          </w:rPr>
          <w:t xml:space="preserve">Figure 5</w:t>
        </w:r>
      </w:hyperlink>
      <w:r>
        <w:t xml:space="preserve"> </w:t>
      </w:r>
      <w:r>
        <w:t xml:space="preserve">B)</w:t>
      </w:r>
    </w:p>
    <w:p>
      <w:pPr>
        <w:pStyle w:val="BodyText"/>
      </w:pPr>
      <w:r>
        <w:t xml:space="preserve">Monitoring the Normalized Difference Vegetation Index (NDVI) revealed that, at the beginning of the experiment (day 1), the NDVI for the Treatment group was on average 3 % lower than that of the Control. By day 2, the NDVI for the Treatment exhibited a rapid decline of approximately -17 %, eventually reaching a cumulative decrease of -31 % by day 3 (Fig. Exp_Spectral_indices C).</w:t>
      </w:r>
    </w:p>
    <w:p>
      <w:pPr>
        <w:pStyle w:val="BodyText"/>
      </w:pPr>
      <w:r>
        <w:t xml:space="preserve">Monitoring the Green Leaf Index (GLI) showed that, at the start of the experiment (day 1), the GLI for the Treatment group was, on average, -2 % higher than that of the Control. However, by day 2, the GLI for the Treatment exhibited a rapid decrease of approximately -28 %, ultimately reaching a cumulative reduction of -54 % by day 3 (Fig. Exp_Spectral_indices D).</w:t>
      </w:r>
    </w:p>
    <w:p>
      <w:pPr>
        <w:pStyle w:val="BodyText"/>
      </w:pPr>
      <w:r>
        <w:t xml:space="preserve">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(Fig. Exp_Spectral_indices E).</w:t>
      </w:r>
    </w:p>
    <w:bookmarkStart w:id="70" w:name="cell-fig-Exp_Spectral_indices"/>
    <w:tbl>
      <w:tblPr>
        <w:tblStyle w:val="Table"/>
        <w:tblW w:type="pct" w:w="5000"/>
        <w:tblLook w:firstRow="0" w:lastRow="0" w:firstColumn="0" w:lastColumn="0" w:noHBand="0" w:noVBand="0" w:val="0000"/>
        <w:jc w:val="start"/>
        <w:tblLayout w:type="fixed"/>
      </w:tblPr>
      <w:tblGrid>
        <w:gridCol w:w="7920"/>
      </w:tblGrid>
      <w:tr>
        <w:tc>
          <w:tcPr/>
          <w:bookmarkStart w:id="69" w:name="fig-Exp_Spectral_indices"/>
          <w:p>
            <w:pPr>
              <w:pStyle w:val="Compact"/>
              <w:jc w:val="center"/>
            </w:pPr>
            <w:r>
              <w:drawing>
                <wp:inline>
                  <wp:extent cx="5943600" cy="7337777"/>
                  <wp:effectExtent b="0" l="0" r="0" t="0"/>
                  <wp:docPr descr="" title="" id="67" name="Picture"/>
                  <a:graphic>
                    <a:graphicData uri="http://schemas.openxmlformats.org/drawingml/2006/picture">
                      <pic:pic>
                        <pic:nvPicPr>
                          <pic:cNvPr descr="Figs/Low_res/merged_indices.png" id="68" name="Picture"/>
                          <pic:cNvPicPr>
                            <a:picLocks noChangeArrowheads="1" noChangeAspect="1"/>
                          </pic:cNvPicPr>
                        </pic:nvPicPr>
                        <pic:blipFill>
                          <a:blip r:embed="rId66"/>
                          <a:stretch>
                            <a:fillRect/>
                          </a:stretch>
                        </pic:blipFill>
                        <pic:spPr bwMode="auto">
                          <a:xfrm>
                            <a:off x="0" y="0"/>
                            <a:ext cx="5943600" cy="7337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69"/>
        </w:tc>
      </w:tr>
    </w:tbl>
    <w:bookmarkEnd w:id="70"/>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w:t>
      </w:r>
      <w:r>
        <w:t xml:space="preserve"> </w:t>
      </w:r>
      <w:hyperlink w:anchor="sec-AnnexeB">
        <w:r>
          <w:rPr>
            <w:rStyle w:val="Hyperlink"/>
          </w:rPr>
          <w:t xml:space="preserve">Section 6.2</w:t>
        </w:r>
      </w:hyperlink>
      <w:r>
        <w:t xml:space="preserve">).</w:t>
      </w:r>
    </w:p>
    <w:bookmarkEnd w:id="71"/>
    <w:bookmarkStart w:id="72" w:name="X03f1f92316c3f266276e7acc4c55e66c6a0add8"/>
    <w:p>
      <w:pPr>
        <w:pStyle w:val="Heading3"/>
      </w:pPr>
      <w:r>
        <w:t xml:space="preserve">3.1.3 Pigment composition evolution along the experiment</w:t>
      </w:r>
    </w:p>
    <w:p>
      <w:pPr>
        <w:pStyle w:val="FirstParagraph"/>
      </w:pPr>
      <w:r>
        <w:t xml:space="preserve">bla bla bla bla</w:t>
      </w:r>
    </w:p>
    <w:bookmarkEnd w:id="72"/>
    <w:bookmarkEnd w:id="73"/>
    <w:bookmarkStart w:id="97" w:name="heatwaves-of-quiberon"/>
    <w:p>
      <w:pPr>
        <w:pStyle w:val="Heading2"/>
      </w:pPr>
      <w:r>
        <w:t xml:space="preserve">3.2 Heatwaves of Quiberon</w:t>
      </w:r>
    </w:p>
    <w:bookmarkStart w:id="79"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6</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6</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6</w:t>
        </w:r>
      </w:hyperlink>
      <w:r>
        <w:t xml:space="preserve"> </w:t>
      </w:r>
      <w:r>
        <w:t xml:space="preserve">C). Before the event, all QPs appeared green on the images, with similar reflectance spectra, regardless of the class attributed to the QPs on the field (</w:t>
      </w:r>
      <w:hyperlink w:anchor="fig-S2_comparison">
        <w:r>
          <w:rPr>
            <w:rStyle w:val="Hyperlink"/>
          </w:rPr>
          <w:t xml:space="preserve">Figure 6</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QPs classified as impacted during the field campaign, showed significant differences in reflectance spectral shape compared to QPs classified as unimpacted on the 10th of September, with corresponding differences in the true color composition (</w:t>
      </w:r>
      <w:hyperlink w:anchor="fig-S2_comparison">
        <w:r>
          <w:rPr>
            <w:rStyle w:val="Hyperlink"/>
          </w:rPr>
          <w:t xml:space="preserve">Figure 6</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78" w:name="cell-fig-S2_comparison"/>
    <w:tbl>
      <w:tblPr>
        <w:tblStyle w:val="Table"/>
        <w:tblW w:type="pct" w:w="5000"/>
        <w:tblLook w:firstRow="0" w:lastRow="0" w:firstColumn="0" w:lastColumn="0" w:noHBand="0" w:noVBand="0" w:val="0000"/>
        <w:jc w:val="start"/>
        <w:tblLayout w:type="fixed"/>
      </w:tblPr>
      <w:tblGrid>
        <w:gridCol w:w="7920"/>
      </w:tblGrid>
      <w:tr>
        <w:tc>
          <w:tcPr/>
          <w:bookmarkStart w:id="77" w:name="fig-S2_comparison"/>
          <w:p>
            <w:pPr>
              <w:pStyle w:val="Compact"/>
              <w:jc w:val="center"/>
            </w:pPr>
            <w:r>
              <w:drawing>
                <wp:inline>
                  <wp:extent cx="5943600" cy="5676138"/>
                  <wp:effectExtent b="0" l="0" r="0" t="0"/>
                  <wp:docPr descr="" title="" id="75" name="Picture"/>
                  <a:graphic>
                    <a:graphicData uri="http://schemas.openxmlformats.org/drawingml/2006/picture">
                      <pic:pic>
                        <pic:nvPicPr>
                          <pic:cNvPr descr="Figs/Low_res/Heatwaves_S2_plot.png" id="76" name="Picture"/>
                          <pic:cNvPicPr>
                            <a:picLocks noChangeArrowheads="1" noChangeAspect="1"/>
                          </pic:cNvPicPr>
                        </pic:nvPicPr>
                        <pic:blipFill>
                          <a:blip r:embed="rId74"/>
                          <a:stretch>
                            <a:fillRect/>
                          </a:stretch>
                        </pic:blipFill>
                        <pic:spPr bwMode="auto">
                          <a:xfrm>
                            <a:off x="0" y="0"/>
                            <a:ext cx="5943600" cy="56761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Spectral Comparison of Sentinel-2 Reflectance (D) of Quadrats Points (QPs) Before (A) and During (C) Heatwave Events (B); A: RGB color composition of the Sentinel-2 image on the 1st of September 2021. The points correspond to GCPs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GCPs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77"/>
        </w:tc>
      </w:tr>
    </w:tbl>
    <w:bookmarkEnd w:id="78"/>
    <w:bookmarkEnd w:id="79"/>
    <w:bookmarkStart w:id="85" w:name="sentinel-2-derived-metrics-comparison"/>
    <w:p>
      <w:pPr>
        <w:pStyle w:val="Heading3"/>
      </w:pPr>
      <w:r>
        <w:t xml:space="preserve">3.2.2 Sentinel-2 derived metrics comparison</w:t>
      </w:r>
    </w:p>
    <w:p>
      <w:pPr>
        <w:pStyle w:val="FirstParagraph"/>
      </w:pPr>
      <w:r>
        <w:t xml:space="preserve">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Hyperlink"/>
          </w:rPr>
          <w:t xml:space="preserve">Figure 7</w:t>
        </w:r>
      </w:hyperlink>
      <w:r>
        <w:t xml:space="preserve">).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Hyperlink"/>
          </w:rPr>
          <w:t xml:space="preserve">Figure 3</w:t>
        </w:r>
      </w:hyperlink>
      <w:r>
        <w:t xml:space="preserve">). The GLI drops of about -85 % at the 6th of September. The SDI were the most sensitive metric to the darkening of seagrasses, showing an increase of 97 % during heatwave exposure.</w:t>
      </w:r>
    </w:p>
    <w:p>
      <w:pPr>
        <w:pStyle w:val="BodyText"/>
      </w:pPr>
      <w:r>
        <w:t xml:space="preserve">In this case, the NDVI dropped by approximately 34%, from a median of 0.61 to 0.40 (</w:t>
      </w:r>
      <w:hyperlink w:anchor="fig-NDVI_GLI_SPC">
        <w:r>
          <w:rPr>
            <w:rStyle w:val="Hyperlink"/>
          </w:rPr>
          <w:t xml:space="preserve">Figure 7</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7</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7</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7</w:t>
        </w:r>
      </w:hyperlink>
      <w:r>
        <w:t xml:space="preserve"> </w:t>
      </w:r>
      <w:r>
        <w:t xml:space="preserve">D green) were denser than the those remained unchanged (median SPC = 65%;</w:t>
      </w:r>
      <w:r>
        <w:t xml:space="preserve"> </w:t>
      </w:r>
      <w:hyperlink w:anchor="fig-NDVI_GLI_SPC">
        <w:r>
          <w:rPr>
            <w:rStyle w:val="Hyperlink"/>
          </w:rPr>
          <w:t xml:space="preserve">Figure 7</w:t>
        </w:r>
      </w:hyperlink>
      <w:r>
        <w:t xml:space="preserve"> </w:t>
      </w:r>
      <w:r>
        <w:t xml:space="preserve">C green).</w:t>
      </w:r>
    </w:p>
    <w:bookmarkStart w:id="84" w:name="cell-fig-NDVI_GLI_SPC"/>
    <w:tbl>
      <w:tblPr>
        <w:tblStyle w:val="Table"/>
        <w:tblW w:type="pct" w:w="5000"/>
        <w:tblLook w:firstRow="0" w:lastRow="0" w:firstColumn="0" w:lastColumn="0" w:noHBand="0" w:noVBand="0" w:val="0000"/>
        <w:jc w:val="start"/>
        <w:tblLayout w:type="fixed"/>
      </w:tblPr>
      <w:tblGrid>
        <w:gridCol w:w="7920"/>
      </w:tblGrid>
      <w:tr>
        <w:tc>
          <w:tcPr/>
          <w:bookmarkStart w:id="83" w:name="fig-NDVI_GLI_SPC"/>
          <w:p>
            <w:pPr>
              <w:pStyle w:val="Compact"/>
              <w:jc w:val="center"/>
            </w:pPr>
            <w:r>
              <w:drawing>
                <wp:inline>
                  <wp:extent cx="5943600" cy="5943600"/>
                  <wp:effectExtent b="0" l="0" r="0" t="0"/>
                  <wp:docPr descr="" title="" id="81" name="Picture"/>
                  <a:graphic>
                    <a:graphicData uri="http://schemas.openxmlformats.org/drawingml/2006/picture">
                      <pic:pic>
                        <pic:nvPicPr>
                          <pic:cNvPr descr="Figs/Low_res/Compares_Indices_S2.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bookmarkEnd w:id="83"/>
        </w:tc>
      </w:tr>
    </w:tbl>
    <w:bookmarkEnd w:id="84"/>
    <w:bookmarkEnd w:id="85"/>
    <w:bookmarkStart w:id="96"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8</w:t>
        </w:r>
      </w:hyperlink>
      <w:r>
        <w:t xml:space="preserve">, A and B).</w:t>
      </w:r>
    </w:p>
    <w:bookmarkStart w:id="90" w:name="cell-fig-Map_darkening_Bathy"/>
    <w:tbl>
      <w:tblPr>
        <w:tblStyle w:val="Table"/>
        <w:tblW w:type="pct" w:w="5000"/>
        <w:tblLook w:firstRow="0" w:lastRow="0" w:firstColumn="0" w:lastColumn="0" w:noHBand="0" w:noVBand="0" w:val="0000"/>
        <w:jc w:val="start"/>
        <w:tblLayout w:type="fixed"/>
      </w:tblPr>
      <w:tblGrid>
        <w:gridCol w:w="7920"/>
      </w:tblGrid>
      <w:tr>
        <w:tc>
          <w:tcPr/>
          <w:bookmarkStart w:id="89" w:name="fig-Map_darkening_Bathy"/>
          <w:p>
            <w:pPr>
              <w:pStyle w:val="Compact"/>
              <w:jc w:val="center"/>
            </w:pPr>
            <w:r>
              <w:drawing>
                <wp:inline>
                  <wp:extent cx="5943600" cy="3685032"/>
                  <wp:effectExtent b="0" l="0" r="0" t="0"/>
                  <wp:docPr descr="" title="" id="87" name="Picture"/>
                  <a:graphic>
                    <a:graphicData uri="http://schemas.openxmlformats.org/drawingml/2006/picture">
                      <pic:pic>
                        <pic:nvPicPr>
                          <pic:cNvPr descr="Figs/Low_res/Map_darkening_Bathy.png" id="88" name="Picture"/>
                          <pic:cNvPicPr>
                            <a:picLocks noChangeArrowheads="1" noChangeAspect="1"/>
                          </pic:cNvPicPr>
                        </pic:nvPicPr>
                        <pic:blipFill>
                          <a:blip r:embed="rId86"/>
                          <a:stretch>
                            <a:fillRect/>
                          </a:stretch>
                        </pic:blipFill>
                        <pic:spPr bwMode="auto">
                          <a:xfrm>
                            <a:off x="0" y="0"/>
                            <a:ext cx="5943600" cy="3685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Map of the Darkening of seagrasses during the heatwave events of September 2021 in Quiberon. A: 3.9 m bathymetry isobar (golden line); B: Result of the detection of darkened seagrass patches (Blue plolygons); Sentinel-2 image one month after the end of the heatwaves (2021-10-08).</w:t>
            </w:r>
          </w:p>
          <w:bookmarkEnd w:id="89"/>
        </w:tc>
      </w:tr>
    </w:tbl>
    <w:bookmarkEnd w:id="90"/>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9</w:t>
        </w:r>
      </w:hyperlink>
      <w:r>
        <w:t xml:space="preserve">).</w:t>
      </w:r>
    </w:p>
    <w:bookmarkStart w:id="95" w:name="cell-fig-GAM_Emersion"/>
    <w:tbl>
      <w:tblPr>
        <w:tblStyle w:val="Table"/>
        <w:tblW w:type="pct" w:w="5000"/>
        <w:tblLook w:firstRow="0" w:lastRow="0" w:firstColumn="0" w:lastColumn="0" w:noHBand="0" w:noVBand="0" w:val="0000"/>
        <w:jc w:val="start"/>
        <w:tblLayout w:type="fixed"/>
      </w:tblPr>
      <w:tblGrid>
        <w:gridCol w:w="7920"/>
      </w:tblGrid>
      <w:tr>
        <w:tc>
          <w:tcPr/>
          <w:bookmarkStart w:id="94" w:name="fig-GAM_Emersion"/>
          <w:p>
            <w:pPr>
              <w:pStyle w:val="Compact"/>
              <w:jc w:val="center"/>
            </w:pPr>
            <w:r>
              <w:drawing>
                <wp:inline>
                  <wp:extent cx="5943600" cy="2971800"/>
                  <wp:effectExtent b="0" l="0" r="0" t="0"/>
                  <wp:docPr descr="" title="" id="92" name="Picture"/>
                  <a:graphic>
                    <a:graphicData uri="http://schemas.openxmlformats.org/drawingml/2006/picture">
                      <pic:pic>
                        <pic:nvPicPr>
                          <pic:cNvPr descr="Figs/Low_res/GAM_emersion.png" id="93" name="Picture"/>
                          <pic:cNvPicPr>
                            <a:picLocks noChangeArrowheads="1" noChangeAspect="1"/>
                          </pic:cNvPicPr>
                        </pic:nvPicPr>
                        <pic:blipFill>
                          <a:blip r:embed="rId9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4"/>
        </w:tc>
      </w:tr>
    </w:tbl>
    <w:bookmarkEnd w:id="95"/>
    <w:bookmarkEnd w:id="96"/>
    <w:bookmarkEnd w:id="97"/>
    <w:bookmarkEnd w:id="98"/>
    <w:bookmarkStart w:id="109" w:name="discussion"/>
    <w:p>
      <w:pPr>
        <w:pStyle w:val="Heading1"/>
      </w:pPr>
      <w:r>
        <w:t xml:space="preserve">4. Discussion</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w:t>
      </w:r>
      <w:r>
        <w:t xml:space="preserve"> </w:t>
      </w:r>
      <w:hyperlink w:anchor="fig-Exp_Spectral_indices">
        <w:r>
          <w:rPr>
            <w:rStyle w:val="Hyperlink"/>
          </w:rPr>
          <w:t xml:space="preserve">Figure 5</w:t>
        </w:r>
      </w:hyperlink>
      <w:r>
        <w:t xml:space="preserve"> </w:t>
      </w:r>
      <w:r>
        <w:t xml:space="preserve">illustrates distinct temporal trends across the different spectral indices monitored throughout the experiment. The second derivative at 665 nm (R’’665), NDVI, and GLI (panels B, C, and D) all demonstrate a clear decline over the experimental period (days 1-3), suggesting a progressive reduction in photosynthetic activity or pigment levels in the treatment group relative to the control. In contrast, SDI (panel E) shows a marked increase, reaching up to 600%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 Leaf blackening in angiosperms, as observed in</w:t>
      </w:r>
      <w:r>
        <w:t xml:space="preserve"> </w:t>
      </w:r>
      <w:r>
        <w:rPr>
          <w:iCs/>
          <w:i/>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Cs/>
          <w:i/>
        </w:rPr>
        <w:t xml:space="preserve">Zostera noltei</w:t>
      </w:r>
      <w:r>
        <w:t xml:space="preserve">, as a species inhabiting the intertidal zone and regularly exposed to air, has developed adaptations to minimize water stress. For example,</w:t>
      </w:r>
      <w:r>
        <w:t xml:space="preserve"> </w:t>
      </w:r>
      <w:r>
        <w:rPr>
          <w:iCs/>
          <w:i/>
        </w:rPr>
        <w:t xml:space="preserve">Zostera noltei</w:t>
      </w:r>
      <w:r>
        <w:t xml:space="preserve"> </w:t>
      </w:r>
      <w:r>
        <w:t xml:space="preserve">exhibits smaller, narrower leaves compared to species residing lower in the intertidal zone, such as</w:t>
      </w:r>
      <w:r>
        <w:t xml:space="preserve"> </w:t>
      </w:r>
      <w:r>
        <w:rPr>
          <w:iCs/>
          <w:i/>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r>
        <w:t xml:space="preserve"> </w:t>
      </w:r>
      <w:hyperlink w:anchor="fig-GAM_Emersion">
        <w:r>
          <w:rPr>
            <w:rStyle w:val="Hyperlink"/>
          </w:rPr>
          <w:t xml:space="preserve">Figure 9</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p>
      <w:pPr>
        <w:pStyle w:val="BodyText"/>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 Russo and Domeisen, 2023)</w:t>
      </w:r>
      <w:r>
        <w:t xml:space="preserve">. In our study site in Quiberon, a similar pattern emerges. Data from a local weather station show an increasing trend in both the frequency and cumulative intensity of atmospheric heatwaves, while coldspells—defined as extreme low temperatures below the 10th percentile—have shown a marked decline in both frequency and intensity</w:t>
      </w:r>
      <w:r>
        <w:t xml:space="preserve"> </w:t>
      </w:r>
      <w:hyperlink w:anchor="fig-Freq_Int_HW_CS">
        <w:r>
          <w:rPr>
            <w:rStyle w:val="Hyperlink"/>
          </w:rPr>
          <w:t xml:space="preserve">Figure 10</w:t>
        </w:r>
      </w:hyperlink>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bookmarkStart w:id="103" w:name="cell-fig-Freq_Int_HW_CS"/>
    <w:tbl>
      <w:tblPr>
        <w:tblStyle w:val="Table"/>
        <w:tblW w:type="pct" w:w="5000"/>
        <w:tblLook w:firstRow="0" w:lastRow="0" w:firstColumn="0" w:lastColumn="0" w:noHBand="0" w:noVBand="0" w:val="0000"/>
        <w:jc w:val="start"/>
        <w:tblLayout w:type="fixed"/>
      </w:tblPr>
      <w:tblGrid>
        <w:gridCol w:w="7920"/>
      </w:tblGrid>
      <w:tr>
        <w:tc>
          <w:tcPr/>
          <w:bookmarkStart w:id="102" w:name="fig-Freq_Int_HW_CS"/>
          <w:p>
            <w:pPr>
              <w:pStyle w:val="Compact"/>
              <w:jc w:val="center"/>
            </w:pPr>
            <w:r>
              <w:drawing>
                <wp:inline>
                  <wp:extent cx="4754880" cy="4754880"/>
                  <wp:effectExtent b="0" l="0" r="0" t="0"/>
                  <wp:docPr descr="" title="" id="100" name="Picture"/>
                  <a:graphic>
                    <a:graphicData uri="http://schemas.openxmlformats.org/drawingml/2006/picture">
                      <pic:pic>
                        <pic:nvPicPr>
                          <pic:cNvPr descr="Figs/Low_res/plot_HW_CS.png" id="101" name="Picture"/>
                          <pic:cNvPicPr>
                            <a:picLocks noChangeArrowheads="1" noChangeAspect="1"/>
                          </pic:cNvPicPr>
                        </pic:nvPicPr>
                        <pic:blipFill>
                          <a:blip r:embed="rId99"/>
                          <a:stretch>
                            <a:fillRect/>
                          </a:stretch>
                        </pic:blipFill>
                        <pic:spPr bwMode="auto">
                          <a:xfrm>
                            <a:off x="0" y="0"/>
                            <a:ext cx="475488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bookmarkEnd w:id="102"/>
        </w:tc>
      </w:tr>
    </w:tbl>
    <w:bookmarkEnd w:id="103"/>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(Simolo and Corti, 2022 ; Oliver et al., 2019)</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(Smale et al., 2019 ; Oliver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(Guerrero-Meseguer et al., 2020 ; Winters et al., 2011 ; Sawall et al., 2021 ; Deguette et al., 2022)</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(Stillman, 2019 ; Russo and Domeisen, 2023)</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Cs/>
          <w:i/>
        </w:rPr>
        <w:t xml:space="preserve">Posidonia</w:t>
      </w:r>
      <w:r>
        <w:t xml:space="preserve">,</w:t>
      </w:r>
      <w:r>
        <w:t xml:space="preserve"> </w:t>
      </w:r>
      <w:r>
        <w:rPr>
          <w:iCs/>
          <w:i/>
        </w:rPr>
        <w:t xml:space="preserve">Amphibolis</w:t>
      </w:r>
      <w:r>
        <w:t xml:space="preserve">, and</w:t>
      </w:r>
      <w:r>
        <w:t xml:space="preserve"> </w:t>
      </w:r>
      <w:r>
        <w:rPr>
          <w:iCs/>
          <w:i/>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Cs/>
          <w:i/>
        </w:rPr>
        <w:t xml:space="preserve">Halodule</w:t>
      </w:r>
      <w:r>
        <w:t xml:space="preserve">,</w:t>
      </w:r>
      <w:r>
        <w:t xml:space="preserve"> </w:t>
      </w:r>
      <w:r>
        <w:rPr>
          <w:iCs/>
          <w:i/>
        </w:rPr>
        <w:t xml:space="preserve">Halophila</w:t>
      </w:r>
      <w:r>
        <w:t xml:space="preserve">, and</w:t>
      </w:r>
      <w:r>
        <w:t xml:space="preserve"> </w:t>
      </w:r>
      <w:r>
        <w:rPr>
          <w:iCs/>
          <w:i/>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Cs/>
          <w:i/>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Cs/>
          <w:i/>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Cs/>
          <w:i/>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Cs/>
          <w:i/>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Cs/>
          <w:i/>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Cs/>
          <w:i/>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(Massa et al., 2009 ; Franssen et al., 2014)</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11</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11</w:t>
        </w:r>
      </w:hyperlink>
      <w:r>
        <w:t xml:space="preserve">.</w:t>
      </w:r>
    </w:p>
    <w:bookmarkStart w:id="108" w:name="cell-fig-Resilience_of_seagrasses"/>
    <w:tbl>
      <w:tblPr>
        <w:tblStyle w:val="Table"/>
        <w:tblW w:type="pct" w:w="5000"/>
        <w:tblLook w:firstRow="0" w:lastRow="0" w:firstColumn="0" w:lastColumn="0" w:noHBand="0" w:noVBand="0" w:val="0000"/>
        <w:jc w:val="start"/>
        <w:tblLayout w:type="fixed"/>
      </w:tblPr>
      <w:tblGrid>
        <w:gridCol w:w="7920"/>
      </w:tblGrid>
      <w:tr>
        <w:tc>
          <w:tcPr/>
          <w:bookmarkStart w:id="107" w:name="fig-Resilience_of_seagrasses"/>
          <w:p>
            <w:pPr>
              <w:pStyle w:val="Compact"/>
              <w:jc w:val="center"/>
            </w:pPr>
            <w:r>
              <w:drawing>
                <wp:inline>
                  <wp:extent cx="5943600" cy="2971800"/>
                  <wp:effectExtent b="0" l="0" r="0" t="0"/>
                  <wp:docPr descr="" title="" id="105" name="Picture"/>
                  <a:graphic>
                    <a:graphicData uri="http://schemas.openxmlformats.org/drawingml/2006/picture">
                      <pic:pic>
                        <pic:nvPicPr>
                          <pic:cNvPr descr="Figs/Low_res/plot_resilience.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Comparison of the seagrass percent cover before (left), during (center) and after (right) the heatwaves for seagrasses that have not been impacted by heatwaves (i.e. remains green) and seagrasses that have been impacted by the events (i.e. seagrasses that darkened).</w:t>
            </w:r>
          </w:p>
          <w:bookmarkEnd w:id="107"/>
        </w:tc>
      </w:tr>
    </w:tbl>
    <w:bookmarkEnd w:id="108"/>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Cs/>
          <w:i/>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(De Fouw et al., 2022 ; Canadell and Jackson, 2021)</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(Gacia et al., 1999 ; Folmer et al., 2012)</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 Samper-Villarreal et al., 2020)</w:t>
      </w:r>
    </w:p>
    <w:bookmarkEnd w:id="109"/>
    <w:bookmarkStart w:id="110"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Cs/>
          <w:i/>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0"/>
    <w:bookmarkStart w:id="208" w:name="annexes"/>
    <w:p>
      <w:pPr>
        <w:pStyle w:val="Heading1"/>
      </w:pPr>
      <w:r>
        <w:t xml:space="preserve">6. Annexes</w:t>
      </w:r>
    </w:p>
    <w:bookmarkStart w:id="117"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2" name="Picture"/>
            <a:graphic>
              <a:graphicData uri="http://schemas.openxmlformats.org/drawingml/2006/picture">
                <pic:pic>
                  <pic:nvPicPr>
                    <pic:cNvPr descr="Figs/High_res/Temperature_compare.png" id="113" name="Picture"/>
                    <pic:cNvPicPr>
                      <a:picLocks noChangeArrowheads="1" noChangeAspect="1"/>
                    </pic:cNvPicPr>
                  </pic:nvPicPr>
                  <pic:blipFill>
                    <a:blip r:embed="rId11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Cs/>
          <w:i/>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Cs/>
          <w:i/>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15" name="Picture"/>
            <a:graphic>
              <a:graphicData uri="http://schemas.openxmlformats.org/drawingml/2006/picture">
                <pic:pic>
                  <pic:nvPicPr>
                    <pic:cNvPr descr="Figs/Low_res/Chamber_Profils.png" id="116" name="Picture"/>
                    <pic:cNvPicPr>
                      <a:picLocks noChangeArrowheads="1" noChangeAspect="1"/>
                    </pic:cNvPicPr>
                  </pic:nvPicPr>
                  <pic:blipFill>
                    <a:blip r:embed="rId114"/>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17"/>
    <w:bookmarkStart w:id="207" w:name="sec-AnnexeB"/>
    <w:p>
      <w:pPr>
        <w:pStyle w:val="Heading2"/>
      </w:pPr>
      <w:r>
        <w:t xml:space="preserve">6.2 Annexes B - SDI applied on Experiment samples</w:t>
      </w:r>
    </w:p>
    <w:p>
      <w:pPr>
        <w:pStyle w:val="FirstParagraph"/>
      </w:pPr>
      <w:r>
        <w:drawing>
          <wp:inline>
            <wp:extent cx="5943600" cy="2971800"/>
            <wp:effectExtent b="0" l="0" r="0" t="0"/>
            <wp:docPr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title="" id="119" name="Picture"/>
            <a:graphic>
              <a:graphicData uri="http://schemas.openxmlformats.org/drawingml/2006/picture">
                <pic:pic>
                  <pic:nvPicPr>
                    <pic:cNvPr descr="Figs/Low_res/PLOT_SDI_exp.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r>
        <w:t xml:space="preserve"># Bibliography</w:t>
      </w:r>
    </w:p>
    <w:bookmarkStart w:id="206" w:name="refs"/>
    <w:bookmarkStart w:id="121"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1"/>
    <w:bookmarkStart w:id="122"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5"/>
    <w:bookmarkStart w:id="126"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6"/>
    <w:bookmarkStart w:id="127" w:name="ref-canadell2021ecosystem"/>
    <w:p>
      <w:pPr>
        <w:pStyle w:val="Bibliography"/>
      </w:pPr>
      <w:r>
        <w:t xml:space="preserve">Canadell, J.G., Jackson, R.B., 2021. Ecosystem collapse and climate change. Springer.</w:t>
      </w:r>
    </w:p>
    <w:bookmarkEnd w:id="127"/>
    <w:bookmarkStart w:id="128"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8"/>
    <w:bookmarkStart w:id="130"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29">
        <w:r>
          <w:rPr>
            <w:rStyle w:val="Hyperlink"/>
          </w:rPr>
          <w:t xml:space="preserve">https://doi.org/10.48670/moi-00311</w:t>
        </w:r>
      </w:hyperlink>
    </w:p>
    <w:bookmarkEnd w:id="130"/>
    <w:bookmarkStart w:id="132"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1">
        <w:r>
          <w:rPr>
            <w:rStyle w:val="Hyperlink"/>
          </w:rPr>
          <w:t xml:space="preserve">https://doi.org/10.1007/s11099-007-0084-3</w:t>
        </w:r>
      </w:hyperlink>
    </w:p>
    <w:bookmarkEnd w:id="132"/>
    <w:bookmarkStart w:id="134"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3">
        <w:r>
          <w:rPr>
            <w:rStyle w:val="Hyperlink"/>
          </w:rPr>
          <w:t xml:space="preserve">https://doi.org/10.1038/s43247-024-01543-z</w:t>
        </w:r>
      </w:hyperlink>
    </w:p>
    <w:bookmarkEnd w:id="134"/>
    <w:bookmarkStart w:id="136"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5">
        <w:r>
          <w:rPr>
            <w:rStyle w:val="Hyperlink"/>
          </w:rPr>
          <w:t xml:space="preserve">https://doi.org/10.1016/j.rse.2024.114340</w:t>
        </w:r>
      </w:hyperlink>
    </w:p>
    <w:bookmarkEnd w:id="136"/>
    <w:bookmarkStart w:id="137"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7"/>
    <w:bookmarkStart w:id="138" w:name="ref-deguette2022physiological"/>
    <w:p>
      <w:pPr>
        <w:pStyle w:val="Bibliography"/>
      </w:pPr>
      <w:r>
        <w:t xml:space="preserve">Deguette, A., Barrote, I., Silva, J., 2022. Physiological and morphological effects of a marine heatwave on the seagrass cymodocea nodosa. Scientific Reports 12, 7950.</w:t>
      </w:r>
    </w:p>
    <w:bookmarkEnd w:id="138"/>
    <w:bookmarkStart w:id="139" w:name="ref-devi2024intensity"/>
    <w:p>
      <w:pPr>
        <w:pStyle w:val="Bibliography"/>
      </w:pPr>
      <w:r>
        <w:t xml:space="preserve">Devi, R., Gouda, K., Lenka, S., 2024. Intensity duration and frequency of heat wave in different phases of MJO over india. Atmospheric Research 300, 107250.</w:t>
      </w:r>
    </w:p>
    <w:bookmarkEnd w:id="139"/>
    <w:bookmarkStart w:id="140" w:name="ref-sen2cor"/>
    <w:p>
      <w:pPr>
        <w:pStyle w:val="Bibliography"/>
      </w:pPr>
      <w:r>
        <w:t xml:space="preserve">European Space Agency, 2024b. Sen2Cor: Sentinel-2 atmospheric correction processor.</w:t>
      </w:r>
    </w:p>
    <w:bookmarkEnd w:id="140"/>
    <w:bookmarkStart w:id="141" w:name="ref-copernicus_sentinel2"/>
    <w:p>
      <w:pPr>
        <w:pStyle w:val="Bibliography"/>
      </w:pPr>
      <w:r>
        <w:t xml:space="preserve">European Space Agency, 2024a. Copernicus open access hub.</w:t>
      </w:r>
    </w:p>
    <w:bookmarkEnd w:id="141"/>
    <w:bookmarkStart w:id="14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2"/>
    <w:bookmarkStart w:id="14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3"/>
    <w:bookmarkStart w:id="14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4"/>
    <w:bookmarkStart w:id="145" w:name="ref-gardner2018global"/>
    <w:p>
      <w:pPr>
        <w:pStyle w:val="Bibliography"/>
      </w:pPr>
      <w:r>
        <w:t xml:space="preserve">Gardner, R.C., Finlayson, C., 2018. Global wetland outlook: State of the world’s wetlands and their services to people, in: Ramsar Convention Secretariat. pp. 2020–5.</w:t>
      </w:r>
    </w:p>
    <w:bookmarkEnd w:id="145"/>
    <w:bookmarkStart w:id="146"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6"/>
    <w:bookmarkStart w:id="148"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7">
        <w:r>
          <w:rPr>
            <w:rStyle w:val="Hyperlink"/>
          </w:rPr>
          <w:t xml:space="preserve">https://doi.org/10.1002/aqc.4210</w:t>
        </w:r>
      </w:hyperlink>
    </w:p>
    <w:bookmarkEnd w:id="148"/>
    <w:bookmarkStart w:id="149"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9"/>
    <w:bookmarkStart w:id="150"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0"/>
    <w:bookmarkStart w:id="151" w:name="ref-huete2012vegetation"/>
    <w:p>
      <w:pPr>
        <w:pStyle w:val="Bibliography"/>
      </w:pPr>
      <w:r>
        <w:t xml:space="preserve">Huete, A.R., 2012. Vegetation indices, remote sensing and forest monitoring. Geography Compass 6, 513–532.</w:t>
      </w:r>
    </w:p>
    <w:bookmarkEnd w:id="151"/>
    <w:bookmarkStart w:id="153"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2">
        <w:r>
          <w:rPr>
            <w:rStyle w:val="Hyperlink"/>
          </w:rPr>
          <w:t xml:space="preserve">https://doi.org/10.1073/pnas.0402642101</w:t>
        </w:r>
      </w:hyperlink>
    </w:p>
    <w:bookmarkEnd w:id="153"/>
    <w:bookmarkStart w:id="155" w:name="ref-ioc_sea_level_lecy"/>
    <w:p>
      <w:pPr>
        <w:pStyle w:val="Bibliography"/>
      </w:pPr>
      <w:r>
        <w:t xml:space="preserve">IOC, 2024.</w:t>
      </w:r>
      <w:r>
        <w:t xml:space="preserve"> </w:t>
      </w:r>
      <w:hyperlink r:id="rId154">
        <w:r>
          <w:rPr>
            <w:rStyle w:val="Hyperlink"/>
          </w:rPr>
          <w:t xml:space="preserve">Intergovernmental oceanographic commission ; sea level monitoring station - le conquet, france (LECY)</w:t>
        </w:r>
      </w:hyperlink>
      <w:r>
        <w:t xml:space="preserve">.</w:t>
      </w:r>
    </w:p>
    <w:bookmarkEnd w:id="155"/>
    <w:bookmarkStart w:id="15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6"/>
    <w:bookmarkStart w:id="15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7">
        <w:r>
          <w:rPr>
            <w:rStyle w:val="Hyperlink"/>
          </w:rPr>
          <w:t xml:space="preserve">https://doi.org/10.1016/S0304-4238(05)80016-0</w:t>
        </w:r>
      </w:hyperlink>
    </w:p>
    <w:bookmarkEnd w:id="158"/>
    <w:bookmarkStart w:id="159" w:name="ref-kloos2021agricultural"/>
    <w:p>
      <w:pPr>
        <w:pStyle w:val="Bibliography"/>
      </w:pPr>
      <w:r>
        <w:t xml:space="preserve">Kloos, S., Yuan, Y., Castelli, M., Menzel, A., 2021. Agricultural drought detection with MODIS based vegetation health indices in southeast germany. Remote Sensing 13, 3907.</w:t>
      </w:r>
    </w:p>
    <w:bookmarkEnd w:id="159"/>
    <w:bookmarkStart w:id="161"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0">
        <w:r>
          <w:rPr>
            <w:rStyle w:val="Hyperlink"/>
          </w:rPr>
          <w:t xml:space="preserve">https://doi.org/10.1016/S0034-4257(70)80021-9</w:t>
        </w:r>
      </w:hyperlink>
    </w:p>
    <w:bookmarkEnd w:id="161"/>
    <w:bookmarkStart w:id="162" w:name="ref-loarie2009velocity"/>
    <w:p>
      <w:pPr>
        <w:pStyle w:val="Bibliography"/>
      </w:pPr>
      <w:r>
        <w:t xml:space="preserve">Loarie, S.R., Duffy, P.B., Hamilton, H., Asner, G.P., Field, C.B., Ackerly, D.D., 2009. The velocity of climate change. Nature 462, 1052–1055.</w:t>
      </w:r>
    </w:p>
    <w:bookmarkEnd w:id="162"/>
    <w:bookmarkStart w:id="16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3"/>
    <w:bookmarkStart w:id="164"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4"/>
    <w:bookmarkStart w:id="166"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5">
        <w:r>
          <w:rPr>
            <w:rStyle w:val="Hyperlink"/>
          </w:rPr>
          <w:t xml:space="preserve">https://doi.org/10.1038/s41598-019-50643-w</w:t>
        </w:r>
      </w:hyperlink>
    </w:p>
    <w:bookmarkEnd w:id="166"/>
    <w:bookmarkStart w:id="167"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7"/>
    <w:bookmarkStart w:id="169"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8">
        <w:r>
          <w:rPr>
            <w:rStyle w:val="Hyperlink"/>
          </w:rPr>
          <w:t xml:space="preserve">https://doi.org/10.3389/fmars.2019.00734</w:t>
        </w:r>
      </w:hyperlink>
    </w:p>
    <w:bookmarkEnd w:id="169"/>
    <w:bookmarkStart w:id="171"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0">
        <w:r>
          <w:rPr>
            <w:rStyle w:val="Hyperlink"/>
          </w:rPr>
          <w:t xml:space="preserve">https://doi.org/10.1111/gcb.14282</w:t>
        </w:r>
      </w:hyperlink>
    </w:p>
    <w:bookmarkEnd w:id="171"/>
    <w:bookmarkStart w:id="172"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2"/>
    <w:bookmarkStart w:id="173" w:name="ref-perkins2013measurement"/>
    <w:p>
      <w:pPr>
        <w:pStyle w:val="Bibliography"/>
      </w:pPr>
      <w:r>
        <w:t xml:space="preserve">Perkins, S.E., Alexander, L.V., 2013. On the measurement of heat waves. Journal of climate 26, 4500–4517.</w:t>
      </w:r>
    </w:p>
    <w:bookmarkEnd w:id="173"/>
    <w:bookmarkStart w:id="174" w:name="ref-ramesh2020seagrass"/>
    <w:p>
      <w:pPr>
        <w:pStyle w:val="Bibliography"/>
      </w:pPr>
      <w:r>
        <w:t xml:space="preserve">Ramesh, C., Mohanraju, R., 2020. Seagrass ecosystems of andaman and nicobar islands: Status and future perspective. Environmental &amp; Earth Sciences Research Journal 7.</w:t>
      </w:r>
    </w:p>
    <w:bookmarkEnd w:id="174"/>
    <w:bookmarkStart w:id="176"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5">
        <w:r>
          <w:rPr>
            <w:rStyle w:val="Hyperlink"/>
          </w:rPr>
          <w:t xml:space="preserve">https://doi.org/10.1073/pnas.0500008102</w:t>
        </w:r>
      </w:hyperlink>
    </w:p>
    <w:bookmarkEnd w:id="176"/>
    <w:bookmarkStart w:id="177" w:name="ref-rouse1974monitoring"/>
    <w:p>
      <w:pPr>
        <w:pStyle w:val="Bibliography"/>
      </w:pPr>
      <w:r>
        <w:t xml:space="preserve">Rouse, J.W., Haas, R.H., Schell, J.A., Deering, D.W., others, 1974. Monitoring vegetation systems in the great plains with ERTS. NASA Spec. Publ 351, 309.</w:t>
      </w:r>
    </w:p>
    <w:bookmarkEnd w:id="177"/>
    <w:bookmarkStart w:id="179"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8">
        <w:r>
          <w:rPr>
            <w:rStyle w:val="Hyperlink"/>
          </w:rPr>
          <w:t xml:space="preserve">https://doi.org/10.1029/2023GL103540</w:t>
        </w:r>
      </w:hyperlink>
    </w:p>
    <w:bookmarkEnd w:id="179"/>
    <w:bookmarkStart w:id="18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0"/>
    <w:bookmarkStart w:id="18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1"/>
    <w:bookmarkStart w:id="18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2">
        <w:r>
          <w:rPr>
            <w:rStyle w:val="Hyperlink"/>
          </w:rPr>
          <w:t xml:space="preserve">https://doi.org/10.21105/joss.00821</w:t>
        </w:r>
      </w:hyperlink>
    </w:p>
    <w:bookmarkEnd w:id="183"/>
    <w:bookmarkStart w:id="18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4"/>
    <w:bookmarkStart w:id="185"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5"/>
    <w:bookmarkStart w:id="187" w:name="ref-shom_ram_2022"/>
    <w:p>
      <w:pPr>
        <w:pStyle w:val="Bibliography"/>
      </w:pPr>
      <w:r>
        <w:t xml:space="preserve">Shom, 2022.</w:t>
      </w:r>
      <w:r>
        <w:t xml:space="preserve"> </w:t>
      </w:r>
      <w:hyperlink r:id="rId18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7"/>
    <w:bookmarkStart w:id="189" w:name="Xbef41143b4d4042e58f11cfc27e216202646012"/>
    <w:p>
      <w:pPr>
        <w:pStyle w:val="Bibliography"/>
      </w:pPr>
      <w:r>
        <w:t xml:space="preserve">SHOM, 2021.</w:t>
      </w:r>
      <w:r>
        <w:t xml:space="preserve"> </w:t>
      </w:r>
      <w:hyperlink r:id="rId188">
        <w:r>
          <w:rPr>
            <w:rStyle w:val="Hyperlink"/>
          </w:rPr>
          <w:t xml:space="preserve">Service hydrographique et océanographique de la marine ; bathymétrie Litto3D® bretagne 2018-2021</w:t>
        </w:r>
      </w:hyperlink>
      <w:r>
        <w:t xml:space="preserve">.</w:t>
      </w:r>
    </w:p>
    <w:bookmarkEnd w:id="189"/>
    <w:bookmarkStart w:id="191" w:name="ref-simolo2022quantifying"/>
    <w:p>
      <w:pPr>
        <w:pStyle w:val="Bibliography"/>
      </w:pPr>
      <w:r>
        <w:t xml:space="preserve">Simolo, C., Corti, S., 2022. Quantifying the role of variability in future intensification of heat extremes. Nature Communications 13.</w:t>
      </w:r>
      <w:r>
        <w:t xml:space="preserve"> </w:t>
      </w:r>
      <w:hyperlink r:id="rId190">
        <w:r>
          <w:rPr>
            <w:rStyle w:val="Hyperlink"/>
          </w:rPr>
          <w:t xml:space="preserve">https://doi.org/10.1038/s41467-022-35571-0</w:t>
        </w:r>
      </w:hyperlink>
    </w:p>
    <w:bookmarkEnd w:id="191"/>
    <w:bookmarkStart w:id="19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2">
        <w:r>
          <w:rPr>
            <w:rStyle w:val="Hyperlink"/>
          </w:rPr>
          <w:t xml:space="preserve">https://doi.org/10.1038/s41558-019-0412-1</w:t>
        </w:r>
      </w:hyperlink>
    </w:p>
    <w:bookmarkEnd w:id="193"/>
    <w:bookmarkStart w:id="19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4"/>
    <w:bookmarkStart w:id="196"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95">
        <w:r>
          <w:rPr>
            <w:rStyle w:val="Hyperlink"/>
          </w:rPr>
          <w:t xml:space="preserve">https://doi.org/10.1152/physiol.00040.2018</w:t>
        </w:r>
      </w:hyperlink>
    </w:p>
    <w:bookmarkEnd w:id="196"/>
    <w:bookmarkStart w:id="19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7"/>
    <w:bookmarkStart w:id="198" w:name="ref-unsworth2014biodiversity"/>
    <w:p>
      <w:pPr>
        <w:pStyle w:val="Bibliography"/>
      </w:pPr>
      <w:r>
        <w:t xml:space="preserve">Unsworth, R., Cullen-Unsworth, L.C., 2014. Biodiversity, ecosystem services, and the conservation of seagrass meadows. Coast. Conserv 19, 95.</w:t>
      </w:r>
    </w:p>
    <w:bookmarkEnd w:id="198"/>
    <w:bookmarkStart w:id="199" w:name="ref-unsworth2022planetary"/>
    <w:p>
      <w:pPr>
        <w:pStyle w:val="Bibliography"/>
      </w:pPr>
      <w:r>
        <w:t xml:space="preserve">Unsworth, R.K., Cullen-Unsworth, L.C., Jones, B.L., Lilley, R.J., 2022. The planetary role of seagrass conservation. Science 377, 609–613.</w:t>
      </w:r>
    </w:p>
    <w:bookmarkEnd w:id="199"/>
    <w:bookmarkStart w:id="20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0"/>
    <w:bookmarkStart w:id="20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1"/>
    <w:bookmarkStart w:id="202"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2"/>
    <w:bookmarkStart w:id="204"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03">
        <w:r>
          <w:rPr>
            <w:rStyle w:val="Hyperlink"/>
          </w:rPr>
          <w:t xml:space="preserve">https://doi.org/10.1002/rse2.319</w:t>
        </w:r>
      </w:hyperlink>
    </w:p>
    <w:bookmarkEnd w:id="204"/>
    <w:bookmarkStart w:id="205"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05"/>
    <w:bookmarkEnd w:id="206"/>
    <w:bookmarkEnd w:id="207"/>
    <w:bookmarkEnd w:id="20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proofState w:grammar="clean" w:spelling="clean"/>
  <w:doNotTrackMoves/>
  <w:zoom w:percent="100"/>
  <w:embedSystemFont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80" Target="media/rId80.png" /><Relationship Type="http://schemas.openxmlformats.org/officeDocument/2006/relationships/image" Id="rId24" Target="media/rId2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99" Target="media/rId99.png" /><Relationship Type="http://schemas.openxmlformats.org/officeDocument/2006/relationships/image" Id="rId60" Target="media/rId60.png" /><Relationship Type="http://schemas.openxmlformats.org/officeDocument/2006/relationships/image" Id="rId104" Target="media/rId104.png" /><Relationship Type="http://schemas.openxmlformats.org/officeDocument/2006/relationships/hyperlink" Id="rId186" Target="https://diffusion.shom.fr/references-altimetriques-maritimes-ram.html" TargetMode="External" /><Relationship Type="http://schemas.openxmlformats.org/officeDocument/2006/relationships/hyperlink" Id="rId147" Target="https://doi.org/10.1002/aqc.4210" TargetMode="External" /><Relationship Type="http://schemas.openxmlformats.org/officeDocument/2006/relationships/hyperlink" Id="rId203" Target="https://doi.org/10.1002/rse2.319" TargetMode="External" /><Relationship Type="http://schemas.openxmlformats.org/officeDocument/2006/relationships/hyperlink" Id="rId131" Target="https://doi.org/10.1007/s11099-007-0084-3" TargetMode="External" /><Relationship Type="http://schemas.openxmlformats.org/officeDocument/2006/relationships/hyperlink" Id="rId160" Target="https://doi.org/10.1016/S0034-4257(70)80021-9" TargetMode="External" /><Relationship Type="http://schemas.openxmlformats.org/officeDocument/2006/relationships/hyperlink" Id="rId157" Target="https://doi.org/10.1016/S0304-4238(05)80016-0" TargetMode="External" /><Relationship Type="http://schemas.openxmlformats.org/officeDocument/2006/relationships/hyperlink" Id="rId135" Target="https://doi.org/10.1016/j.rse.2024.114340" TargetMode="External" /><Relationship Type="http://schemas.openxmlformats.org/officeDocument/2006/relationships/hyperlink" Id="rId178" Target="https://doi.org/10.1029/2023GL103540" TargetMode="External" /><Relationship Type="http://schemas.openxmlformats.org/officeDocument/2006/relationships/hyperlink" Id="rId190"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5" Target="https://doi.org/10.1038/s41598-019-50643-w" TargetMode="External" /><Relationship Type="http://schemas.openxmlformats.org/officeDocument/2006/relationships/hyperlink" Id="rId133" Target="https://doi.org/10.1038/s43247-024-01543-z" TargetMode="External" /><Relationship Type="http://schemas.openxmlformats.org/officeDocument/2006/relationships/hyperlink" Id="rId152" Target="https://doi.org/10.1073/pnas.0402642101" TargetMode="External" /><Relationship Type="http://schemas.openxmlformats.org/officeDocument/2006/relationships/hyperlink" Id="rId175" Target="https://doi.org/10.1073/pnas.0500008102" TargetMode="External" /><Relationship Type="http://schemas.openxmlformats.org/officeDocument/2006/relationships/hyperlink" Id="rId170"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68" Target="https://doi.org/10.3389/fmars.2019.00734" TargetMode="External" /><Relationship Type="http://schemas.openxmlformats.org/officeDocument/2006/relationships/hyperlink" Id="rId129"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88" Target="https://services.data.shom.fr/geonetwork/srv/fre/catalog.search#/metadata/BATHYMETRIE_LITTO3D_BZH_2018_2021.xml" TargetMode="External" /><Relationship Type="http://schemas.openxmlformats.org/officeDocument/2006/relationships/hyperlink" Id="rId154"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86" Target="https://diffusion.shom.fr/references-altimetriques-maritimes-ram.html" TargetMode="External" /><Relationship Type="http://schemas.openxmlformats.org/officeDocument/2006/relationships/hyperlink" Id="rId147" Target="https://doi.org/10.1002/aqc.4210" TargetMode="External" /><Relationship Type="http://schemas.openxmlformats.org/officeDocument/2006/relationships/hyperlink" Id="rId203" Target="https://doi.org/10.1002/rse2.319" TargetMode="External" /><Relationship Type="http://schemas.openxmlformats.org/officeDocument/2006/relationships/hyperlink" Id="rId131" Target="https://doi.org/10.1007/s11099-007-0084-3" TargetMode="External" /><Relationship Type="http://schemas.openxmlformats.org/officeDocument/2006/relationships/hyperlink" Id="rId160" Target="https://doi.org/10.1016/S0034-4257(70)80021-9" TargetMode="External" /><Relationship Type="http://schemas.openxmlformats.org/officeDocument/2006/relationships/hyperlink" Id="rId157" Target="https://doi.org/10.1016/S0304-4238(05)80016-0" TargetMode="External" /><Relationship Type="http://schemas.openxmlformats.org/officeDocument/2006/relationships/hyperlink" Id="rId135" Target="https://doi.org/10.1016/j.rse.2024.114340" TargetMode="External" /><Relationship Type="http://schemas.openxmlformats.org/officeDocument/2006/relationships/hyperlink" Id="rId178" Target="https://doi.org/10.1029/2023GL103540" TargetMode="External" /><Relationship Type="http://schemas.openxmlformats.org/officeDocument/2006/relationships/hyperlink" Id="rId190" Target="https://doi.org/10.1038/s41467-022-35571-0" TargetMode="External" /><Relationship Type="http://schemas.openxmlformats.org/officeDocument/2006/relationships/hyperlink" Id="rId192" Target="https://doi.org/10.1038/s41558-019-0412-1" TargetMode="External" /><Relationship Type="http://schemas.openxmlformats.org/officeDocument/2006/relationships/hyperlink" Id="rId165" Target="https://doi.org/10.1038/s41598-019-50643-w" TargetMode="External" /><Relationship Type="http://schemas.openxmlformats.org/officeDocument/2006/relationships/hyperlink" Id="rId133" Target="https://doi.org/10.1038/s43247-024-01543-z" TargetMode="External" /><Relationship Type="http://schemas.openxmlformats.org/officeDocument/2006/relationships/hyperlink" Id="rId152" Target="https://doi.org/10.1073/pnas.0402642101" TargetMode="External" /><Relationship Type="http://schemas.openxmlformats.org/officeDocument/2006/relationships/hyperlink" Id="rId175" Target="https://doi.org/10.1073/pnas.0500008102" TargetMode="External" /><Relationship Type="http://schemas.openxmlformats.org/officeDocument/2006/relationships/hyperlink" Id="rId170" Target="https://doi.org/10.1111/gcb.14282" TargetMode="External" /><Relationship Type="http://schemas.openxmlformats.org/officeDocument/2006/relationships/hyperlink" Id="rId195" Target="https://doi.org/10.1152/physiol.00040.2018" TargetMode="External" /><Relationship Type="http://schemas.openxmlformats.org/officeDocument/2006/relationships/hyperlink" Id="rId18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68" Target="https://doi.org/10.3389/fmars.2019.00734" TargetMode="External" /><Relationship Type="http://schemas.openxmlformats.org/officeDocument/2006/relationships/hyperlink" Id="rId129"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88" Target="https://services.data.shom.fr/geonetwork/srv/fre/catalog.search#/metadata/BATHYMETRIE_LITTO3D_BZH_2018_2021.xml" TargetMode="External" /><Relationship Type="http://schemas.openxmlformats.org/officeDocument/2006/relationships/hyperlink" Id="rId154"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2024-11-11T18:56:33Z</dcterms:created>
  <dcterms:modified xsi:type="dcterms:W3CDTF">2024-11-11T18:56:33Z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2024-11-11</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