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86.png" ContentType="image/png"/>
  <Override PartName="/word/media/rId22.png" ContentType="image/png"/>
  <Override PartName="/word/media/rId97.png" ContentType="image/png"/>
  <Override PartName="/word/media/rId80.png" ContentType="image/png"/>
  <Override PartName="/word/media/rId92.png" ContentType="image/png"/>
  <Override PartName="/word/media/rId50.png" ContentType="image/png"/>
  <Override PartName="/word/media/rId55.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w:t>
      </w:r>
      <w:r>
        <w:t xml:space="preserve"> </w:t>
      </w:r>
      <w:r>
        <w:t xml:space="preserve">Effect</w:t>
      </w:r>
      <w:r>
        <w:t xml:space="preserve"> </w:t>
      </w:r>
      <w:r>
        <w:t xml:space="preserve">of</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Nanozostera</w:t>
      </w:r>
      <w:r>
        <w:rPr>
          <w:i/>
          <w:iCs/>
        </w:rPr>
        <w:t xml:space="preserve"> </w:t>
      </w:r>
      <w:r>
        <w:rPr>
          <w:i/>
          <w:iCs/>
        </w:rPr>
        <w:t xml:space="preserve">noltei</w:t>
      </w:r>
      <w:r>
        <w:t xml:space="preserve"> </w:t>
      </w:r>
      <w:r>
        <w:t xml:space="preserve">–</w:t>
      </w:r>
      <w:r>
        <w:t xml:space="preserve"> </w:t>
      </w:r>
      <w:r>
        <w:t xml:space="preserve">Draft</w:t>
      </w:r>
    </w:p>
    <w:p>
      <w:pPr>
        <w:pStyle w:val="Author"/>
      </w:pPr>
      <w:r>
        <w:t xml:space="preserve">Simon</w:t>
      </w:r>
      <w:r>
        <w:t xml:space="preserve"> </w:t>
      </w:r>
      <w:r>
        <w:t xml:space="preserve">Oiry</w:t>
      </w:r>
    </w:p>
    <w:p>
      <w:pPr>
        <w:pStyle w:val="Author"/>
      </w:pPr>
      <w:r>
        <w:t xml:space="preserve">Bede</w:t>
      </w:r>
      <w:r>
        <w:t xml:space="preserve"> </w:t>
      </w:r>
      <w:r>
        <w:t xml:space="preserve">Ffinian</w:t>
      </w:r>
      <w:r>
        <w:t xml:space="preserve"> </w:t>
      </w:r>
      <w:r>
        <w:t xml:space="preserve">Rowe</w:t>
      </w:r>
      <w:r>
        <w:t xml:space="preserve"> </w:t>
      </w:r>
      <w:r>
        <w:t xml:space="preserve">Davies</w:t>
      </w:r>
    </w:p>
    <w:p>
      <w:pPr>
        <w:pStyle w:val="Author"/>
      </w:pPr>
      <w:r>
        <w:t xml:space="preserve">Philippe</w:t>
      </w:r>
      <w:r>
        <w:t xml:space="preserve"> </w:t>
      </w:r>
      <w:r>
        <w:t xml:space="preserve">Rosa</w:t>
      </w:r>
    </w:p>
    <w:p>
      <w:pPr>
        <w:pStyle w:val="Author"/>
      </w:pPr>
      <w:r>
        <w:t xml:space="preserve">Augustin</w:t>
      </w:r>
      <w:r>
        <w:t xml:space="preserve"> </w:t>
      </w:r>
      <w:r>
        <w:t xml:space="preserve">Debly</w:t>
      </w:r>
    </w:p>
    <w:p>
      <w:pPr>
        <w:pStyle w:val="Author"/>
      </w:pPr>
      <w:r>
        <w:t xml:space="preserve">Maria</w:t>
      </w:r>
      <w:r>
        <w:t xml:space="preserve"> </w:t>
      </w:r>
      <w:r>
        <w:t xml:space="preserve">Laura</w:t>
      </w:r>
      <w:r>
        <w:t xml:space="preserve"> </w:t>
      </w:r>
      <w:r>
        <w:t xml:space="preserve">Zoffoli</w:t>
      </w:r>
    </w:p>
    <w:p>
      <w:pPr>
        <w:pStyle w:val="Author"/>
      </w:pPr>
      <w:r>
        <w:t xml:space="preserve">Anne-Laure</w:t>
      </w:r>
      <w:r>
        <w:t xml:space="preserve"> </w:t>
      </w:r>
      <w:r>
        <w:t xml:space="preserve">Barillé</w:t>
      </w:r>
    </w:p>
    <w:p>
      <w:pPr>
        <w:pStyle w:val="Author"/>
      </w:pPr>
      <w:r>
        <w:t xml:space="preserve">Nicolas</w:t>
      </w:r>
      <w:r>
        <w:t xml:space="preserve"> </w:t>
      </w:r>
      <w:r>
        <w:t xml:space="preserve">Harin</w:t>
      </w:r>
    </w:p>
    <w:p>
      <w:pPr>
        <w:pStyle w:val="Author"/>
      </w:pPr>
      <w:r>
        <w:t xml:space="preserve">Pierre</w:t>
      </w:r>
      <w:r>
        <w:t xml:space="preserve"> </w:t>
      </w:r>
      <w:r>
        <w:t xml:space="preserve">Gernez</w:t>
      </w:r>
    </w:p>
    <w:p>
      <w:pPr>
        <w:pStyle w:val="Author"/>
      </w:pPr>
      <w:r>
        <w:t xml:space="preserve">Laurent</w:t>
      </w:r>
      <w:r>
        <w:t xml:space="preserve"> </w:t>
      </w:r>
      <w:r>
        <w:t xml:space="preserve">Barillé</w:t>
      </w:r>
    </w:p>
    <w:p>
      <w:pPr>
        <w:pStyle w:val="Date"/>
      </w:pPr>
      <w:r>
        <w:t xml:space="preserve">2024-10-25</w:t>
      </w:r>
    </w:p>
    <w:p>
      <w:pPr>
        <w:pStyle w:val="AbstractTitle"/>
      </w:pPr>
      <w:r>
        <w:t xml:space="preserve">Abstract</w:t>
      </w:r>
    </w:p>
    <w:p>
      <w:pPr>
        <w:pStyle w:val="Abstract"/>
      </w:pPr>
      <w:r>
        <w:t xml:space="preserve">To</w:t>
      </w:r>
      <w:r>
        <w:t xml:space="preserve"> </w:t>
      </w:r>
      <w:r>
        <w:t xml:space="preserve">be</w:t>
      </w:r>
      <w:r>
        <w:t xml:space="preserve"> </w:t>
      </w:r>
      <w:r>
        <w:t xml:space="preserve">written</w:t>
      </w:r>
    </w:p>
    <w:bookmarkStart w:id="20"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0"/>
    <w:bookmarkStart w:id="72" w:name="material-methods"/>
    <w:p>
      <w:pPr>
        <w:pStyle w:val="Heading1"/>
      </w:pPr>
      <w:r>
        <w:t xml:space="preserve">2. Material &amp; Methods</w:t>
      </w:r>
    </w:p>
    <w:bookmarkStart w:id="49" w:name="laboratory-experiment"/>
    <w:p>
      <w:pPr>
        <w:pStyle w:val="Heading2"/>
      </w:pPr>
      <w:r>
        <w:t xml:space="preserve">2.1 Laboratory Experiment</w:t>
      </w:r>
    </w:p>
    <w:bookmarkStart w:id="21"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End w:id="21"/>
    <w:bookmarkStart w:id="38" w:name="experimental-design"/>
    <w:p>
      <w:pPr>
        <w:pStyle w:val="Heading3"/>
      </w:pPr>
      <w:r>
        <w:t xml:space="preserve">2.1.2 Experimental design</w:t>
      </w:r>
    </w:p>
    <w:bookmarkStart w:id="26" w:name="cell-fig-design"/>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334000" cy="5246716"/>
                  <wp:effectExtent b="0" l="0" r="0" t="0"/>
                  <wp:docPr descr="" title="" id="23" name="Picture"/>
                  <a:graphic>
                    <a:graphicData uri="http://schemas.openxmlformats.org/drawingml/2006/picture">
                      <pic:pic>
                        <pic:nvPicPr>
                          <pic:cNvPr descr="Figs/Low_res/Experimental_design.png" id="24" name="Picture"/>
                          <pic:cNvPicPr>
                            <a:picLocks noChangeArrowheads="1" noChangeAspect="1"/>
                          </pic:cNvPicPr>
                        </pic:nvPicPr>
                        <pic:blipFill>
                          <a:blip r:embed="rId22"/>
                          <a:stretch>
                            <a:fillRect/>
                          </a:stretch>
                        </pic:blipFill>
                        <pic:spPr bwMode="auto">
                          <a:xfrm>
                            <a:off x="0" y="0"/>
                            <a:ext cx="5334000" cy="5246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5"/>
        </w:tc>
      </w:tr>
    </w:tbl>
    <w:bookmarkEnd w:id="26"/>
    <w:p>
      <w:pPr>
        <w:pStyle w:val="BodyText"/>
      </w:pPr>
      <w:r>
        <w:t xml:space="preserve">Two intertidal chambers from</w:t>
      </w:r>
      <w:r>
        <w:t xml:space="preserve"> </w:t>
      </w:r>
      <w:hyperlink r:id="rId27">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2" w:name="cell-fig-Temperature_Bourgneuf"/>
    <w:tbl>
      <w:tblPr>
        <w:tblStyle w:val="Table"/>
        <w:tblW w:type="pct" w:w="5000"/>
        <w:tblLayout w:type="fixed"/>
        <w:tblLook w:firstRow="0" w:lastRow="0" w:firstColumn="0" w:lastColumn="0" w:noHBand="0" w:noVBand="0" w:val="0000"/>
      </w:tblPr>
      <w:tblGrid>
        <w:gridCol w:w="7920"/>
      </w:tblGrid>
      <w:tr>
        <w:tc>
          <w:tcPr/>
          <w:bookmarkStart w:id="31" w:name="fig-Temperature_Bourgneuf"/>
          <w:p>
            <w:pPr>
              <w:pStyle w:val="Compact"/>
              <w:jc w:val="center"/>
            </w:pPr>
            <w:r>
              <w:drawing>
                <wp:inline>
                  <wp:extent cx="4267200" cy="4267200"/>
                  <wp:effectExtent b="0" l="0" r="0" t="0"/>
                  <wp:docPr descr="" title="" id="29" name="Picture"/>
                  <a:graphic>
                    <a:graphicData uri="http://schemas.openxmlformats.org/drawingml/2006/picture">
                      <pic:pic>
                        <pic:nvPicPr>
                          <pic:cNvPr descr="Figs/High_res/Temperature_compare.png" id="30" name="Picture"/>
                          <pic:cNvPicPr>
                            <a:picLocks noChangeArrowheads="1" noChangeAspect="1"/>
                          </pic:cNvPicPr>
                        </pic:nvPicPr>
                        <pic:blipFill>
                          <a:blip r:embed="rId28"/>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1"/>
        </w:tc>
      </w:tr>
    </w:tbl>
    <w:bookmarkEnd w:id="32"/>
    <w:p>
      <w:pPr>
        <w:pStyle w:val="BodyText"/>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37" w:name="cell-fig-Profile"/>
    <w:tbl>
      <w:tblPr>
        <w:tblStyle w:val="Table"/>
        <w:tblW w:type="pct" w:w="5000"/>
        <w:tblLayout w:type="fixed"/>
        <w:tblLook w:firstRow="0" w:lastRow="0" w:firstColumn="0" w:lastColumn="0" w:noHBand="0" w:noVBand="0" w:val="0000"/>
      </w:tblPr>
      <w:tblGrid>
        <w:gridCol w:w="7920"/>
      </w:tblGrid>
      <w:tr>
        <w:tc>
          <w:tcPr/>
          <w:bookmarkStart w:id="36" w:name="fig-Profile"/>
          <w:p>
            <w:pPr>
              <w:pStyle w:val="Compact"/>
              <w:jc w:val="center"/>
            </w:pPr>
            <w:r>
              <w:drawing>
                <wp:inline>
                  <wp:extent cx="5334000" cy="2439728"/>
                  <wp:effectExtent b="0" l="0" r="0" t="0"/>
                  <wp:docPr descr="" title="" id="34" name="Picture"/>
                  <a:graphic>
                    <a:graphicData uri="http://schemas.openxmlformats.org/drawingml/2006/picture">
                      <pic:pic>
                        <pic:nvPicPr>
                          <pic:cNvPr descr="Figs/Low_res/Chamber_Profils.png" id="35" name="Picture"/>
                          <pic:cNvPicPr>
                            <a:picLocks noChangeArrowheads="1" noChangeAspect="1"/>
                          </pic:cNvPicPr>
                        </pic:nvPicPr>
                        <pic:blipFill>
                          <a:blip r:embed="rId33"/>
                          <a:stretch>
                            <a:fillRect/>
                          </a:stretch>
                        </pic:blipFill>
                        <pic:spPr bwMode="auto">
                          <a:xfrm>
                            <a:off x="0" y="0"/>
                            <a:ext cx="5334000" cy="2439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6"/>
        </w:tc>
      </w:tr>
    </w:tbl>
    <w:bookmarkEnd w:id="37"/>
    <w:bookmarkEnd w:id="38"/>
    <w:bookmarkStart w:id="48" w:name="Xace924ada36ed3f851fe125e1fb1311c1764a5d"/>
    <w:p>
      <w:pPr>
        <w:pStyle w:val="Heading3"/>
      </w:pPr>
      <w:r>
        <w:t xml:space="preserve">2.1.3 Bio-optical measurmenents over seagrass leaves</w:t>
      </w:r>
    </w:p>
    <w:bookmarkStart w:id="46"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39">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0"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0"/>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1"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1"/>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2"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2"/>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3"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3"/>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pPr>
      <w:bookmarkStart w:id="44" w:name="X3a31938bf86539c795284ace62579f9561da96a"/>
      <w:r>
        <w:t xml:space="preserve">2.1.3.2 WILL BE REMOVED - Multispectral imagery measurement</w:t>
      </w:r>
      <w:bookmarkEnd w:id="44"/>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5">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bookmarkEnd w:id="46"/>
    <w:bookmarkStart w:id="47" w:name="pigment-concentration-measurements"/>
    <w:p>
      <w:pPr>
        <w:pStyle w:val="Heading4"/>
      </w:pPr>
      <w:r>
        <w:t xml:space="preserve">2.1.3.3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7"/>
    <w:bookmarkEnd w:id="48"/>
    <w:bookmarkEnd w:id="49"/>
    <w:bookmarkStart w:id="71"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tbl>
      <w:tblPr>
        <w:tblStyle w:val="Table"/>
        <w:tblW w:type="pct" w:w="5000"/>
        <w:tblLayout w:type="fixed"/>
        <w:tblLook w:firstRow="0" w:lastRow="0" w:firstColumn="0" w:lastColumn="0" w:noHBand="0" w:noVBand="0" w:val="0000"/>
      </w:tblPr>
      <w:tblGrid>
        <w:gridCol w:w="7920"/>
      </w:tblGrid>
      <w:tr>
        <w:tc>
          <w:tcPr/>
          <w:bookmarkStart w:id="53" w:name="fig-quiberonMap"/>
          <w:p>
            <w:pPr>
              <w:pStyle w:val="Compact"/>
              <w:jc w:val="center"/>
            </w:pPr>
            <w:r>
              <w:drawing>
                <wp:inline>
                  <wp:extent cx="5334000" cy="5456777"/>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334000" cy="5456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bookmarkEnd w:id="53"/>
        </w:tc>
      </w:tr>
    </w:tbl>
    <w:bookmarkEnd w:id="54"/>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tbl>
      <w:tblPr>
        <w:tblStyle w:val="Table"/>
        <w:tblW w:type="pct" w:w="5000"/>
        <w:tblLayout w:type="fixed"/>
        <w:tblLook w:firstRow="0" w:lastRow="0" w:firstColumn="0" w:lastColumn="0" w:noHBand="0" w:noVBand="0" w:val="0000"/>
      </w:tblPr>
      <w:tblGrid>
        <w:gridCol w:w="7920"/>
      </w:tblGrid>
      <w:tr>
        <w:tc>
          <w:tcPr/>
          <w:bookmarkStart w:id="58" w:name="fig-QuiberonImg"/>
          <w:p>
            <w:pPr>
              <w:pStyle w:val="Compact"/>
              <w:jc w:val="center"/>
            </w:pPr>
            <w:r>
              <w:drawing>
                <wp:inline>
                  <wp:extent cx="5334000" cy="3526559"/>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bookmarkEnd w:id="58"/>
        </w:tc>
      </w:tr>
    </w:tbl>
    <w:bookmarkEnd w:id="59"/>
    <w:bookmarkEnd w:id="60"/>
    <w:bookmarkStart w:id="64" w:name="X73fb4b6725bb43bdc3c17946b41d73eba45f33b"/>
    <w:p>
      <w:pPr>
        <w:pStyle w:val="Heading3"/>
      </w:pPr>
      <w:r>
        <w:t xml:space="preserve">2.2.2 Temparature Data and identification of heatwaves</w:t>
      </w:r>
    </w:p>
    <w:bookmarkStart w:id="6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2"/>
    <w:bookmarkStart w:id="6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3"/>
    <w:bookmarkEnd w:id="64"/>
    <w:bookmarkStart w:id="65"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5"/>
    <w:bookmarkStart w:id="70" w:name="emersion-time-of-seagrasses"/>
    <w:p>
      <w:pPr>
        <w:pStyle w:val="Heading3"/>
      </w:pPr>
      <w:r>
        <w:t xml:space="preserve">2.2.4 Emersion Time of Seagrasses</w:t>
      </w:r>
    </w:p>
    <w:p>
      <w:pPr>
        <w:pStyle w:val="FirstParagraph"/>
      </w:pPr>
      <w:r>
        <w:t xml:space="preserve">To estimate the emersion time of seagrasses during low tide, both bathymetric and tidal data are required.</w:t>
      </w:r>
    </w:p>
    <w:bookmarkStart w:id="66" w:name="bathymetry"/>
    <w:p>
      <w:pPr>
        <w:pStyle w:val="Heading4"/>
      </w:pPr>
      <w:r>
        <w:t xml:space="preserve">2.2.4.1 Bathymetry</w:t>
      </w:r>
    </w:p>
    <w:p>
      <w:pPr>
        <w:pStyle w:val="FirstParagraph"/>
      </w:pPr>
      <w:r>
        <w:t xml:space="preserve">Bathymetry data for the study site were obtained from the</w:t>
      </w:r>
      <w:r>
        <w:t xml:space="preserve"> </w:t>
      </w:r>
      <w:r>
        <w:t xml:space="preserve">“</w:t>
      </w:r>
      <w:r>
        <w:t xml:space="preserve">Service Hydrographique et Océanographique de la Marine</w:t>
      </w:r>
      <w:r>
        <w:t xml:space="preserve">”</w:t>
      </w:r>
      <w:r>
        <w:t xml:space="preserve"> </w:t>
      </w:r>
      <w:r>
        <w:t xml:space="preserve">(SHOM, 2021)</w:t>
      </w:r>
      <w:r>
        <w:t xml:space="preserve">. Litto3D® is a continuous land-sea elevation database providing a three-dimensional representation of ground shape and position along the coastal fringe of French territory, acquired through airborne bathymetric lidar over the sea and airborne topographic lidar up to 2 km inland, and is available as a gridded digital terrain model. This dataset is The reference</w:t>
      </w:r>
      <w:r>
        <w:t xml:space="preserve"> </w:t>
      </w:r>
      <w:r>
        <w:t xml:space="preserve">“</w:t>
      </w:r>
      <w:r>
        <w:t xml:space="preserve">zero</w:t>
      </w:r>
      <w:r>
        <w:t xml:space="preserve">”</w:t>
      </w:r>
      <w:r>
        <w:t xml:space="preserve"> </w:t>
      </w:r>
      <w:r>
        <w:t xml:space="preserve">of this product is based on the NGF/IGN69, which refers to the mean sea level recorded at the Marseille tide gauge between 1885 and 1897. This reference is known as the Terrestrial Altimetric Zero.</w:t>
      </w:r>
    </w:p>
    <w:bookmarkEnd w:id="66"/>
    <w:bookmarkStart w:id="67" w:name="tides"/>
    <w:p>
      <w:pPr>
        <w:pStyle w:val="Heading4"/>
      </w:pPr>
      <w:r>
        <w:t xml:space="preserve">2.2.4.2 Tides</w:t>
      </w:r>
    </w:p>
    <w:p>
      <w:pPr>
        <w:pStyle w:val="FirstParagraph"/>
      </w:pPr>
      <w:r>
        <w:t xml:space="preserve">Tidal data for the heatwave events at the study site were downloaded from the Intergovernmental Oceanographic Commission data portal</w:t>
      </w:r>
      <w:r>
        <w:t xml:space="preserve"> </w:t>
      </w:r>
      <w:r>
        <w:t xml:space="preserve">(IOC, 2024)</w:t>
      </w:r>
      <w:r>
        <w:t xml:space="preserve">, for the nearest tide gauge located at Le Conquet. The</w:t>
      </w:r>
      <w:r>
        <w:t xml:space="preserve"> </w:t>
      </w:r>
      <w:r>
        <w:t xml:space="preserve">“</w:t>
      </w:r>
      <w:r>
        <w:t xml:space="preserve">zero</w:t>
      </w:r>
      <w:r>
        <w:t xml:space="preserve">”</w:t>
      </w:r>
      <w:r>
        <w:t xml:space="preserve"> </w:t>
      </w:r>
      <w:r>
        <w:t xml:space="preserve">for this dataset corresponds to the lowest astronomical tide, also known as the Hydrographic Zero.</w:t>
      </w:r>
    </w:p>
    <w:bookmarkEnd w:id="67"/>
    <w:bookmarkStart w:id="68" w:name="Xbf264478f974180ffb3bdd3c25bd1d9918635ab"/>
    <w:p>
      <w:pPr>
        <w:pStyle w:val="Heading4"/>
      </w:pPr>
      <w:r>
        <w:t xml:space="preserve">2.2.4.3 Reference intercalibration of both dataset</w:t>
      </w:r>
    </w:p>
    <w:p>
      <w:pPr>
        <w:pStyle w:val="FirstParagraph"/>
      </w:pPr>
      <w:r>
        <w:t xml:space="preserve">Since the altitude references of these two datasets differ, a correction factor must be applied to adjust the reference of one dataset to match the other. The SHOM annually provides a document called</w:t>
      </w:r>
      <w:r>
        <w:t xml:space="preserve"> </w:t>
      </w:r>
      <w:r>
        <w:t xml:space="preserve">“</w:t>
      </w:r>
      <w:r>
        <w:t xml:space="preserve">Références Altimétriques Marines</w:t>
      </w:r>
      <w:r>
        <w:t xml:space="preserve">”</w:t>
      </w:r>
      <w:r>
        <w:t xml:space="preserve"> </w:t>
      </w:r>
      <w:r>
        <w:t xml:space="preserve">(RAM, Shom, 2022)</w:t>
      </w:r>
      <w:r>
        <w:t xml:space="preserve">, which includes correction factors for each seaport along the French coastline. These factors allow, among other things, the conversion of the Terrestrial Altimetric Zero to the Hydrographic Zero. For Le Conquet, the correction factor is 2.850 meters.</w:t>
      </w:r>
    </w:p>
    <w:bookmarkEnd w:id="68"/>
    <w:bookmarkStart w:id="69" w:name="Xa3b522ab30594bb5e4b015ea8aec7ba7e451579"/>
    <w:p>
      <w:pPr>
        <w:pStyle w:val="Heading4"/>
      </w:pPr>
      <w:r>
        <w:t xml:space="preserve">2.2.4.4 Emersion time of each pixels of the Digital Elevation Model</w:t>
      </w:r>
    </w:p>
    <w:p>
      <w:pPr>
        <w:pStyle w:val="FirstParagraph"/>
      </w:pPr>
      <w:r>
        <w:t xml:space="preserve">Once the tidal and bathymetric datasets are aligned to the same reference, water height can be directly compared to ground elevation. For each pixel in the DEM, the elevation was compared to water height across all time points during the heatwave event. Instances when the water level fell below the pixel’s elevation were summed to calculate the total emergence time for each pixel.</w:t>
      </w:r>
    </w:p>
    <w:bookmarkEnd w:id="69"/>
    <w:bookmarkEnd w:id="70"/>
    <w:bookmarkEnd w:id="71"/>
    <w:bookmarkEnd w:id="72"/>
    <w:bookmarkStart w:id="104" w:name="results"/>
    <w:p>
      <w:pPr>
        <w:pStyle w:val="Heading1"/>
      </w:pPr>
      <w:r>
        <w:t xml:space="preserve">3. Results</w:t>
      </w:r>
    </w:p>
    <w:bookmarkStart w:id="79" w:name="laboratory-experiment-1"/>
    <w:p>
      <w:pPr>
        <w:pStyle w:val="Heading2"/>
      </w:pPr>
      <w:r>
        <w:t xml:space="preserve">3.1 Laboratory Experiment</w:t>
      </w:r>
    </w:p>
    <w:bookmarkStart w:id="78" w:name="spectral-inspection"/>
    <w:p>
      <w:pPr>
        <w:pStyle w:val="Heading3"/>
      </w:pPr>
      <w:r>
        <w:t xml:space="preserve">3.1.1 Spectral inspection</w:t>
      </w:r>
    </w:p>
    <w:bookmarkStart w:id="77" w:name="cell-fig-Exp_Spectra"/>
    <w:tbl>
      <w:tblPr>
        <w:tblStyle w:val="Table"/>
        <w:tblW w:type="pct" w:w="5000"/>
        <w:tblLayout w:type="fixed"/>
        <w:tblLook w:firstRow="0" w:lastRow="0" w:firstColumn="0" w:lastColumn="0" w:noHBand="0" w:noVBand="0" w:val="0000"/>
      </w:tblPr>
      <w:tblGrid>
        <w:gridCol w:w="7920"/>
      </w:tblGrid>
      <w:tr>
        <w:tc>
          <w:tcPr/>
          <w:bookmarkStart w:id="76" w:name="fig-Exp_Spectra"/>
          <w:p>
            <w:pPr>
              <w:pStyle w:val="Compact"/>
              <w:jc w:val="center"/>
            </w:pPr>
            <w:r>
              <w:drawing>
                <wp:inline>
                  <wp:extent cx="5334000" cy="2667000"/>
                  <wp:effectExtent b="0" l="0" r="0" t="0"/>
                  <wp:docPr descr="" title="" id="74" name="Picture"/>
                  <a:graphic>
                    <a:graphicData uri="http://schemas.openxmlformats.org/drawingml/2006/picture">
                      <pic:pic>
                        <pic:nvPicPr>
                          <pic:cNvPr descr="Figs/Low_res/plot_Spectra_exp.png" id="75" name="Picture"/>
                          <pic:cNvPicPr>
                            <a:picLocks noChangeArrowheads="1" noChangeAspect="1"/>
                          </pic:cNvPicPr>
                        </pic:nvPicPr>
                        <pic:blipFill>
                          <a:blip r:embed="rId7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bookmarkEnd w:id="76"/>
        </w:tc>
      </w:tr>
    </w:tbl>
    <w:bookmarkEnd w:id="77"/>
    <w:bookmarkEnd w:id="78"/>
    <w:bookmarkEnd w:id="79"/>
    <w:bookmarkStart w:id="103" w:name="heatwaves-of-quiberon"/>
    <w:p>
      <w:pPr>
        <w:pStyle w:val="Heading2"/>
      </w:pPr>
      <w:r>
        <w:t xml:space="preserve">3.2 Heatwaves of Quiberon</w:t>
      </w:r>
    </w:p>
    <w:bookmarkStart w:id="85"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7</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7</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7</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7</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7</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7</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4" w:name="cell-fig-S2_comparison"/>
    <w:tbl>
      <w:tblPr>
        <w:tblStyle w:val="Table"/>
        <w:tblW w:type="pct" w:w="5000"/>
        <w:tblLayout w:type="fixed"/>
        <w:tblLook w:firstRow="0" w:lastRow="0" w:firstColumn="0" w:lastColumn="0" w:noHBand="0" w:noVBand="0" w:val="0000"/>
      </w:tblPr>
      <w:tblGrid>
        <w:gridCol w:w="7920"/>
      </w:tblGrid>
      <w:tr>
        <w:tc>
          <w:tcPr/>
          <w:bookmarkStart w:id="83" w:name="fig-S2_comparison"/>
          <w:p>
            <w:pPr>
              <w:pStyle w:val="Compact"/>
              <w:jc w:val="center"/>
            </w:pPr>
            <w:r>
              <w:drawing>
                <wp:inline>
                  <wp:extent cx="5334000" cy="4536179"/>
                  <wp:effectExtent b="0" l="0" r="0" t="0"/>
                  <wp:docPr descr="" title="" id="81" name="Picture"/>
                  <a:graphic>
                    <a:graphicData uri="http://schemas.openxmlformats.org/drawingml/2006/picture">
                      <pic:pic>
                        <pic:nvPicPr>
                          <pic:cNvPr descr="Figs/Low_res/Heatwaves_S2_plot.png" id="82" name="Picture"/>
                          <pic:cNvPicPr>
                            <a:picLocks noChangeArrowheads="1" noChangeAspect="1"/>
                          </pic:cNvPicPr>
                        </pic:nvPicPr>
                        <pic:blipFill>
                          <a:blip r:embed="rId80"/>
                          <a:stretch>
                            <a:fillRect/>
                          </a:stretch>
                        </pic:blipFill>
                        <pic:spPr bwMode="auto">
                          <a:xfrm>
                            <a:off x="0" y="0"/>
                            <a:ext cx="5334000" cy="4536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83"/>
        </w:tc>
      </w:tr>
    </w:tbl>
    <w:bookmarkEnd w:id="84"/>
    <w:bookmarkEnd w:id="85"/>
    <w:bookmarkStart w:id="91" w:name="radiometric-indices-comparison"/>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8</w:t>
        </w:r>
      </w:hyperlink>
      <w:r>
        <w:t xml:space="preserve">, left column) In contrast, seagrass darkened by the heatwave exhibited a significant decrease in both index values and SPC (</w:t>
      </w:r>
      <w:hyperlink w:anchor="fig-NDVI_GLI_SPC">
        <w:r>
          <w:rPr>
            <w:rStyle w:val="Hyperlink"/>
          </w:rPr>
          <w:t xml:space="preserve">Figure 8</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8</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8</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8</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8</w:t>
        </w:r>
      </w:hyperlink>
      <w:r>
        <w:t xml:space="preserve"> </w:t>
      </w:r>
      <w:r>
        <w:t xml:space="preserve">C green) were denser than the those remained unchanged (median SPC = 85%; [</w:t>
      </w:r>
      <w:hyperlink w:anchor="fig-NDVI_GLI_SPC">
        <w:r>
          <w:rPr>
            <w:rStyle w:val="Hyperlink"/>
          </w:rPr>
          <w:t xml:space="preserve">Figure 8</w:t>
        </w:r>
      </w:hyperlink>
      <w:r>
        <w:t xml:space="preserve"> </w:t>
      </w:r>
      <w:r>
        <w:t xml:space="preserve">D green).</w:t>
      </w:r>
    </w:p>
    <w:bookmarkStart w:id="90" w:name="cell-fig-NDVI_GLI_SPC"/>
    <w:tbl>
      <w:tblPr>
        <w:tblStyle w:val="Table"/>
        <w:tblW w:type="pct" w:w="5000"/>
        <w:tblLayout w:type="fixed"/>
        <w:tblLook w:firstRow="0" w:lastRow="0" w:firstColumn="0" w:lastColumn="0" w:noHBand="0" w:noVBand="0" w:val="0000"/>
      </w:tblPr>
      <w:tblGrid>
        <w:gridCol w:w="7920"/>
      </w:tblGrid>
      <w:tr>
        <w:tc>
          <w:tcPr/>
          <w:bookmarkStart w:id="89" w:name="fig-NDVI_GLI_SPC"/>
          <w:p>
            <w:pPr>
              <w:pStyle w:val="Compact"/>
              <w:jc w:val="center"/>
            </w:pPr>
            <w:r>
              <w:drawing>
                <wp:inline>
                  <wp:extent cx="4267200" cy="6096000"/>
                  <wp:effectExtent b="0" l="0" r="0" t="0"/>
                  <wp:docPr descr="" title="" id="87" name="Picture"/>
                  <a:graphic>
                    <a:graphicData uri="http://schemas.openxmlformats.org/drawingml/2006/picture">
                      <pic:pic>
                        <pic:nvPicPr>
                          <pic:cNvPr descr="Figs/Low_res/Compares_Indices_S2.png" id="88" name="Picture"/>
                          <pic:cNvPicPr>
                            <a:picLocks noChangeArrowheads="1" noChangeAspect="1"/>
                          </pic:cNvPicPr>
                        </pic:nvPicPr>
                        <pic:blipFill>
                          <a:blip r:embed="rId86"/>
                          <a:stretch>
                            <a:fillRect/>
                          </a:stretch>
                        </pic:blipFill>
                        <pic:spPr bwMode="auto">
                          <a:xfrm>
                            <a:off x="0" y="0"/>
                            <a:ext cx="42672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bookmarkEnd w:id="89"/>
        </w:tc>
      </w:tr>
    </w:tbl>
    <w:bookmarkEnd w:id="90"/>
    <w:bookmarkEnd w:id="91"/>
    <w:bookmarkStart w:id="102" w:name="mapping-of-the-seagrass-darkening"/>
    <w:p>
      <w:pPr>
        <w:pStyle w:val="Heading3"/>
      </w:pPr>
      <w:r>
        <w:t xml:space="preserve">3.2.3 Mapping of the seagrass darkening</w:t>
      </w:r>
    </w:p>
    <w:p>
      <w:pPr>
        <w:pStyle w:val="FirstParagraph"/>
      </w:pPr>
      <w:r>
        <w:t xml:space="preserve">Using the</w:t>
      </w:r>
      <w:r>
        <w:t xml:space="preserve"> </w:t>
      </w:r>
      <w:r>
        <w:rPr>
          <w:b/>
          <w:bCs/>
        </w:rPr>
        <w:t xml:space="preserve">EquationExperimental</w:t>
      </w:r>
      <w:r>
        <w:t xml:space="preserve">, we can detect seagrass patches that have darkened. Following the heatwave events, a total of 20.64 hectares of seagrass darkened, with the largest affected patch covering nearly 3 hectares. Overall, 19 % of the total seagrass meadow area showed signs of darkening between the 1st and 6th of September 2021. Comparing the spatial distribution of darkened patches with the site’s bathymetry reveals that 97.3 % of darkened areas are located at above 3.9 meters of bathymetry</w:t>
      </w:r>
      <w:r>
        <w:t xml:space="preserve"> </w:t>
      </w:r>
      <w:hyperlink w:anchor="fig-Map_darkening_Bathy">
        <w:r>
          <w:rPr>
            <w:rStyle w:val="Hyperlink"/>
          </w:rPr>
          <w:t xml:space="preserve">Figure 9</w:t>
        </w:r>
      </w:hyperlink>
      <w:r>
        <w:t xml:space="preserve">.</w:t>
      </w:r>
    </w:p>
    <w:bookmarkStart w:id="96" w:name="cell-fig-Map_darkening_Bathy"/>
    <w:tbl>
      <w:tblPr>
        <w:tblStyle w:val="Table"/>
        <w:tblW w:type="pct" w:w="5000"/>
        <w:tblLayout w:type="fixed"/>
        <w:tblLook w:firstRow="0" w:lastRow="0" w:firstColumn="0" w:lastColumn="0" w:noHBand="0" w:noVBand="0" w:val="0000"/>
      </w:tblPr>
      <w:tblGrid>
        <w:gridCol w:w="7920"/>
      </w:tblGrid>
      <w:tr>
        <w:tc>
          <w:tcPr/>
          <w:bookmarkStart w:id="95" w:name="fig-Map_darkening_Bathy"/>
          <w:p>
            <w:pPr>
              <w:pStyle w:val="Compact"/>
              <w:jc w:val="center"/>
            </w:pPr>
            <w:r>
              <w:drawing>
                <wp:inline>
                  <wp:extent cx="5334000" cy="4987290"/>
                  <wp:effectExtent b="0" l="0" r="0" t="0"/>
                  <wp:docPr descr="" title="" id="93" name="Picture"/>
                  <a:graphic>
                    <a:graphicData uri="http://schemas.openxmlformats.org/drawingml/2006/picture">
                      <pic:pic>
                        <pic:nvPicPr>
                          <pic:cNvPr descr="Figs/Low_res/Map_darkening_Bathy.png" id="94" name="Picture"/>
                          <pic:cNvPicPr>
                            <a:picLocks noChangeArrowheads="1" noChangeAspect="1"/>
                          </pic:cNvPicPr>
                        </pic:nvPicPr>
                        <pic:blipFill>
                          <a:blip r:embed="rId92"/>
                          <a:stretch>
                            <a:fillRect/>
                          </a:stretch>
                        </pic:blipFill>
                        <pic:spPr bwMode="auto">
                          <a:xfrm>
                            <a:off x="0" y="0"/>
                            <a:ext cx="5334000" cy="49872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Map of the Darkening of seagrasses during the heatwave events of September 2021 in Quiberon. A: 1m bathymetry isobar (golden line); B: Result of the detection of darkened seagrass patches (Blue plolygons)</w:t>
            </w:r>
          </w:p>
          <w:bookmarkEnd w:id="95"/>
        </w:tc>
      </w:tr>
    </w:tbl>
    <w:bookmarkEnd w:id="96"/>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 hours. However, when exposure reached 13 hours or more per day, seagrasses began to darken, peaking at around 14.5 hours of daily exposure</w:t>
      </w:r>
      <w:r>
        <w:t xml:space="preserve"> </w:t>
      </w:r>
      <w:hyperlink w:anchor="fig-GAM_Emersion">
        <w:r>
          <w:rPr>
            <w:rStyle w:val="Hyperlink"/>
          </w:rPr>
          <w:t xml:space="preserve">Figure 10</w:t>
        </w:r>
      </w:hyperlink>
      <w:r>
        <w:t xml:space="preserve">.</w:t>
      </w:r>
    </w:p>
    <w:bookmarkStart w:id="101" w:name="cell-fig-GAM_Emersion"/>
    <w:tbl>
      <w:tblPr>
        <w:tblStyle w:val="Table"/>
        <w:tblW w:type="pct" w:w="5000"/>
        <w:tblLayout w:type="fixed"/>
        <w:tblLook w:firstRow="0" w:lastRow="0" w:firstColumn="0" w:lastColumn="0" w:noHBand="0" w:noVBand="0" w:val="0000"/>
      </w:tblPr>
      <w:tblGrid>
        <w:gridCol w:w="7920"/>
      </w:tblGrid>
      <w:tr>
        <w:tc>
          <w:tcPr/>
          <w:bookmarkStart w:id="100" w:name="fig-GAM_Emersion"/>
          <w:p>
            <w:pPr>
              <w:pStyle w:val="Compact"/>
              <w:jc w:val="center"/>
            </w:pPr>
            <w:r>
              <w:drawing>
                <wp:inline>
                  <wp:extent cx="5334000" cy="2667000"/>
                  <wp:effectExtent b="0" l="0" r="0" t="0"/>
                  <wp:docPr descr="" title="" id="98" name="Picture"/>
                  <a:graphic>
                    <a:graphicData uri="http://schemas.openxmlformats.org/drawingml/2006/picture">
                      <pic:pic>
                        <pic:nvPicPr>
                          <pic:cNvPr descr="Figs/Low_res/GAM_emersion.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change in the Green Leaf Index (GLI) before and during heatwave events as a function of the daily emergence time of seagrasses. The line represents a Generalized Linear Model (GLM) prediction, and the shaded area indicates the standard error. Shaded points represent raw data, with each point corresponding to a single pixel.</w:t>
            </w:r>
          </w:p>
          <w:bookmarkEnd w:id="100"/>
        </w:tc>
      </w:tr>
    </w:tbl>
    <w:bookmarkEnd w:id="101"/>
    <w:bookmarkEnd w:id="102"/>
    <w:bookmarkEnd w:id="103"/>
    <w:bookmarkEnd w:id="104"/>
    <w:bookmarkStart w:id="146" w:name="bibliography"/>
    <w:p>
      <w:pPr>
        <w:pStyle w:val="Heading1"/>
      </w:pPr>
      <w:r>
        <w:t xml:space="preserve">4. Bibliography</w:t>
      </w:r>
    </w:p>
    <w:bookmarkStart w:id="145" w:name="refs"/>
    <w:bookmarkStart w:id="10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05"/>
    <w:bookmarkStart w:id="106"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06"/>
    <w:bookmarkStart w:id="108"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07">
        <w:r>
          <w:rPr>
            <w:rStyle w:val="Hyperlink"/>
          </w:rPr>
          <w:t xml:space="preserve">https://doi.org/10.48670/moi-00311</w:t>
        </w:r>
      </w:hyperlink>
    </w:p>
    <w:bookmarkEnd w:id="108"/>
    <w:bookmarkStart w:id="109" w:name="ref-deguette2022physiological"/>
    <w:p>
      <w:pPr>
        <w:pStyle w:val="Bibliography"/>
      </w:pPr>
      <w:r>
        <w:t xml:space="preserve">Deguette, A., Barrote, I., Silva, J., 2022. Physiological and morphological effects of a marine heatwave on the seagrass cymodocea nodosa. Scientific Reports 12, 7950.</w:t>
      </w:r>
    </w:p>
    <w:bookmarkEnd w:id="109"/>
    <w:bookmarkStart w:id="110" w:name="ref-sen2cor"/>
    <w:p>
      <w:pPr>
        <w:pStyle w:val="Bibliography"/>
      </w:pPr>
      <w:r>
        <w:t xml:space="preserve">European Space Agency, 2024b. Sen2Cor: Sentinel-2 atmospheric correction processor.</w:t>
      </w:r>
    </w:p>
    <w:bookmarkEnd w:id="110"/>
    <w:bookmarkStart w:id="111" w:name="ref-copernicus_sentinel2"/>
    <w:p>
      <w:pPr>
        <w:pStyle w:val="Bibliography"/>
      </w:pPr>
      <w:r>
        <w:t xml:space="preserve">European Space Agency, 2024a. Copernicus open access hub.</w:t>
      </w:r>
    </w:p>
    <w:bookmarkEnd w:id="111"/>
    <w:bookmarkStart w:id="112" w:name="ref-gardner2018global"/>
    <w:p>
      <w:pPr>
        <w:pStyle w:val="Bibliography"/>
      </w:pPr>
      <w:r>
        <w:t xml:space="preserve">Gardner, R.C., Finlayson, C., 2018. Global wetland outlook: State of the world’s wetlands and their services to people, in: Ramsar Convention Secretariat. pp. 2020–5.</w:t>
      </w:r>
    </w:p>
    <w:bookmarkEnd w:id="112"/>
    <w:bookmarkStart w:id="11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13"/>
    <w:bookmarkStart w:id="114"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14"/>
    <w:bookmarkStart w:id="115"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15"/>
    <w:bookmarkStart w:id="116" w:name="ref-huete2012vegetation"/>
    <w:p>
      <w:pPr>
        <w:pStyle w:val="Bibliography"/>
      </w:pPr>
      <w:r>
        <w:t xml:space="preserve">Huete, A.R., 2012. Vegetation indices, remote sensing and forest monitoring. Geography Compass 6, 513–532.</w:t>
      </w:r>
    </w:p>
    <w:bookmarkEnd w:id="116"/>
    <w:bookmarkStart w:id="118" w:name="ref-ioc_sea_level_lecy"/>
    <w:p>
      <w:pPr>
        <w:pStyle w:val="Bibliography"/>
      </w:pPr>
      <w:r>
        <w:t xml:space="preserve">IOC, 2024.</w:t>
      </w:r>
      <w:r>
        <w:t xml:space="preserve"> </w:t>
      </w:r>
      <w:hyperlink r:id="rId117">
        <w:r>
          <w:rPr>
            <w:rStyle w:val="Hyperlink"/>
          </w:rPr>
          <w:t xml:space="preserve">Intergovernmental oceanographic commission ; sea level monitoring station - le conquet, france (LECY)</w:t>
        </w:r>
      </w:hyperlink>
      <w:r>
        <w:t xml:space="preserve">.</w:t>
      </w:r>
    </w:p>
    <w:bookmarkEnd w:id="118"/>
    <w:bookmarkStart w:id="119"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19"/>
    <w:bookmarkStart w:id="120" w:name="ref-kloos2021agricultural"/>
    <w:p>
      <w:pPr>
        <w:pStyle w:val="Bibliography"/>
      </w:pPr>
      <w:r>
        <w:t xml:space="preserve">Kloos, S., Yuan, Y., Castelli, M., Menzel, A., 2021. Agricultural drought detection with MODIS based vegetation health indices in southeast germany. Remote Sensing 13, 3907.</w:t>
      </w:r>
    </w:p>
    <w:bookmarkEnd w:id="120"/>
    <w:bookmarkStart w:id="121"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1"/>
    <w:bookmarkStart w:id="122"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22"/>
    <w:bookmarkStart w:id="123" w:name="ref-perkins2013measurement"/>
    <w:p>
      <w:pPr>
        <w:pStyle w:val="Bibliography"/>
      </w:pPr>
      <w:r>
        <w:t xml:space="preserve">Perkins, S.E., Alexander, L.V., 2013. On the measurement of heat waves. Journal of climate 26, 4500–4517.</w:t>
      </w:r>
    </w:p>
    <w:bookmarkEnd w:id="123"/>
    <w:bookmarkStart w:id="124" w:name="ref-ramesh2020seagrass"/>
    <w:p>
      <w:pPr>
        <w:pStyle w:val="Bibliography"/>
      </w:pPr>
      <w:r>
        <w:t xml:space="preserve">Ramesh, C., Mohanraju, R., 2020. Seagrass ecosystems of andaman and nicobar islands: Status and future perspective. Environmental &amp; Earth Sciences Research Journal 7.</w:t>
      </w:r>
    </w:p>
    <w:bookmarkEnd w:id="124"/>
    <w:bookmarkStart w:id="125" w:name="ref-rouse1974monitoring"/>
    <w:p>
      <w:pPr>
        <w:pStyle w:val="Bibliography"/>
      </w:pPr>
      <w:r>
        <w:t xml:space="preserve">Rouse, J.W., Haas, R.H., Schell, J.A., Deering, D.W., others, 1974. Monitoring vegetation systems in the great plains with ERTS. NASA Spec. Publ 351, 309.</w:t>
      </w:r>
    </w:p>
    <w:bookmarkEnd w:id="125"/>
    <w:bookmarkStart w:id="126"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26"/>
    <w:bookmarkStart w:id="127" w:name="ref-schlegel2017nearshore"/>
    <w:p>
      <w:pPr>
        <w:pStyle w:val="Bibliography"/>
      </w:pPr>
      <w:r>
        <w:t xml:space="preserve">Schlegel, R.W., Oliver, E.C., Wernberg, T., Smit, A.J., 2017. Nearshore and offshore co-occurrence of marine heatwaves and cold-spells. Progress in Oceanography 151, 189–205.</w:t>
      </w:r>
    </w:p>
    <w:bookmarkEnd w:id="127"/>
    <w:bookmarkStart w:id="129"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28">
        <w:r>
          <w:rPr>
            <w:rStyle w:val="Hyperlink"/>
          </w:rPr>
          <w:t xml:space="preserve">https://doi.org/10.21105/joss.00821</w:t>
        </w:r>
      </w:hyperlink>
    </w:p>
    <w:bookmarkEnd w:id="129"/>
    <w:bookmarkStart w:id="130"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0"/>
    <w:bookmarkStart w:id="131"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1"/>
    <w:bookmarkStart w:id="133" w:name="ref-shom_ram_2022"/>
    <w:p>
      <w:pPr>
        <w:pStyle w:val="Bibliography"/>
      </w:pPr>
      <w:r>
        <w:t xml:space="preserve">Shom, 2022.</w:t>
      </w:r>
      <w:r>
        <w:t xml:space="preserve"> </w:t>
      </w:r>
      <w:hyperlink r:id="rId132">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33"/>
    <w:bookmarkStart w:id="135" w:name="Xbef41143b4d4042e58f11cfc27e216202646012"/>
    <w:p>
      <w:pPr>
        <w:pStyle w:val="Bibliography"/>
      </w:pPr>
      <w:r>
        <w:t xml:space="preserve">SHOM, 2021.</w:t>
      </w:r>
      <w:r>
        <w:t xml:space="preserve"> </w:t>
      </w:r>
      <w:hyperlink r:id="rId134">
        <w:r>
          <w:rPr>
            <w:rStyle w:val="Hyperlink"/>
          </w:rPr>
          <w:t xml:space="preserve">Service hydrographique et océanographique de la marine ; bathymétrie Litto3D® bretagne 2018-2021</w:t>
        </w:r>
      </w:hyperlink>
      <w:r>
        <w:t xml:space="preserve">.</w:t>
      </w:r>
    </w:p>
    <w:bookmarkEnd w:id="135"/>
    <w:bookmarkStart w:id="136"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36"/>
    <w:bookmarkStart w:id="137"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37"/>
    <w:bookmarkStart w:id="13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38"/>
    <w:bookmarkStart w:id="139" w:name="ref-unsworth2022planetary"/>
    <w:p>
      <w:pPr>
        <w:pStyle w:val="Bibliography"/>
      </w:pPr>
      <w:r>
        <w:t xml:space="preserve">Unsworth, R.K., Cullen-Unsworth, L.C., Jones, B.L., Lilley, R.J., 2022. The planetary role of seagrass conservation. Science 377, 609–613.</w:t>
      </w:r>
    </w:p>
    <w:bookmarkEnd w:id="139"/>
    <w:bookmarkStart w:id="14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0"/>
    <w:bookmarkStart w:id="14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1"/>
    <w:bookmarkStart w:id="142"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42"/>
    <w:bookmarkStart w:id="143"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43"/>
    <w:bookmarkStart w:id="144"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97" Target="media/rId97.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hyperlink" Id="rId132" Target="https://diffusion.shom.fr/references-altimetriques-maritimes-ram.html" TargetMode="External" /><Relationship Type="http://schemas.openxmlformats.org/officeDocument/2006/relationships/hyperlink" Id="rId128" Target="https://doi.org/10.21105/joss.00821" TargetMode="External" /><Relationship Type="http://schemas.openxmlformats.org/officeDocument/2006/relationships/hyperlink" Id="rId107"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4"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7"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32" Target="https://diffusion.shom.fr/references-altimetriques-maritimes-ram.html" TargetMode="External" /><Relationship Type="http://schemas.openxmlformats.org/officeDocument/2006/relationships/hyperlink" Id="rId128" Target="https://doi.org/10.21105/joss.00821" TargetMode="External" /><Relationship Type="http://schemas.openxmlformats.org/officeDocument/2006/relationships/hyperlink" Id="rId107"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4"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7"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 Effect of Atmospheric Heatwaves on Reflectance and Pigment Composition of Intertidal Nanozostera noltei – Draft</dc:title>
  <dc:creator>Simon Oiry; Bede Ffinian Rowe Davies; Philippe Rosa; Augustin Debly; Maria Laura Zoffoli; Anne-Laure Barillé; Nicolas Harin; Pierre Gernez; Laurent Barillé</dc:creator>
  <cp:keywords>Remote Sensing, Pigment Composition, Seagrass, Coastal Ecosystems, Heatwaves</cp:keywords>
  <dcterms:created xsi:type="dcterms:W3CDTF">2024-10-25T16:22:23Z</dcterms:created>
  <dcterms:modified xsi:type="dcterms:W3CDTF">2024-10-25T16:22:23Z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2024-10-25</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