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05.png" ContentType="image/png"/>
  <Override PartName="/word/media/rId108.png" ContentType="image/png"/>
  <Override PartName="/word/media/rId80.png" ContentType="image/png"/>
  <Override PartName="/word/media/rId24.png" ContentType="image/png"/>
  <Override PartName="/word/media/rId91.png" ContentType="image/png"/>
  <Override PartName="/word/media/rId74.png" ContentType="image/png"/>
  <Override PartName="/word/media/rId86.png" ContentType="image/png"/>
  <Override PartName="/word/media/rId112.png" ContentType="image/png"/>
  <Override PartName="/word/media/rId41.png" ContentType="image/png"/>
  <Override PartName="/word/media/rId46.png" ContentType="image/png"/>
  <Override PartName="/word/media/rId66.png" ContentType="image/png"/>
  <Override PartName="/word/media/rId60.png" ContentType="image/png"/>
  <Override PartName="/word/media/rId2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Effect of Marine and Atmospheric Heatwaves on Reflectance and Pigment Composition of Intertidal</w:t>
      </w:r>
      <w:r>
        <w:t xml:space="preserve"> </w:t>
      </w:r>
      <w:r>
        <w:rPr>
          <w:i/>
          <w:iCs/>
        </w:rPr>
        <w:t xml:space="preserve">Zostera noltei</w:t>
      </w:r>
    </w:p>
    <w:p>
      <w:pPr>
        <w:pStyle w:val="Author"/>
      </w:pPr>
      <w:r>
        <w:t xml:space="preserve">Simon Oiry</w:t>
      </w:r>
      <w:r>
        <w:rPr>
          <w:rStyle w:val="FootnoteReference"/>
        </w:rPr>
        <w:footnoteReference w:id="20"/>
      </w:r>
    </w:p>
    <w:p>
      <w:pPr>
        <w:pStyle w:val="Author"/>
      </w:pPr>
      <w:r>
        <w:t xml:space="preserve">Bede Ffinian Rowe Davies¹</w:t>
      </w:r>
    </w:p>
    <w:p>
      <w:pPr>
        <w:pStyle w:val="Author"/>
      </w:pPr>
      <w:r>
        <w:t xml:space="preserve">Philippe Rosa¹</w:t>
      </w:r>
    </w:p>
    <w:p>
      <w:pPr>
        <w:pStyle w:val="Author"/>
      </w:pPr>
      <w:r>
        <w:t xml:space="preserve">Augustin Debly¹</w:t>
      </w:r>
    </w:p>
    <w:p>
      <w:pPr>
        <w:pStyle w:val="Author"/>
      </w:pPr>
      <w:r>
        <w:t xml:space="preserve">Maria Laura Zoffoli</w:t>
      </w:r>
      <w:r>
        <w:rPr>
          <w:rStyle w:val="FootnoteReference"/>
        </w:rPr>
        <w:footnoteReference w:id="21"/>
      </w:r>
    </w:p>
    <w:p>
      <w:pPr>
        <w:pStyle w:val="Author"/>
      </w:pPr>
      <w:r>
        <w:t xml:space="preserve">Anne-Laure Barillé</w:t>
      </w:r>
      <w:r>
        <w:rPr>
          <w:rStyle w:val="FootnoteReference"/>
        </w:rPr>
        <w:footnoteReference w:id="22"/>
      </w:r>
    </w:p>
    <w:p>
      <w:pPr>
        <w:pStyle w:val="Author"/>
      </w:pPr>
      <w:r>
        <w:t xml:space="preserve">Nicolas Harin³</w:t>
      </w:r>
    </w:p>
    <w:p>
      <w:pPr>
        <w:pStyle w:val="Author"/>
      </w:pPr>
      <w:r>
        <w:t xml:space="preserve">Pierre Gernez¹</w:t>
      </w:r>
    </w:p>
    <w:p>
      <w:pPr>
        <w:pStyle w:val="Author"/>
      </w:pPr>
      <w:r>
        <w:t xml:space="preserve">Laurent Barillé¹</w:t>
      </w:r>
    </w:p>
    <w:p>
      <w:pPr>
        <w:pStyle w:val="Date"/>
      </w:pPr>
      <w:r>
        <w:t xml:space="preserve">2024-11-13</w:t>
      </w:r>
    </w:p>
    <w:p>
      <w:pPr>
        <w:pStyle w:val="AbstractTitle"/>
      </w:pPr>
      <w:r>
        <w:t xml:space="preserve">Abstract</w:t>
      </w:r>
    </w:p>
    <w:p>
      <w:pPr>
        <w:pStyle w:val="Abstract"/>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w:t>
      </w:r>
    </w:p>
    <w:bookmarkStart w:id="23"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(Sousa et al., 2019; Unsworth et al., 2022)</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(Zoffoli et al., 2021)</w:t>
      </w:r>
      <w:r>
        <w:t xml:space="preserve">. The interactions between seagrass meadows and their associated herbivores further enhance the delivery of ecosystem services, including coastal protection and fisheries support</w:t>
      </w:r>
      <w:r>
        <w:t xml:space="preserve"> </w:t>
      </w:r>
      <w:r>
        <w:t xml:space="preserve">(Gardner and Finlayson, 2018; Jankowska et al., 2019; Zoffoli et al., 2023)</w:t>
      </w:r>
      <w:r>
        <w:t xml:space="preserve">. Understanding and preserving these ecosystems are vital for maintaining the biodiversity and productivity of coastal regions</w:t>
      </w:r>
      <w:r>
        <w:t xml:space="preserve"> </w:t>
      </w:r>
      <w:r>
        <w:t xml:space="preserve">(Ramesh and Mohanraju, 2020; Scott et al., 2018)</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which not only reduce the available habitat for seagrasses but also increase water turbidity, which limits light penetration and photosynthesis</w:t>
      </w:r>
      <w:r>
        <w:t xml:space="preserve"> </w:t>
      </w:r>
      <w:r>
        <w:t xml:space="preserve">(Waycott et al., 2009)</w:t>
      </w:r>
      <w:r>
        <w:t xml:space="preserve">. Seagrasses are also threatened by nutrient enrichment from agricultural and urban runoff, leading to eutrophication. This condition promotes the rapid growth of algale causing blooms that compete with seagrasses for light and nutrients, further stressing these important plants</w:t>
      </w:r>
      <w:r>
        <w:t xml:space="preserve"> </w:t>
      </w:r>
      <w:r>
        <w:t xml:space="preserve">(Thomsen et al., 2023)</w:t>
      </w:r>
      <w:r>
        <w:t xml:space="preserve"> </w:t>
      </w:r>
      <w:r>
        <w:t xml:space="preserve">(Oiry et al. 2024). Pollution from industrial and agricultural sources introduce harmful chemicals and heavy metals into coastal waters, posing toxic risks to seagrass health (</w:t>
      </w:r>
      <w:r>
        <w:rPr>
          <w:b/>
          <w:bCs/>
        </w:rPr>
        <w:t xml:space="preserve">Citation</w:t>
      </w:r>
      <w:r>
        <w:t xml:space="preserve">). These pollutants can affect the physiological processes of seagrasses, reducing their growth and survival rates</w:t>
      </w:r>
      <w:r>
        <w:t xml:space="preserve"> </w:t>
      </w:r>
      <w:r>
        <w:t xml:space="preserve">(Sevgi and Leblebici, 2022)</w:t>
      </w:r>
      <w:r>
        <w:t xml:space="preserve">.</w:t>
      </w:r>
    </w:p>
    <w:p>
      <w:pPr>
        <w:pStyle w:val="BodyText"/>
      </w:pPr>
      <w:r>
        <w:t xml:space="preserve">Heatwaves, exacerbated by climate change, pose a growing threat to seagrasses. Marine Heatwaves (MHW), defined by</w:t>
      </w:r>
      <w:r>
        <w:t xml:space="preserve"> </w:t>
      </w:r>
      <w:r>
        <w:t xml:space="preserve">Hobday et al. (2016)</w:t>
      </w:r>
      <w:r>
        <w:t xml:space="preserve"> </w:t>
      </w:r>
      <w:r>
        <w:t xml:space="preserve">as prolonged discrete anomalously warm water events, and Atmospheric Heatwaves (AHW), defined by</w:t>
      </w:r>
      <w:r>
        <w:t xml:space="preserve"> </w:t>
      </w:r>
      <w:r>
        <w:t xml:space="preserve">Perkins and Alexander (2013)</w:t>
      </w:r>
      <w:r>
        <w:t xml:space="preserve"> </w:t>
      </w:r>
      <w:r>
        <w:t xml:space="preserve">as periods of at least three consecutive days with temperatures exceeding the 90th percentile, cause severe physiological stress on seagrasses</w:t>
      </w:r>
      <w:r>
        <w:t xml:space="preserve"> </w:t>
      </w:r>
      <w:r>
        <w:t xml:space="preserve">(Deguette et al., 2022; Sawall et al., 2021)</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(Sawall et al., 2021)</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(Deguette et al., 2022)</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(Winters et al., 2011)</w:t>
      </w:r>
      <w:r>
        <w:t xml:space="preserve">. These events intensify other stressors, such as overgrazing and seed burial, compromising recruitment</w:t>
      </w:r>
      <w:r>
        <w:t xml:space="preserve"> </w:t>
      </w:r>
      <w:r>
        <w:t xml:space="preserve">(Guerrero-Meseguer et al., 2020)</w:t>
      </w:r>
      <w:r>
        <w:t xml:space="preserve">.</w:t>
      </w:r>
    </w:p>
    <w:p>
      <w:pPr>
        <w:pStyle w:val="BodyText"/>
      </w:pPr>
      <w:r>
        <w:t xml:space="preserve">Remote sensing is increasingly being used to monitor marine ecosystems, including intertidal seagrass meadows</w:t>
      </w:r>
      <w:r>
        <w:t xml:space="preserve"> </w:t>
      </w:r>
      <w:r>
        <w:t xml:space="preserve">(Davies et al., 2024a, 2024b)</w:t>
      </w:r>
      <w:r>
        <w:t xml:space="preserve">. Spectral indices such as the Normalized Difference Vegetation Index (NDVI) and the Soil-Adjusted Vegetation Index (SAVI) are effective for quantifying vegetation health over time</w:t>
      </w:r>
      <w:r>
        <w:t xml:space="preserve"> </w:t>
      </w:r>
      <w:r>
        <w:t xml:space="preserve">(Akbar et al., 2020; Cârlan et al., 2020; Huete, 2012; Kloos et al., 2021)</w:t>
      </w:r>
      <w:r>
        <w:t xml:space="preserve">. By analyzing specific spectral patterns, remote sensing can track changes in seagrass meadows with high temporal and spatial resolution. The European Union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(Papathanasopoulou et al., 2019)</w:t>
      </w:r>
      <w:r>
        <w:t xml:space="preserve">.</w:t>
      </w:r>
    </w:p>
    <w:p>
      <w:pPr>
        <w:pStyle w:val="BodyText"/>
      </w:pPr>
      <w:r>
        <w:t xml:space="preserve">This study aims to experimentally test the hypothesis that warm events, such as atmospheric heatwaves, alter the pigment composition and reflectance of the intertidal seagrass Zostera noltei. By linking these changes with satellite remote sensing data, the study seeks to provide insights into how heatwaves affect seagrass meadows and to assess the potential of remote sensing in monitoring these impacts</w:t>
      </w:r>
    </w:p>
    <w:bookmarkEnd w:id="23"/>
    <w:bookmarkStart w:id="59" w:name="material-methods"/>
    <w:p>
      <w:pPr>
        <w:pStyle w:val="Heading1"/>
      </w:pPr>
      <w:r>
        <w:t xml:space="preserve">2. Material &amp; Methods</w:t>
      </w:r>
    </w:p>
    <w:bookmarkStart w:id="40" w:name="laboratory-experiment"/>
    <w:p>
      <w:pPr>
        <w:pStyle w:val="Heading2"/>
      </w:pPr>
      <w:r>
        <w:t xml:space="preserve">2.1 Laboratory Experiment</w:t>
      </w:r>
    </w:p>
    <w:bookmarkStart w:id="29" w:name="sampling-and-acclimation-of-seagrasses"/>
    <w:p>
      <w:pPr>
        <w:pStyle w:val="Heading3"/>
      </w:pPr>
      <w:r>
        <w:t xml:space="preserve">2.1.1 Sampling and acclimation of seagrasses</w:t>
      </w:r>
    </w:p>
    <w:p>
      <w:pPr>
        <w:pStyle w:val="FirstParagraph"/>
      </w:pPr>
      <w:r>
        <w:t xml:space="preserve">Seagrass sampled were taken from a</w:t>
      </w:r>
      <w:r>
        <w:t xml:space="preserve"> </w:t>
      </w:r>
      <w:r>
        <w:rPr>
          <w:i/>
          <w:iCs/>
        </w:rPr>
        <w:t xml:space="preserve">Zostera noltei</w:t>
      </w:r>
      <w:r>
        <w:t xml:space="preserve"> </w:t>
      </w:r>
      <w:r>
        <w:t xml:space="preserve">(dwarf eelgrass) meadow on Noirmoutier Island, France (46°57’32.0”N, 2°10’37.0”W) at low tide in June 2024. A home-made metal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limitated sampling variability between replicates. The entire system, including seagrass, sediment, meiofauna, and macrofauna, was placed in plastic trays together. Keeping the entire system allowed for the natural interactions between components to be maintained and reduced stress to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w:t>
      </w:r>
      <w:r>
        <w:t xml:space="preserve"> </w:t>
      </w:r>
      <w:r>
        <w:rPr>
          <w:i/>
          <w:iCs/>
        </w:rPr>
        <w:t xml:space="preserve">in situ</w:t>
      </w:r>
      <w:r>
        <w:t xml:space="preserve"> </w:t>
      </w:r>
      <w:r>
        <w:t xml:space="preserve">temperature during sampling, and with light of 150 µmol.s-1.m-2 of PAR photons</w:t>
      </w:r>
      <w:r>
        <w:t xml:space="preserve"> </w:t>
      </w:r>
      <w:r>
        <w:t xml:space="preserve">(Akbar et al., 2020)</w:t>
      </w:r>
      <w:r>
        <w:t xml:space="preserve">. During high tide, a pump allowed the water to circulate and to re-oxygenate.</w:t>
      </w:r>
    </w:p>
    <w:bookmarkStart w:id="28" w:name="cell-fig-design"/>
    <w:tbl>
      <w:tblPr>
        <w:tblStyle w:val="Table"/>
        <w:tblW w:type="pct" w:w="5000"/>
        <w:tblLayout w:type="fixed"/>
        <w:tblLook w:firstRow="0" w:lastRow="0" w:firstColumn="0" w:lastColumn="0" w:noHBand="0" w:noVBand="0" w:val="0000"/>
      </w:tblPr>
      <w:tblGrid>
        <w:gridCol w:w="7920"/>
      </w:tblGrid>
      <w:tr>
        <w:tc>
          <w:tcPr/>
          <w:bookmarkStart w:id="27" w:name="fig-design"/>
          <w:p>
            <w:pPr>
              <w:pStyle w:val="Compact"/>
              <w:jc w:val="center"/>
            </w:pPr>
            <w:r>
              <w:drawing>
                <wp:inline>
                  <wp:extent cx="5646420" cy="5554024"/>
                  <wp:effectExtent b="0" l="0" r="0" t="0"/>
                  <wp:docPr descr="" title="" id="25" name="Picture"/>
                  <a:graphic>
                    <a:graphicData uri="http://schemas.openxmlformats.org/drawingml/2006/picture">
                      <pic:pic>
                        <pic:nvPicPr>
                          <pic:cNvPr descr="Figs/Low_res/Experimental_design.png" id="26" name="Picture"/>
                          <pic:cNvPicPr>
                            <a:picLocks noChangeArrowheads="1" noChangeAspect="1"/>
                          </pic:cNvPicPr>
                        </pic:nvPicPr>
                        <pic:blipFill>
                          <a:blip r:embed="rId24"/>
                          <a:stretch>
                            <a:fillRect/>
                          </a:stretch>
                        </pic:blipFill>
                        <pic:spPr bwMode="auto">
                          <a:xfrm>
                            <a:off x="0" y="0"/>
                            <a:ext cx="5646420" cy="55540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Example of the various steps of the experiment. A: Field sampling of seagrass using a sampling box; B: Intertidal chambers used during the experiment; C: Seagrass sample inside a chamber during the experiment at high tide; D: Photo of the treatment sample at the start of the experiment; E: Photo of the treatment sample at the end of the experiment.</w:t>
            </w:r>
          </w:p>
          <w:bookmarkEnd w:id="27"/>
        </w:tc>
      </w:tr>
    </w:tbl>
    <w:bookmarkEnd w:id="28"/>
    <w:bookmarkEnd w:id="29"/>
    <w:bookmarkStart w:id="31" w:name="experimental-design"/>
    <w:p>
      <w:pPr>
        <w:pStyle w:val="Heading3"/>
      </w:pPr>
      <w:r>
        <w:t xml:space="preserve">2.1.2 Experimental design</w:t>
      </w:r>
    </w:p>
    <w:p>
      <w:pPr>
        <w:pStyle w:val="FirstParagraph"/>
      </w:pPr>
      <w:r>
        <w:t xml:space="preserve">Two intertidal chambers from</w:t>
      </w:r>
      <w:r>
        <w:t xml:space="preserve"> </w:t>
      </w:r>
      <w:hyperlink r:id="rId30">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Chambers were utilized in parallel with one chamber serving as the control, while the other was used for the experimental treatment.</w:t>
      </w:r>
    </w:p>
    <w:p>
      <w:pPr>
        <w:pStyle w:val="BodyText"/>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(Annexe A1,</w:t>
      </w:r>
      <w:r>
        <w:t xml:space="preserve"> </w:t>
      </w:r>
      <w:hyperlink w:anchor="sec-AnnexeA">
        <w:r>
          <w:rPr>
            <w:rStyle w:val="Hyperlink"/>
          </w:rPr>
          <w:t xml:space="preserve">Section 6.1</w:t>
        </w:r>
      </w:hyperlink>
      <w:r>
        <w:t xml:space="preserve">).</w:t>
      </w:r>
      <w:r>
        <w:t xml:space="preserve"> </w:t>
      </w:r>
      <w:r>
        <w:t xml:space="preserve">The control chamber was kept at temperatures representing typical seasonal conditions, with water temperatures ranging from 18°C to 19°C and air temperatures from 18°C to 23°C, following natural daily temperature fluctuations (Annexe A2,</w:t>
      </w:r>
      <w:r>
        <w:t xml:space="preserve"> </w:t>
      </w:r>
      <w:hyperlink w:anchor="sec-AnnexeA">
        <w:r>
          <w:rPr>
            <w:rStyle w:val="Hyperlink"/>
          </w:rPr>
          <w:t xml:space="preserve">Section 6.1</w:t>
        </w:r>
      </w:hyperlink>
      <w:r>
        <w:t xml:space="preserve">).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aimed to replicate the thermal stress experienced by the seagrass meadow during the actual heatwave event (Annexe A2,</w:t>
      </w:r>
      <w:r>
        <w:t xml:space="preserve"> </w:t>
      </w:r>
      <w:hyperlink w:anchor="sec-AnnexeA">
        <w:r>
          <w:rPr>
            <w:rStyle w:val="Hyperlink"/>
          </w:rPr>
          <w:t xml:space="preserve">Section 6.1</w:t>
        </w:r>
      </w:hyperlink>
      <w:r>
        <w:t xml:space="preserve">).</w:t>
      </w:r>
    </w:p>
    <w:bookmarkEnd w:id="31"/>
    <w:bookmarkStart w:id="39" w:name="bio-optical-measurements"/>
    <w:p>
      <w:pPr>
        <w:pStyle w:val="Heading3"/>
      </w:pPr>
      <w:r>
        <w:t xml:space="preserve">2.1.3 Bio-optical measurements</w:t>
      </w:r>
    </w:p>
    <w:bookmarkStart w:id="37" w:name="hyperspectral-measurements"/>
    <w:p>
      <w:pPr>
        <w:pStyle w:val="Heading4"/>
      </w:pPr>
      <w:r>
        <w:t xml:space="preserve">2.1.3.1 Hyperspectral measurements</w:t>
      </w:r>
    </w:p>
    <w:p>
      <w:pPr>
        <w:pStyle w:val="FirstParagraph"/>
      </w:pPr>
      <w:r>
        <w:t xml:space="preserve">Throughout the experiment, hyperspectral signatures of both the control and treatment seagrasses were taken using an ASD HandHeld 2 equipped with a fiber optic extension, allowing measurements to be taken directly inside the chamber without opening it. Automatic spectra acquisition was carried out using the</w:t>
      </w:r>
      <w:r>
        <w:t xml:space="preserve"> </w:t>
      </w:r>
      <w:hyperlink r:id="rId32">
        <w:r>
          <w:rPr>
            <w:rStyle w:val="Hyperlink"/>
          </w:rPr>
          <w:t xml:space="preserve">RS3 softaware</w:t>
        </w:r>
      </w:hyperlink>
      <w:r>
        <w:t xml:space="preserve">. An average of five reflectance spectra (</w:t>
      </w:r>
      <m:oMath>
        <m:r>
          <m:t>R</m:t>
        </m:r>
        <m:d>
          <m:dPr>
            <m:begChr m:val="("/>
            <m:endChr m:val=")"/>
            <m:sepChr m:val=""/>
            <m:grow/>
          </m:dPr>
          <m:e>
            <m:r>
              <m:t>λ</m:t>
            </m:r>
          </m:e>
        </m:d>
      </m:oMath>
      <w:r>
        <w:t xml:space="preserve">), each with an integration time of 544 ms, was taken every minute during daytime. Every 10 minutes, the fiber optic was switched from one benthic chamber to the other, in order to measure reflectance in both treatment and control. As light conditions were controlled inside of the chambers, reflectance calibration of the instrument was performed each morning at the very first moment of low tide using a Spectralon white reference with 99% Lambertian reflectivity.</w:t>
      </w:r>
    </w:p>
    <w:p>
      <w:pPr>
        <w:pStyle w:val="BodyText"/>
      </w:pPr>
      <w:r>
        <w:t xml:space="preserve">The second derivative of</w:t>
      </w:r>
      <w:r>
        <w:t xml:space="preserve"> </w:t>
      </w:r>
      <m:oMath>
        <m:r>
          <m:t>R</m:t>
        </m:r>
        <m:d>
          <m:dPr>
            <m:begChr m:val="("/>
            <m:endChr m:val=")"/>
            <m:sepChr m:val=""/>
            <m:grow/>
          </m:dPr>
          <m:e>
            <m:r>
              <m:t>λ</m:t>
            </m:r>
          </m:e>
        </m:d>
      </m:oMath>
      <w:r>
        <w:t xml:space="preserve"> </w:t>
      </w:r>
      <w:r>
        <w:t xml:space="preserve">was calculated to retrieve absorption features and compare their variability over time.</w:t>
      </w:r>
    </w:p>
    <w:p>
      <w:pPr>
        <w:pStyle w:val="BodyText"/>
      </w:pPr>
      <w:r>
        <w:t xml:space="preserve">Two radiometric indices were also monitored throughout the experiment :</w:t>
      </w:r>
    </w:p>
    <w:p>
      <w:pPr>
        <w:pStyle w:val="Compact"/>
        <w:numPr>
          <w:ilvl w:val="0"/>
          <w:numId w:val="1001"/>
        </w:numPr>
      </w:pPr>
      <w:r>
        <w:t xml:space="preserve">Normalized Difference Vegetation Index (NDVI,</w:t>
      </w:r>
      <w:r>
        <w:t xml:space="preserve"> </w:t>
      </w:r>
      <w:r>
        <w:t xml:space="preserve">Rouse et al. (1974)</w:t>
      </w:r>
      <w:r>
        <w:t xml:space="preserve">), a proxy of the concentration of chlorophyll-a (</w:t>
      </w:r>
      <w:hyperlink w:anchor="eq-ndvi">
        <w:r>
          <w:rPr>
            <w:rStyle w:val="Hyperlink"/>
          </w:rPr>
          <w:t xml:space="preserve">Equation 1</w:t>
        </w:r>
      </w:hyperlink>
      <w:r>
        <w:t xml:space="preserve">)</w:t>
      </w:r>
    </w:p>
    <w:p>
      <w:pPr>
        <w:pStyle w:val="FirstParagraph"/>
      </w:pPr>
      <w:bookmarkStart w:id="33"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33"/>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Green Leaf Index (GLI,</w:t>
      </w:r>
      <w:r>
        <w:t xml:space="preserve"> </w:t>
      </w:r>
      <w:r>
        <w:t xml:space="preserve">Louhaichi et al. (2001)</w:t>
      </w:r>
      <w:r>
        <w:t xml:space="preserve">), a measurement of the greenness of seagrass leafs (</w:t>
      </w:r>
      <w:hyperlink w:anchor="eq-gli">
        <w:r>
          <w:rPr>
            <w:rStyle w:val="Hyperlink"/>
          </w:rPr>
          <w:t xml:space="preserve">Equation 2</w:t>
        </w:r>
      </w:hyperlink>
      <w:r>
        <w:t xml:space="preserve">)</w:t>
      </w:r>
    </w:p>
    <w:p>
      <w:pPr>
        <w:pStyle w:val="FirstParagraph"/>
      </w:pPr>
      <w:bookmarkStart w:id="34"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2</m:t>
              </m:r>
            </m:e>
          </m:d>
        </m:oMath>
      </m:oMathPara>
      <w:bookmarkEnd w:id="34"/>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BodyText"/>
      </w:pPr>
      <w:r>
        <w:t xml:space="preserve">A remote sensing based seagrass covers estimation equation, the SPC developed by</w:t>
      </w:r>
      <w:r>
        <w:t xml:space="preserve"> </w:t>
      </w:r>
      <w:r>
        <w:t xml:space="preserve">Zoffoli et al. (2020)</w:t>
      </w:r>
      <w:r>
        <w:t xml:space="preserve">, were used to retrieve the proportion of seagrass of Sentinel-2 pixel (</w:t>
      </w:r>
      <w:hyperlink w:anchor="eq-spc">
        <w:r>
          <w:rPr>
            <w:rStyle w:val="Hyperlink"/>
          </w:rPr>
          <w:t xml:space="preserve">Equation 3</w:t>
        </w:r>
      </w:hyperlink>
      <w:r>
        <w:t xml:space="preserve">):</w:t>
      </w:r>
    </w:p>
    <w:p>
      <w:pPr>
        <w:pStyle w:val="BodyText"/>
      </w:pPr>
      <w:bookmarkStart w:id="3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3</m:t>
              </m:r>
            </m:e>
          </m:d>
        </m:oMath>
      </m:oMathPara>
      <w:bookmarkEnd w:id="35"/>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5</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‘baseline’</w:t>
      </w:r>
      <w:r>
        <w:t xml:space="preserve"> </w:t>
      </w:r>
      <w:r>
        <w:t xml:space="preserve">and 740 nm represents the central peak. The SDI can be mathematically expressed as:</w:t>
      </w:r>
    </w:p>
    <w:p>
      <w:pPr>
        <w:pStyle w:val="BodyText"/>
      </w:pPr>
      <m:oMathPara>
        <m:oMathParaPr>
          <m:jc m:val="center"/>
        </m:oMathParaPr>
        <m:oMath>
          <m:sSub>
            <m:e>
              <m:r>
                <m:t>I</m:t>
              </m:r>
            </m:e>
            <m:sub>
              <m:r>
                <m:t>S</m:t>
              </m:r>
              <m:r>
                <m:t>D</m:t>
              </m:r>
              <m:r>
                <m:t>I</m:t>
              </m:r>
            </m:sub>
          </m:sSub>
          <m:r>
            <m:rPr>
              <m:sty m:val="p"/>
            </m:rPr>
            <m:t>=</m:t>
          </m:r>
          <m:r>
            <m:t>R</m:t>
          </m:r>
          <m:d>
            <m:dPr>
              <m:begChr m:val="("/>
              <m:endChr m:val=")"/>
              <m:sepChr m:val=""/>
              <m:grow/>
            </m:dPr>
            <m:e>
              <m:r>
                <m:t>560</m:t>
              </m:r>
            </m:e>
          </m:d>
          <m:r>
            <m:rPr>
              <m:sty m:val="p"/>
            </m:rPr>
            <m:t>+</m:t>
          </m:r>
          <m:f>
            <m:fPr>
              <m:type m:val="bar"/>
            </m:fPr>
            <m:num>
              <m:r>
                <m:t>740</m:t>
              </m:r>
              <m:r>
                <m:rPr>
                  <m:sty m:val="p"/>
                </m:rPr>
                <m:t>−</m:t>
              </m:r>
              <m:r>
                <m:t>560</m:t>
              </m:r>
            </m:num>
            <m:den>
              <m:r>
                <m:t>842</m:t>
              </m:r>
              <m:r>
                <m:rPr>
                  <m:sty m:val="p"/>
                </m:rPr>
                <m:t>−</m:t>
              </m:r>
              <m:r>
                <m:t>560</m:t>
              </m:r>
            </m:den>
          </m:f>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oMath>
      </m:oMathPara>
    </w:p>
    <w:p>
      <w:pPr>
        <w:pStyle w:val="FirstParagraph"/>
      </w:pPr>
      <w:bookmarkStart w:id="36" w:name="eq-SDI"/>
      <m:oMathPara>
        <m:oMathParaPr>
          <m:jc m:val="center"/>
        </m:oMathParaPr>
        <m:oMath>
          <m:r>
            <m:rPr>
              <m:nor/>
              <m:sty m:val="p"/>
            </m:rPr>
            <m:t>SDI</m:t>
          </m:r>
          <m:r>
            <m:rPr>
              <m:sty m:val="p"/>
            </m:rPr>
            <m:t>=</m:t>
          </m:r>
          <m:sSub>
            <m:e>
              <m:r>
                <m:t>I</m:t>
              </m:r>
            </m:e>
            <m:sub>
              <m:r>
                <m:t>S</m:t>
              </m:r>
              <m:r>
                <m:t>D</m:t>
              </m:r>
              <m:r>
                <m:t>I</m:t>
              </m:r>
            </m:sub>
          </m:sSub>
          <m:r>
            <m:rPr>
              <m:sty m:val="p"/>
            </m:rPr>
            <m:t>−</m:t>
          </m:r>
          <m:r>
            <m:t>R</m:t>
          </m:r>
          <m:d>
            <m:dPr>
              <m:begChr m:val="("/>
              <m:endChr m:val=")"/>
              <m:sepChr m:val=""/>
              <m:grow/>
            </m:dPr>
            <m:e>
              <m:r>
                <m:t>740</m:t>
              </m:r>
            </m:e>
          </m:d>
          <m:r>
            <m:t>  </m:t>
          </m:r>
          <m:d>
            <m:dPr>
              <m:begChr m:val="("/>
              <m:endChr m:val=")"/>
              <m:sepChr m:val=""/>
              <m:grow/>
            </m:dPr>
            <m:e>
              <m:r>
                <m:t>4</m:t>
              </m:r>
            </m:e>
          </m:d>
        </m:oMath>
      </m:oMathPara>
      <w:bookmarkEnd w:id="36"/>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End w:id="37"/>
    <w:bookmarkStart w:id="38" w:name="pigment-concentration-measurements"/>
    <w:p>
      <w:pPr>
        <w:pStyle w:val="Heading4"/>
      </w:pPr>
      <w:r>
        <w:t xml:space="preserve">2.1.3.2 Pigment concentration measurements</w:t>
      </w:r>
    </w:p>
    <w:p>
      <w:pPr>
        <w:pStyle w:val="FirstParagraph"/>
      </w:pPr>
      <w:r>
        <w:t xml:space="preserve">To assess changes in pigment concentration, at the beginning and the end of each diurnal low tide (09:00 am and 03:00 pm) leaves were taken from both the test and the control. Leaves were stored at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38"/>
    <w:bookmarkEnd w:id="39"/>
    <w:bookmarkEnd w:id="40"/>
    <w:bookmarkStart w:id="58" w:name="in-situ-seagrass-darkening."/>
    <w:p>
      <w:pPr>
        <w:pStyle w:val="Heading2"/>
      </w:pPr>
      <w:r>
        <w:t xml:space="preserve">2.2</w:t>
      </w:r>
      <w:r>
        <w:t xml:space="preserve"> </w:t>
      </w:r>
      <w:r>
        <w:rPr>
          <w:i/>
          <w:iCs/>
        </w:rPr>
        <w:t xml:space="preserve">In situ</w:t>
      </w:r>
      <w:r>
        <w:t xml:space="preserve"> </w:t>
      </w:r>
      <w:r>
        <w:t xml:space="preserve">seagrass darkening.</w:t>
      </w:r>
    </w:p>
    <w:bookmarkStart w:id="51" w:name="field-observation"/>
    <w:p>
      <w:pPr>
        <w:pStyle w:val="Heading3"/>
      </w:pPr>
      <w:r>
        <w:t xml:space="preserve">2.2.1 Field Observation</w:t>
      </w:r>
    </w:p>
    <w:bookmarkStart w:id="45" w:name="cell-fig-quiberonMap"/>
    <w:tbl>
      <w:tblPr>
        <w:tblStyle w:val="Table"/>
        <w:tblW w:type="pct" w:w="5000"/>
        <w:tblLayout w:type="fixed"/>
        <w:tblLook w:firstRow="0" w:lastRow="0" w:firstColumn="0" w:lastColumn="0" w:noHBand="0" w:noVBand="0" w:val="0000"/>
      </w:tblPr>
      <w:tblGrid>
        <w:gridCol w:w="7920"/>
      </w:tblGrid>
      <w:tr>
        <w:tc>
          <w:tcPr/>
          <w:bookmarkStart w:id="44" w:name="fig-quiberonMap"/>
          <w:p>
            <w:pPr>
              <w:pStyle w:val="Compact"/>
              <w:jc w:val="center"/>
            </w:pPr>
            <w:r>
              <w:drawing>
                <wp:inline>
                  <wp:extent cx="5646420" cy="5646420"/>
                  <wp:effectExtent b="0" l="0" r="0" t="0"/>
                  <wp:docPr descr="" title="" id="42" name="Picture"/>
                  <a:graphic>
                    <a:graphicData uri="http://schemas.openxmlformats.org/drawingml/2006/picture">
                      <pic:pic>
                        <pic:nvPicPr>
                          <pic:cNvPr descr="Figs/Low_res/Quiberon_map.png" id="43" name="Picture"/>
                          <pic:cNvPicPr>
                            <a:picLocks noChangeArrowheads="1" noChangeAspect="1"/>
                          </pic:cNvPicPr>
                        </pic:nvPicPr>
                        <pic:blipFill>
                          <a:blip r:embed="rId41"/>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Location of the fieldtrip campaign that occured in the 10th of September 2021. The red line surround the intertidal zone (Zone between High tide and low tide, that is totally emerged at low tide) and the dark green polygon indicate the extent of the seagrass meadow. Green dots indicate location of quadrat picture over unimpacted seagrasses (i.e. showing a green color on the field) while red dots indicate location of quadrat took over impacted seagrasses (i.e. showing a dark color on the field).</w:t>
            </w:r>
          </w:p>
          <w:bookmarkEnd w:id="44"/>
        </w:tc>
      </w:tr>
    </w:tbl>
    <w:bookmarkEnd w:id="45"/>
    <w:p>
      <w:pPr>
        <w:pStyle w:val="BodyText"/>
      </w:pPr>
      <w:r>
        <w:t xml:space="preserve">A field campaign, aiming to map a seagrass meadow near Quiberon (France : 46°57’32.0”N, 2°10’37.0”W), occurred on the 10th of September 2021 (</w:t>
      </w:r>
      <w:hyperlink w:anchor="fig-quiberonMap">
        <w:r>
          <w:rPr>
            <w:rStyle w:val="Hyperlink"/>
          </w:rPr>
          <w:t xml:space="preserve">Figure 2</w:t>
        </w:r>
      </w:hyperlink>
      <w:r>
        <w:t xml:space="preserve">). During this field campaign, significant darkening of seagrass leaves was observed over large areas of the meadow alongside normal green seagrass (</w:t>
      </w:r>
      <w:hyperlink w:anchor="fig-QuiberonImg">
        <w:r>
          <w:rPr>
            <w:rStyle w:val="Hyperlink"/>
          </w:rPr>
          <w:t xml:space="preserve">Figure 3</w:t>
        </w:r>
      </w:hyperlink>
      <w:r>
        <w:t xml:space="preserve">). A total of 96 Quadrat Points (QPs) were collected in the form of georeferenced quadrat images across the meadow. These images allow for visual assessment of vegetation type, density, and coloration. The images were then divided into two categories: green seagrasses (henceforth: QPs unimpacted) and darkened seagrasses (henceforth: QPs impacted), based on a visual estimation of the leaf coloration (</w:t>
      </w:r>
      <w:hyperlink w:anchor="fig-quiberonMap">
        <w:r>
          <w:rPr>
            <w:rStyle w:val="Hyperlink"/>
          </w:rPr>
          <w:t xml:space="preserve">Figure 2</w:t>
        </w:r>
      </w:hyperlink>
      <w:r>
        <w:t xml:space="preserve">).</w:t>
      </w:r>
    </w:p>
    <w:bookmarkStart w:id="50" w:name="cell-fig-QuiberonImg"/>
    <w:tbl>
      <w:tblPr>
        <w:tblStyle w:val="Table"/>
        <w:tblW w:type="pct" w:w="5000"/>
        <w:tblLayout w:type="fixed"/>
        <w:tblLook w:firstRow="0" w:lastRow="0" w:firstColumn="0" w:lastColumn="0" w:noHBand="0" w:noVBand="0" w:val="0000"/>
      </w:tblPr>
      <w:tblGrid>
        <w:gridCol w:w="7920"/>
      </w:tblGrid>
      <w:tr>
        <w:tc>
          <w:tcPr/>
          <w:bookmarkStart w:id="49" w:name="fig-QuiberonImg"/>
          <w:p>
            <w:pPr>
              <w:pStyle w:val="Compact"/>
              <w:jc w:val="center"/>
            </w:pPr>
            <w:r>
              <w:drawing>
                <wp:inline>
                  <wp:extent cx="5646420" cy="3733115"/>
                  <wp:effectExtent b="0" l="0" r="0" t="0"/>
                  <wp:docPr descr="" title="" id="47" name="Picture"/>
                  <a:graphic>
                    <a:graphicData uri="http://schemas.openxmlformats.org/drawingml/2006/picture">
                      <pic:pic>
                        <pic:nvPicPr>
                          <pic:cNvPr descr="Figs/Low_res/img_Quiberon.png" id="48" name="Picture"/>
                          <pic:cNvPicPr>
                            <a:picLocks noChangeArrowheads="1" noChangeAspect="1"/>
                          </pic:cNvPicPr>
                        </pic:nvPicPr>
                        <pic:blipFill>
                          <a:blip r:embed="rId46"/>
                          <a:stretch>
                            <a:fillRect/>
                          </a:stretch>
                        </pic:blipFill>
                        <pic:spPr bwMode="auto">
                          <a:xfrm>
                            <a:off x="0" y="0"/>
                            <a:ext cx="5646420" cy="3733115"/>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Illustrations of the two coloration of seagrasses observed in the field. A: View of a green green meadow; B: Quadrat images of green seagrasses; C: Quadrat images of darkened seagrasses; D: View of darkened area of themeadow. All images were taken on September 10th, 2021, in Quiberon.</w:t>
            </w:r>
          </w:p>
          <w:bookmarkEnd w:id="49"/>
        </w:tc>
      </w:tr>
    </w:tbl>
    <w:bookmarkEnd w:id="50"/>
    <w:bookmarkEnd w:id="51"/>
    <w:bookmarkStart w:id="55" w:name="Xf8a39f1f3d5cbc00f14159fcb612e83e416b551"/>
    <w:p>
      <w:pPr>
        <w:pStyle w:val="Heading3"/>
      </w:pPr>
      <w:r>
        <w:t xml:space="preserve">2.2.2 Temperature Data and identification of heatwaves</w:t>
      </w:r>
    </w:p>
    <w:bookmarkStart w:id="53" w:name="air-temperature"/>
    <w:p>
      <w:pPr>
        <w:pStyle w:val="Heading4"/>
      </w:pPr>
      <w:r>
        <w:t xml:space="preserve">2.2.2.1 Air temperature</w:t>
      </w:r>
    </w:p>
    <w:p>
      <w:pPr>
        <w:pStyle w:val="FirstParagraph"/>
      </w:pPr>
      <w:r>
        <w:t xml:space="preserve">Since January 1, 2024, Meteo France weather data has been freely and openly accessible. Hourly air temperature data (°C) was retrieved using a</w:t>
      </w:r>
      <w:r>
        <w:t xml:space="preserve"> </w:t>
      </w:r>
      <w:hyperlink r:id="rId52">
        <w:r>
          <w:rPr>
            <w:rStyle w:val="Hyperlink"/>
          </w:rPr>
          <w:t xml:space="preserve">custom script</w:t>
        </w:r>
      </w:hyperlink>
      <w:r>
        <w:t xml:space="preserve"> </w:t>
      </w:r>
      <w:r>
        <w:t xml:space="preserve">as no API was available at the time of this study. Data form the nearest weather station of our study site (Lorient-Lann Bihoue, 47°45’46”N 3°26’11”W) were downloaded. For this station more than 395000 observation since the 1st of February 1952 were available.</w:t>
      </w:r>
    </w:p>
    <w:p>
      <w:pPr>
        <w:pStyle w:val="BodyText"/>
      </w:pPr>
      <w:r>
        <w:t xml:space="preserve">Heatwave detection was performed using the HeatwaveR package in R</w:t>
      </w:r>
      <w:r>
        <w:t xml:space="preserve"> </w:t>
      </w:r>
      <w:r>
        <w:t xml:space="preserve">(Schlegel and Smit, 2018)</w:t>
      </w:r>
      <w:r>
        <w:t xml:space="preserve">. This package utilizes the methodology proposed by</w:t>
      </w:r>
      <w:r>
        <w:t xml:space="preserve"> </w:t>
      </w:r>
      <w:r>
        <w:t xml:space="preserve">Hobday et al. (2016)</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(2018)</w:t>
      </w:r>
      <w:r>
        <w:t xml:space="preserve">.</w:t>
      </w:r>
    </w:p>
    <w:bookmarkEnd w:id="53"/>
    <w:bookmarkStart w:id="54" w:name="water-temperature"/>
    <w:p>
      <w:pPr>
        <w:pStyle w:val="Heading4"/>
      </w:pPr>
      <w:r>
        <w:t xml:space="preserve">2.2.2.2 Water temperature</w:t>
      </w:r>
    </w:p>
    <w:p>
      <w:pPr>
        <w:pStyle w:val="FirstParagraph"/>
      </w:pPr>
      <w:r>
        <w:t xml:space="preserve">SST data from the Copernicus CMEMS platform were downloaded for the French coast near Quiberon (47°29′03″N, 3°07′09″W), covering 1982-2022</w:t>
      </w:r>
      <w:r>
        <w:t xml:space="preserve"> </w:t>
      </w:r>
      <w:r>
        <w:t xml:space="preserve">(CMEMS, 2024)</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A daily average was computed for the time series, and the HeatwaveR package</w:t>
      </w:r>
      <w:r>
        <w:t xml:space="preserve"> </w:t>
      </w:r>
      <w:r>
        <w:t xml:space="preserve">(Schlegel and Smit, 2018)</w:t>
      </w:r>
      <w:r>
        <w:t xml:space="preserve"> </w:t>
      </w:r>
      <w:r>
        <w:t xml:space="preserve">was used to compute SST climatology and detect SST events using the same method as air temperature event detection.</w:t>
      </w:r>
    </w:p>
    <w:bookmarkEnd w:id="54"/>
    <w:bookmarkEnd w:id="55"/>
    <w:bookmarkStart w:id="56" w:name="satellite-observation"/>
    <w:p>
      <w:pPr>
        <w:pStyle w:val="Heading3"/>
      </w:pPr>
      <w:r>
        <w:t xml:space="preserve">2.2.3 Satellite Observation</w:t>
      </w:r>
    </w:p>
    <w:p>
      <w:pPr>
        <w:pStyle w:val="FirstParagraph"/>
      </w:pPr>
      <w:r>
        <w:t xml:space="preserve">Two Sentinel-2 images covering the field campaign site (</w:t>
      </w:r>
      <w:hyperlink w:anchor="fig-quiberonMap">
        <w:r>
          <w:rPr>
            <w:rStyle w:val="Hyperlink"/>
          </w:rPr>
          <w:t xml:space="preserve">Figure 2</w:t>
        </w:r>
      </w:hyperlink>
      <w:r>
        <w:t xml:space="preserve">) were downloaded from the Copernicus platform</w:t>
      </w:r>
      <w:r>
        <w:t xml:space="preserve"> </w:t>
      </w:r>
      <w:r>
        <w:t xml:space="preserve">(European Space Agency, 2024a)</w:t>
      </w:r>
      <w:r>
        <w:t xml:space="preserve">. The first image was taken before the heatwave event on September 1, 2021, and the second image after the event on September 6, 2021. Both images were acquired as Level-2 product, in surface reflectance, and were orthorectified and atmospherically corrected to account for the effects of the atmosphere on reflectance values</w:t>
      </w:r>
      <w:r>
        <w:t xml:space="preserve"> </w:t>
      </w:r>
      <w:r>
        <w:t xml:space="preserve">(European Space Agency, 2024b)</w:t>
      </w:r>
      <w:r>
        <w:t xml:space="preserve">.</w:t>
      </w:r>
    </w:p>
    <w:p>
      <w:pPr>
        <w:pStyle w:val="BodyText"/>
      </w:pPr>
      <w:r>
        <w:t xml:space="preserve">Reflectance value forf each QPs (</w:t>
      </w:r>
      <w:hyperlink w:anchor="fig-quiberonMap">
        <w:r>
          <w:rPr>
            <w:rStyle w:val="Hyperlink"/>
          </w:rPr>
          <w:t xml:space="preserve">Figure 2</w:t>
        </w:r>
      </w:hyperlink>
      <w:r>
        <w:t xml:space="preserve">) were extracted and compared before and after the heatwave event.</w:t>
      </w:r>
    </w:p>
    <w:bookmarkEnd w:id="56"/>
    <w:bookmarkStart w:id="57"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“Service Hydrographique et Océanographique de la Marine”</w:t>
      </w:r>
      <w:r>
        <w:t xml:space="preserve"> </w:t>
      </w:r>
      <w:r>
        <w:t xml:space="preserve">(SHOM, 2021)</w:t>
      </w:r>
      <w:r>
        <w:t xml:space="preserve">. It corresponds to the Litto3D® product, which is a three-dimensional land-sea elevation database, accurately depicting the coastal terrain along certain regions of the French shores. It uses the NGF/IGN69 reference</w:t>
      </w:r>
      <w:r>
        <w:t xml:space="preserve"> </w:t>
      </w:r>
      <w:r>
        <w:t xml:space="preserve">“zero”</w:t>
      </w:r>
      <w:r>
        <w:t xml:space="preserve">, which corresponds to the mean sea level recorded at the Marseille tide gauge between 1885 and 1897, commonly known as the</w:t>
      </w:r>
      <w:r>
        <w:t xml:space="preserve"> </w:t>
      </w:r>
      <w:r>
        <w:t xml:space="preserve">“Terrestrial Altimetric Zero”</w:t>
      </w:r>
      <w:r>
        <w:t xml:space="preserve">.</w:t>
      </w:r>
    </w:p>
    <w:p>
      <w:pPr>
        <w:pStyle w:val="BodyText"/>
      </w:pPr>
      <w:r>
        <w:t xml:space="preserve">Tidal data during the heatwave event were downloaded from the Intergovernmental Oceanographic Commission data portal</w:t>
      </w:r>
      <w:r>
        <w:t xml:space="preserve"> </w:t>
      </w:r>
      <w:r>
        <w:t xml:space="preserve">(IOC, 2024)</w:t>
      </w:r>
      <w:r>
        <w:t xml:space="preserve">, using measurements from the nearest tide gauge at Le Crouesty. In this dataset, the reference</w:t>
      </w:r>
      <w:r>
        <w:t xml:space="preserve"> </w:t>
      </w:r>
      <w:r>
        <w:t xml:space="preserve">“zero”</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“Références Altimétriques Marines”</w:t>
      </w:r>
      <w:r>
        <w:t xml:space="preserve"> </w:t>
      </w:r>
      <w:r>
        <w:t xml:space="preserve">(RAM, Shom, 2022)</w:t>
      </w:r>
      <w:r>
        <w:t xml:space="preserve">, which provides these correction factors for each seaport along the French coastline. For Le Crouesty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57"/>
    <w:bookmarkEnd w:id="58"/>
    <w:bookmarkEnd w:id="59"/>
    <w:bookmarkStart w:id="98" w:name="results"/>
    <w:p>
      <w:pPr>
        <w:pStyle w:val="Heading1"/>
      </w:pPr>
      <w:r>
        <w:t xml:space="preserve">3. Results</w:t>
      </w:r>
    </w:p>
    <w:bookmarkStart w:id="73" w:name="laboratory-experiment-1"/>
    <w:p>
      <w:pPr>
        <w:pStyle w:val="Heading2"/>
      </w:pPr>
      <w:r>
        <w:t xml:space="preserve">3.1 Laboratory Experiment</w:t>
      </w:r>
    </w:p>
    <w:bookmarkStart w:id="65" w:name="spectral-inspection"/>
    <w:p>
      <w:pPr>
        <w:pStyle w:val="Heading3"/>
      </w:pPr>
      <w:r>
        <w:t xml:space="preserve">3.1.1 Spectral inspection</w:t>
      </w:r>
    </w:p>
    <w:p>
      <w:pPr>
        <w:pStyle w:val="FirstParagraph"/>
      </w:pPr>
      <w:r>
        <w:t xml:space="preserve">In the Control group, reflectance remained relatively stable over time, with only minimal changes in magnitude and spectral features (</w:t>
      </w:r>
      <w:hyperlink w:anchor="fig-Exp_Spectra">
        <w:r>
          <w:rPr>
            <w:rStyle w:val="Hyperlink"/>
          </w:rPr>
          <w:t xml:space="preserve">Figure 4</w:t>
        </w:r>
      </w:hyperlink>
      <w:r>
        <w:t xml:space="preserve">).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4</w:t>
        </w:r>
      </w:hyperlink>
      <w:r>
        <w:t xml:space="preserve">, left).</w:t>
      </w:r>
    </w:p>
    <w:p>
      <w:pPr>
        <w:pStyle w:val="BodyText"/>
      </w:pPr>
      <w:r>
        <w:t xml:space="preserve">In contrast, the Treatment group showed more pronounced changes in reflectance throughout the experiment. On the beginning (Day 1), reflectance values were comparable to those in the Control group, especially in the visible region, with a notable peak around 560 nm and a pronounced trough at 665 nm. However, starting from day 2, reflectance began to decrease across all wavelengths, particularly around 560 nm and in the NIR. At day 3, the NIR reflectance appeared to stabilize at values like those observed during day 2. In the green region, however, reflectance continued to decline slightly until the experiment’s conclusion. Additionally, a slight increase in reflectance at 665 nm between day 2 and day 3 was observed, possibly associated with a reduction in chlorophyll-a concentration (</w:t>
      </w:r>
      <w:hyperlink w:anchor="fig-Exp_Spectra">
        <w:r>
          <w:rPr>
            <w:rStyle w:val="Hyperlink"/>
          </w:rPr>
          <w:t xml:space="preserve">Figure 4</w:t>
        </w:r>
      </w:hyperlink>
      <w:r>
        <w:t xml:space="preserve">, right).</w:t>
      </w:r>
    </w:p>
    <w:bookmarkStart w:id="64" w:name="cell-fig-Exp_Spectra"/>
    <w:tbl>
      <w:tblPr>
        <w:tblStyle w:val="Table"/>
        <w:tblW w:type="pct" w:w="5000"/>
        <w:tblLayout w:type="fixed"/>
        <w:tblLook w:firstRow="0" w:lastRow="0" w:firstColumn="0" w:lastColumn="0" w:noHBand="0" w:noVBand="0" w:val="0000"/>
      </w:tblPr>
      <w:tblGrid>
        <w:gridCol w:w="7920"/>
      </w:tblGrid>
      <w:tr>
        <w:tc>
          <w:tcPr/>
          <w:bookmarkStart w:id="63" w:name="fig-Exp_Spectra"/>
          <w:p>
            <w:pPr>
              <w:pStyle w:val="Compact"/>
              <w:jc w:val="center"/>
            </w:pPr>
            <w:r>
              <w:drawing>
                <wp:inline>
                  <wp:extent cx="5646420" cy="2823210"/>
                  <wp:effectExtent b="0" l="0" r="0" t="0"/>
                  <wp:docPr descr="" title="" id="61" name="Picture"/>
                  <a:graphic>
                    <a:graphicData uri="http://schemas.openxmlformats.org/drawingml/2006/picture">
                      <pic:pic>
                        <pic:nvPicPr>
                          <pic:cNvPr descr="Figs/Low_res/plot_Spectra_exp.png" id="62" name="Picture"/>
                          <pic:cNvPicPr>
                            <a:picLocks noChangeArrowheads="1" noChangeAspect="1"/>
                          </pic:cNvPicPr>
                        </pic:nvPicPr>
                        <pic:blipFill>
                          <a:blip r:embed="rId60"/>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Standardized Hyperspectral Reflectance signature collected during the experiment for both the Control (Left) and the Treatment (Right). Color denotes the progression along the experiment from the beginning (Day 1: green), middle (Day 2: Yellow) and end (Day 3: Brown). A min-max standardization has been applied to each individual spectrum.</w:t>
            </w:r>
          </w:p>
          <w:bookmarkEnd w:id="63"/>
        </w:tc>
      </w:tr>
    </w:tbl>
    <w:bookmarkEnd w:id="64"/>
    <w:bookmarkEnd w:id="65"/>
    <w:bookmarkStart w:id="71" w:name="evolution-of-spectral-metrics"/>
    <w:p>
      <w:pPr>
        <w:pStyle w:val="Heading3"/>
      </w:pPr>
      <w:r>
        <w:t xml:space="preserve">3.1.2 Evolution of spectral metrics</w:t>
      </w:r>
    </w:p>
    <w:p>
      <w:pPr>
        <w:pStyle w:val="FirstParagraph"/>
      </w:pPr>
      <w:hyperlink w:anchor="fig-Exp_Spectral_indices">
        <w:r>
          <w:rPr>
            <w:rStyle w:val="Hyperlink"/>
          </w:rPr>
          <w:t xml:space="preserve">Figure 5</w:t>
        </w:r>
      </w:hyperlink>
      <w:r>
        <w:t xml:space="preserve"> </w:t>
      </w:r>
      <w:r>
        <w:t xml:space="preserve">-A shows the average difference of the second derivative (</w:t>
      </w:r>
      <m:oMath>
        <m:r>
          <m:t>R</m:t>
        </m:r>
        <m:r>
          <m:rPr>
            <m:sty m:val="p"/>
          </m:rPr>
          <m:t>″</m:t>
        </m:r>
        <m:d>
          <m:dPr>
            <m:begChr m:val="("/>
            <m:endChr m:val=")"/>
            <m:sepChr m:val=""/>
            <m:grow/>
          </m:dPr>
          <m:e>
            <m:r>
              <m:t>λ</m:t>
            </m:r>
          </m:e>
        </m:d>
      </m:oMath>
      <w:r>
        <w:t xml:space="preserve">) of hyperspectral signature between the Control and the Treatment group at day 3. The maximum difference of</w:t>
      </w:r>
      <w:r>
        <w:t xml:space="preserve"> </w:t>
      </w:r>
      <m:oMath>
        <m:r>
          <m:t>R</m:t>
        </m:r>
        <m:r>
          <m:rPr>
            <m:sty m:val="p"/>
          </m:rPr>
          <m:t>″</m:t>
        </m:r>
        <m:d>
          <m:dPr>
            <m:begChr m:val="("/>
            <m:endChr m:val=")"/>
            <m:sepChr m:val=""/>
            <m:grow/>
          </m:dPr>
          <m:e>
            <m:r>
              <m:t>λ</m:t>
            </m:r>
          </m:e>
        </m:d>
      </m:oMath>
      <w:r>
        <w:t xml:space="preserve"> </w:t>
      </w:r>
      <w:r>
        <w:t xml:space="preserve">has been observed at 665 nm, position of absorption of chlorophyll-a, where the control were</w:t>
      </w:r>
      <w:r>
        <w:t xml:space="preserve"> </w:t>
      </w:r>
      <m:oMath>
        <m:r>
          <m:t>0.95</m:t>
        </m:r>
        <m:r>
          <m:rPr>
            <m:sty m:val="p"/>
          </m:rPr>
          <m:t>×</m:t>
        </m:r>
        <m:sSup>
          <m:e>
            <m:r>
              <m:t>10</m:t>
            </m:r>
          </m:e>
          <m:sup>
            <m:r>
              <m:rPr>
                <m:sty m:val="p"/>
              </m:rPr>
              <m:t>−</m:t>
            </m:r>
            <m:r>
              <m:t>4</m:t>
            </m:r>
          </m:sup>
        </m:sSup>
      </m:oMath>
      <w:r>
        <w:t xml:space="preserve"> </w:t>
      </w:r>
      <w:r>
        <w:t xml:space="preserve">higher then the treatment groups.</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indicated that, at the start of the experiment (day 1)</w:t>
      </w:r>
      <w:r>
        <w:t xml:space="preserve"> </w:t>
      </w:r>
      <m:oMath>
        <m:r>
          <m:t>R</m:t>
        </m:r>
        <m:sSub>
          <m:e>
            <m:r>
              <m:rPr>
                <m:sty m:val="p"/>
              </m:rPr>
              <m:t>″</m:t>
            </m:r>
          </m:e>
          <m:sub>
            <m:r>
              <m:t>665</m:t>
            </m:r>
            <m:r>
              <m:t> </m:t>
            </m:r>
            <m:r>
              <m:rPr>
                <m:nor/>
                <m:sty m:val="p"/>
              </m:rPr>
              <m:t>nm</m:t>
            </m:r>
          </m:sub>
        </m:sSub>
      </m:oMath>
      <w:r>
        <w:t xml:space="preserve"> </w:t>
      </w:r>
      <w:r>
        <w:t xml:space="preserve">for the Treatment group was on average 13 higher than that of the Control. However, by day 2,</w:t>
      </w:r>
      <w:r>
        <w:t xml:space="preserve"> </w:t>
      </w:r>
      <m:oMath>
        <m:r>
          <m:t>R</m:t>
        </m:r>
        <m:sSub>
          <m:e>
            <m:r>
              <m:rPr>
                <m:sty m:val="p"/>
              </m:rPr>
              <m:t>″</m:t>
            </m:r>
          </m:e>
          <m:sub>
            <m:r>
              <m:t>665</m:t>
            </m:r>
            <m:r>
              <m:t> </m:t>
            </m:r>
            <m:r>
              <m:rPr>
                <m:nor/>
                <m:sty m:val="p"/>
              </m:rPr>
              <m:t>nm</m:t>
            </m:r>
          </m:sub>
        </m:sSub>
      </m:oMath>
      <w:r>
        <w:t xml:space="preserve"> </w:t>
      </w:r>
      <w:r>
        <w:t xml:space="preserve">for the Treatment showed a rapid decrease of approximately -27 %, eventually reaching a total decline of -68 % by day 3 (</w:t>
      </w:r>
      <w:hyperlink w:anchor="fig-Exp_Spectral_indices">
        <w:r>
          <w:rPr>
            <w:rStyle w:val="Hyperlink"/>
          </w:rPr>
          <w:t xml:space="preserve">Figure 5</w:t>
        </w:r>
      </w:hyperlink>
      <w:r>
        <w:t xml:space="preserve"> </w:t>
      </w:r>
      <w:r>
        <w:t xml:space="preserve">B)</w:t>
      </w:r>
    </w:p>
    <w:p>
      <w:pPr>
        <w:pStyle w:val="BodyText"/>
      </w:pPr>
      <w:r>
        <w:t xml:space="preserve">Monitoring the Normalized Difference Vegetation Index (NDVI) revealed that, at the beginning of the experiment (day 1), the NDVI for the Treatment group was on average 3 % lower than that of the Control. By day 2, the NDVI for the Treatment exhibited a rapid decline of approximately -17 %, eventually reaching a cumulative decrease of -31 % by day 3 (</w:t>
      </w:r>
      <w:hyperlink w:anchor="fig-Exp_Spectral_indices">
        <w:r>
          <w:rPr>
            <w:rStyle w:val="Hyperlink"/>
          </w:rPr>
          <w:t xml:space="preserve">Figure 5</w:t>
        </w:r>
      </w:hyperlink>
      <w:r>
        <w:t xml:space="preserve"> </w:t>
      </w:r>
      <w:r>
        <w:t xml:space="preserve">C).</w:t>
      </w:r>
    </w:p>
    <w:p>
      <w:pPr>
        <w:pStyle w:val="BodyText"/>
      </w:pPr>
      <w:r>
        <w:t xml:space="preserve">Monitoring the Green Leaf Index (GLI) showed that, at the start of the experiment (day 1), the GLI for the Treatment group was, on average, -2 % higher than that of the Control. However, by day 2, the GLI for the Treatment exhibited a rapid decrease of approximately -28 %, ultimately reaching a cumulative reduction of -54 % by day 3 (</w:t>
      </w:r>
      <w:hyperlink w:anchor="fig-Exp_Spectral_indices">
        <w:r>
          <w:rPr>
            <w:rStyle w:val="Hyperlink"/>
          </w:rPr>
          <w:t xml:space="preserve">Figure 5</w:t>
        </w:r>
      </w:hyperlink>
      <w:r>
        <w:t xml:space="preserve"> </w:t>
      </w:r>
      <w:r>
        <w:t xml:space="preserve">D).</w:t>
      </w:r>
    </w:p>
    <w:p>
      <w:pPr>
        <w:pStyle w:val="BodyText"/>
      </w:pPr>
      <w:r>
        <w:t xml:space="preserve">Monitoring the Simple Difference Index (SDI) revealed that, at the start of the experiment (day 1), the SDI for the Treatment group was on average 55 % higher than that of the Control. By day 2, the SDI for the Treatment exhibited a rapid decrease of approximately 241 %, eventually reaching a cumulative decline of 420 % by day 3 (</w:t>
      </w:r>
      <w:hyperlink w:anchor="fig-Exp_Spectral_indices">
        <w:r>
          <w:rPr>
            <w:rStyle w:val="Hyperlink"/>
          </w:rPr>
          <w:t xml:space="preserve">Figure 5</w:t>
        </w:r>
      </w:hyperlink>
      <w:r>
        <w:t xml:space="preserve"> </w:t>
      </w:r>
      <w:r>
        <w:t xml:space="preserve">E).</w:t>
      </w:r>
    </w:p>
    <w:bookmarkStart w:id="70" w:name="cell-fig-Exp_Spectral_indices"/>
    <w:tbl>
      <w:tblPr>
        <w:tblStyle w:val="Table"/>
        <w:tblW w:type="pct" w:w="5000"/>
        <w:tblLayout w:type="fixed"/>
        <w:tblLook w:firstRow="0" w:lastRow="0" w:firstColumn="0" w:lastColumn="0" w:noHBand="0" w:noVBand="0" w:val="0000"/>
      </w:tblPr>
      <w:tblGrid>
        <w:gridCol w:w="7920"/>
      </w:tblGrid>
      <w:tr>
        <w:tc>
          <w:tcPr/>
          <w:bookmarkStart w:id="69" w:name="fig-Exp_Spectral_indices"/>
          <w:p>
            <w:pPr>
              <w:pStyle w:val="Compact"/>
              <w:jc w:val="center"/>
            </w:pPr>
            <w:r>
              <w:drawing>
                <wp:inline>
                  <wp:extent cx="5646420" cy="6970888"/>
                  <wp:effectExtent b="0" l="0" r="0" t="0"/>
                  <wp:docPr descr="" title="" id="67" name="Picture"/>
                  <a:graphic>
                    <a:graphicData uri="http://schemas.openxmlformats.org/drawingml/2006/picture">
                      <pic:pic>
                        <pic:nvPicPr>
                          <pic:cNvPr descr="Figs/Low_res/merged_indices.png" id="68" name="Picture"/>
                          <pic:cNvPicPr>
                            <a:picLocks noChangeArrowheads="1" noChangeAspect="1"/>
                          </pic:cNvPicPr>
                        </pic:nvPicPr>
                        <pic:blipFill>
                          <a:blip r:embed="rId66"/>
                          <a:stretch>
                            <a:fillRect/>
                          </a:stretch>
                        </pic:blipFill>
                        <pic:spPr bwMode="auto">
                          <a:xfrm>
                            <a:off x="0" y="0"/>
                            <a:ext cx="5646420" cy="6970888"/>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Difference in the second derivative of hyperspectral signature between the control and the test at the end of the experiment (A) the second derivative at 665 nm (B), the NDVI (C), the GLI (D) and the SDI (E) over Time. A: Mean difference and standard deviation of the second derivative of the Control and the Treatment on the final day of the experiment; B: Relative evolution of the second derivative at 665 nm between Treatment and Control groups over time across three replicates; C: Relative evolution of NDVI for the Treatment group compared to the Control group over time across three replicates; D: Relative evolution of GLI for the Treatment group relative to the Control group over time across three replicates; E: Relative evolution of SDI for the Treatment group relative to the Control group over time across three replicates. Points indicate raw data, the line represents a generalized linear model, and the shaded area the model’s standard error.</w:t>
            </w:r>
          </w:p>
          <w:bookmarkEnd w:id="69"/>
        </w:tc>
      </w:tr>
    </w:tbl>
    <w:bookmarkEnd w:id="70"/>
    <w:p>
      <w:pPr>
        <w:pStyle w:val="BodyText"/>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(Annexe B1 ;</w:t>
      </w:r>
      <w:r>
        <w:t xml:space="preserve"> </w:t>
      </w:r>
      <w:hyperlink w:anchor="sec-AnnexeB">
        <w:r>
          <w:rPr>
            <w:rStyle w:val="Hyperlink"/>
          </w:rPr>
          <w:t xml:space="preserve">Section 6.2</w:t>
        </w:r>
      </w:hyperlink>
      <w:r>
        <w:t xml:space="preserve">).</w:t>
      </w:r>
    </w:p>
    <w:bookmarkEnd w:id="71"/>
    <w:bookmarkStart w:id="72" w:name="X03f1f92316c3f266276e7acc4c55e66c6a0add8"/>
    <w:p>
      <w:pPr>
        <w:pStyle w:val="Heading3"/>
      </w:pPr>
      <w:r>
        <w:t xml:space="preserve">3.1.3 Pigment composition evolution along the experiment</w:t>
      </w:r>
    </w:p>
    <w:p>
      <w:pPr>
        <w:pStyle w:val="FirstParagraph"/>
      </w:pPr>
      <w:r>
        <w:t xml:space="preserve">bla bla bla bla</w:t>
      </w:r>
    </w:p>
    <w:bookmarkEnd w:id="72"/>
    <w:bookmarkEnd w:id="73"/>
    <w:bookmarkStart w:id="97" w:name="heatwaves-of-quiberon"/>
    <w:p>
      <w:pPr>
        <w:pStyle w:val="Heading2"/>
      </w:pPr>
      <w:r>
        <w:t xml:space="preserve">3.2 Heatwaves of Quiberon</w:t>
      </w:r>
    </w:p>
    <w:bookmarkStart w:id="79"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6</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6</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6</w:t>
        </w:r>
      </w:hyperlink>
      <w:r>
        <w:t xml:space="preserve"> </w:t>
      </w:r>
      <w:r>
        <w:t xml:space="preserve">C). Before the event, all QPs appeared green on the images, with similar reflectance spectra, regardless of the class attributed to the QPs on the field (</w:t>
      </w:r>
      <w:hyperlink w:anchor="fig-S2_comparison">
        <w:r>
          <w:rPr>
            <w:rStyle w:val="Hyperlink"/>
          </w:rPr>
          <w:t xml:space="preserve">Figure 6</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QPs classified as impacted during the field campaign, showed significant differences in reflectance spectral shape compared to QPs classified as unimpacted on the 10th of September, with corresponding differences in the true color composition (</w:t>
      </w:r>
      <w:hyperlink w:anchor="fig-S2_comparison">
        <w:r>
          <w:rPr>
            <w:rStyle w:val="Hyperlink"/>
          </w:rPr>
          <w:t xml:space="preserve">Figure 6</w:t>
        </w:r>
      </w:hyperlink>
      <w:r>
        <w:t xml:space="preserve"> </w:t>
      </w:r>
      <w:r>
        <w:t xml:space="preserve">C and D right). The reflectance spectra over dark seagrass were characterized by the loss of the reflectance peak at 560 nm and a decrease in the infrared plateau, which was observed as a steady increasing slope up to 940 nm.</w:t>
      </w:r>
    </w:p>
    <w:bookmarkStart w:id="78" w:name="cell-fig-S2_comparison"/>
    <w:tbl>
      <w:tblPr>
        <w:tblStyle w:val="Table"/>
        <w:tblW w:type="pct" w:w="5000"/>
        <w:tblLayout w:type="fixed"/>
        <w:tblLook w:firstRow="0" w:lastRow="0" w:firstColumn="0" w:lastColumn="0" w:noHBand="0" w:noVBand="0" w:val="0000"/>
      </w:tblPr>
      <w:tblGrid>
        <w:gridCol w:w="7920"/>
      </w:tblGrid>
      <w:tr>
        <w:tc>
          <w:tcPr/>
          <w:bookmarkStart w:id="77" w:name="fig-S2_comparison"/>
          <w:p>
            <w:pPr>
              <w:pStyle w:val="Compact"/>
              <w:jc w:val="center"/>
            </w:pPr>
            <w:r>
              <w:drawing>
                <wp:inline>
                  <wp:extent cx="5646420" cy="5392331"/>
                  <wp:effectExtent b="0" l="0" r="0" t="0"/>
                  <wp:docPr descr="" title="" id="75" name="Picture"/>
                  <a:graphic>
                    <a:graphicData uri="http://schemas.openxmlformats.org/drawingml/2006/picture">
                      <pic:pic>
                        <pic:nvPicPr>
                          <pic:cNvPr descr="Figs/Low_res/Heatwaves_S2_plot.png" id="76" name="Picture"/>
                          <pic:cNvPicPr>
                            <a:picLocks noChangeArrowheads="1" noChangeAspect="1"/>
                          </pic:cNvPicPr>
                        </pic:nvPicPr>
                        <pic:blipFill>
                          <a:blip r:embed="rId74"/>
                          <a:stretch>
                            <a:fillRect/>
                          </a:stretch>
                        </pic:blipFill>
                        <pic:spPr bwMode="auto">
                          <a:xfrm>
                            <a:off x="0" y="0"/>
                            <a:ext cx="5646420" cy="53923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Spectral Comparison of Sentinel-2 Reflectance (D) of Quadrats Points (QPs) Before (A) and During (C) Heatwave Events (B); A: RGB color composition of the Sentinel-2 image on the 1st of September 2021. The points correspond to GCPs collected on September 10, 2021, with unimpacted seagrass in green and impacted seagrass in golden; B: Detection of heatwave events based on both Air Temperature and Sea Surface Temperature (SST). The solid line represents the daily average temperature, while the dashed line indicates the 90th percentile of the climatology. Colored areas identify heatwaves (marine in blue and atmospherical in red). The two vertical dashed lines represent the acquisition dates of the two Sentinel-2 images used in this analysis (01-09-2021 and 06-09-2021) ; C : RGB color composition of the Sentinel-2 image on the 6th of September 2021, with unimpacted seagrass in green and impacted seagrass in golden; D : Average spectral signatures of GCPs where dark and green seagrasses (gold and green lines, respectively) were identified during the field survey. The left plot shows the reflectance of these QPs before the heatwave impact, while the right plot shows the spectral signature during the heatwaves. The ribbons around the lines represent the standard deviation.</w:t>
            </w:r>
          </w:p>
          <w:bookmarkEnd w:id="77"/>
        </w:tc>
      </w:tr>
    </w:tbl>
    <w:bookmarkEnd w:id="78"/>
    <w:bookmarkEnd w:id="79"/>
    <w:bookmarkStart w:id="85" w:name="sentinel-2-derived-metrics-comparison"/>
    <w:p>
      <w:pPr>
        <w:pStyle w:val="Heading3"/>
      </w:pPr>
      <w:r>
        <w:t xml:space="preserve">3.2.2 Sentinel-2 derived metrics comparison</w:t>
      </w:r>
    </w:p>
    <w:p>
      <w:pPr>
        <w:pStyle w:val="FirstParagraph"/>
      </w:pPr>
      <w:r>
        <w:t xml:space="preserve">Using Sentinel-2 data, the remote sensing derived metrics, the NDVI, the Seagrass Cover (SC), the GLI and the SDI estimated for pixels unaffected by the heatwave showed minimal changes for all metrics of -1 %, -1 %, -10 and 3 %, respectively between the 1st of September and the 6th of September (</w:t>
      </w:r>
      <w:hyperlink w:anchor="fig-NDVI_GLI_SPC">
        <w:r>
          <w:rPr>
            <w:rStyle w:val="Hyperlink"/>
          </w:rPr>
          <w:t xml:space="preserve">Figure 7</w:t>
        </w:r>
      </w:hyperlink>
      <w:r>
        <w:t xml:space="preserve">). In contrast, seagrass impacted by the heatwave exhibited a significant changes in all metrics. Because the SC is linearly linked with the NDVI, both metric drop of -35 %, however the drop in SC were not due to a loss of density of seagrass on the field (</w:t>
      </w:r>
      <w:hyperlink w:anchor="fig-QuiberonImg">
        <w:r>
          <w:rPr>
            <w:rStyle w:val="Hyperlink"/>
          </w:rPr>
          <w:t xml:space="preserve">Figure 3</w:t>
        </w:r>
      </w:hyperlink>
      <w:r>
        <w:t xml:space="preserve">). The GLI drops of about -85 % at the 6th of September. The SDI were the most sensitive metric to the darkening of seagrasses, showing an increase of 97 % during heatwave exposure (</w:t>
      </w:r>
      <w:hyperlink w:anchor="fig-NDVI_GLI_SPC">
        <w:r>
          <w:rPr>
            <w:rStyle w:val="Hyperlink"/>
          </w:rPr>
          <w:t xml:space="preserve">Figure 7</w:t>
        </w:r>
      </w:hyperlink>
      <w:r>
        <w:t xml:space="preserve">).</w:t>
      </w:r>
    </w:p>
    <w:p>
      <w:pPr>
        <w:pStyle w:val="BodyText"/>
      </w:pPr>
      <w:r>
        <w:t xml:space="preserve">One month later the heatwaves events, on the 8th of October, all metrics of unimpacted QPs have increased compared to the 1st of September: The NDVI and SC by 21 %, The GLI by 15 % and the SDI 14 %. Concerning QPs impacted by the heatwaves, even if all the metrics are closer to the values they had before the heatwave, they have not retrieved there level of before the heatwave. At the 8th of October, the NDVI and the SC of these QPs were -5 %, The GLI -16 % and the SDI 14 %.</w:t>
      </w:r>
    </w:p>
    <w:bookmarkStart w:id="84" w:name="cell-fig-NDVI_GLI_SPC"/>
    <w:tbl>
      <w:tblPr>
        <w:tblStyle w:val="Table"/>
        <w:tblW w:type="pct" w:w="5000"/>
        <w:tblLayout w:type="fixed"/>
        <w:tblLook w:firstRow="0" w:lastRow="0" w:firstColumn="0" w:lastColumn="0" w:noHBand="0" w:noVBand="0" w:val="0000"/>
      </w:tblPr>
      <w:tblGrid>
        <w:gridCol w:w="7920"/>
      </w:tblGrid>
      <w:tr>
        <w:tc>
          <w:tcPr/>
          <w:bookmarkStart w:id="83" w:name="fig-NDVI_GLI_SPC"/>
          <w:p>
            <w:pPr>
              <w:pStyle w:val="Compact"/>
              <w:jc w:val="center"/>
            </w:pPr>
            <w:r>
              <w:drawing>
                <wp:inline>
                  <wp:extent cx="5646420" cy="5646420"/>
                  <wp:effectExtent b="0" l="0" r="0" t="0"/>
                  <wp:docPr descr="" title="" id="81" name="Picture"/>
                  <a:graphic>
                    <a:graphicData uri="http://schemas.openxmlformats.org/drawingml/2006/picture">
                      <pic:pic>
                        <pic:nvPicPr>
                          <pic:cNvPr descr="Figs/Low_res/Compares_Indices_S2.png" id="82" name="Picture"/>
                          <pic:cNvPicPr>
                            <a:picLocks noChangeArrowheads="1" noChangeAspect="1"/>
                          </pic:cNvPicPr>
                        </pic:nvPicPr>
                        <pic:blipFill>
                          <a:blip r:embed="rId80"/>
                          <a:stretch>
                            <a:fillRect/>
                          </a:stretch>
                        </pic:blipFill>
                        <pic:spPr bwMode="auto">
                          <a:xfrm>
                            <a:off x="0" y="0"/>
                            <a:ext cx="5646420" cy="564642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Comparaison the relative difference since the 1st of September 2021 of Sentinel-2 based metrics at two different dates : during (2021-09-06) and after the heatwave events (2021-10-08) of Quiberons, for the two category of QPs : Unimpacted seagrasses (green) and Impacted Seagrasses (red). A: Normalized Difference Vegetation Index (NDVI); B: Seagrass Cover (SC); C: Green Leaf Index (GLI); D: Seagrass Darkening Index (SDI). Points represent predicted value of the metric using a GLM while error bar represent the 89% confidance interval of it.</w:t>
            </w:r>
          </w:p>
          <w:bookmarkEnd w:id="83"/>
        </w:tc>
      </w:tr>
    </w:tbl>
    <w:bookmarkEnd w:id="84"/>
    <w:bookmarkEnd w:id="85"/>
    <w:bookmarkStart w:id="96" w:name="mapping-of-the-seagrass-darkening"/>
    <w:p>
      <w:pPr>
        <w:pStyle w:val="Heading3"/>
      </w:pPr>
      <w:r>
        <w:t xml:space="preserve">3.2.3 Mapping of the seagrass darkening</w:t>
      </w:r>
    </w:p>
    <w:p>
      <w:pPr>
        <w:pStyle w:val="FirstParagraph"/>
      </w:pPr>
      <w:r>
        <w:t xml:space="preserve">Using the SDI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24 % of the total seagrass meadow area showed signs of darkening between the 1st and 6th of September 2021. Comparing the spatial distribution of darkened patches with the site’s bathymetry reveals that 94.6 % of darkened areas are located at above 3.9 meters of bathymetry (</w:t>
      </w:r>
      <w:hyperlink w:anchor="fig-Map_darkening_Bathy">
        <w:r>
          <w:rPr>
            <w:rStyle w:val="Hyperlink"/>
          </w:rPr>
          <w:t xml:space="preserve">Figure 8</w:t>
        </w:r>
      </w:hyperlink>
      <w:r>
        <w:t xml:space="preserve">, A and B).</w:t>
      </w:r>
      <w:r>
        <w:t xml:space="preserve"> </w:t>
      </w:r>
      <w:r>
        <w:t xml:space="preserve">One month later, on October 8th, areas that were previously darkened have regained their green color (</w:t>
      </w:r>
      <w:hyperlink w:anchor="fig-Map_darkening_Bathy">
        <w:r>
          <w:rPr>
            <w:rStyle w:val="Hyperlink"/>
          </w:rPr>
          <w:t xml:space="preserve">Figure 8</w:t>
        </w:r>
      </w:hyperlink>
      <w:r>
        <w:t xml:space="preserve">, C).</w:t>
      </w:r>
    </w:p>
    <w:bookmarkStart w:id="90" w:name="cell-fig-Map_darkening_Bathy"/>
    <w:tbl>
      <w:tblPr>
        <w:tblStyle w:val="Table"/>
        <w:tblW w:type="pct" w:w="5000"/>
        <w:tblLayout w:type="fixed"/>
        <w:tblLook w:firstRow="0" w:lastRow="0" w:firstColumn="0" w:lastColumn="0" w:noHBand="0" w:noVBand="0" w:val="0000"/>
      </w:tblPr>
      <w:tblGrid>
        <w:gridCol w:w="7920"/>
      </w:tblGrid>
      <w:tr>
        <w:tc>
          <w:tcPr/>
          <w:bookmarkStart w:id="89" w:name="fig-Map_darkening_Bathy"/>
          <w:p>
            <w:pPr>
              <w:pStyle w:val="Compact"/>
              <w:jc w:val="center"/>
            </w:pPr>
            <w:r>
              <w:drawing>
                <wp:inline>
                  <wp:extent cx="5646420" cy="3500780"/>
                  <wp:effectExtent b="0" l="0" r="0" t="0"/>
                  <wp:docPr descr="" title="" id="87" name="Picture"/>
                  <a:graphic>
                    <a:graphicData uri="http://schemas.openxmlformats.org/drawingml/2006/picture">
                      <pic:pic>
                        <pic:nvPicPr>
                          <pic:cNvPr descr="Figs/Low_res/Map_darkening_Bathy.png" id="88" name="Picture"/>
                          <pic:cNvPicPr>
                            <a:picLocks noChangeArrowheads="1" noChangeAspect="1"/>
                          </pic:cNvPicPr>
                        </pic:nvPicPr>
                        <pic:blipFill>
                          <a:blip r:embed="rId86"/>
                          <a:stretch>
                            <a:fillRect/>
                          </a:stretch>
                        </pic:blipFill>
                        <pic:spPr bwMode="auto">
                          <a:xfrm>
                            <a:off x="0" y="0"/>
                            <a:ext cx="5646420" cy="35007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Map of the Darkening of seagrasses during the heatwave events of September 2021 in Quiberon. A: 3.9 m bathymetry isobar (golden line); B: Result of the detection of darkened seagrass patches (Blue plolygons); C: Sentinel-2 image one month after the end of the heatwaves (2021-10-08).</w:t>
            </w:r>
          </w:p>
          <w:bookmarkEnd w:id="89"/>
        </w:tc>
      </w:tr>
    </w:tbl>
    <w:bookmarkEnd w:id="90"/>
    <w:p>
      <w:pPr>
        <w:pStyle w:val="BodyText"/>
      </w:pPr>
      <w:r>
        <w:t xml:space="preserve">Additionally, the analysis of bathymetry data to determine seagrass emersion time reveals a clear relationship between the duration of air exposure and seagrass darkening. During the heatwave, no significant darkening occurred with daily exposure below 13 hours. However, above 13 hours, seagrasses began to darken, reaching peak darkening at around 14.5 hours of daily exposure (</w:t>
      </w:r>
      <w:hyperlink w:anchor="fig-GAM_Emersion">
        <w:r>
          <w:rPr>
            <w:rStyle w:val="Hyperlink"/>
          </w:rPr>
          <w:t xml:space="preserve">Figure 9</w:t>
        </w:r>
      </w:hyperlink>
      <w:r>
        <w:t xml:space="preserve">).</w:t>
      </w:r>
    </w:p>
    <w:bookmarkStart w:id="95" w:name="cell-fig-GAM_Emersion"/>
    <w:tbl>
      <w:tblPr>
        <w:tblStyle w:val="Table"/>
        <w:tblW w:type="pct" w:w="5000"/>
        <w:tblLayout w:type="fixed"/>
        <w:tblLook w:firstRow="0" w:lastRow="0" w:firstColumn="0" w:lastColumn="0" w:noHBand="0" w:noVBand="0" w:val="0000"/>
      </w:tblPr>
      <w:tblGrid>
        <w:gridCol w:w="7920"/>
      </w:tblGrid>
      <w:tr>
        <w:tc>
          <w:tcPr/>
          <w:bookmarkStart w:id="94" w:name="fig-GAM_Emersion"/>
          <w:p>
            <w:pPr>
              <w:pStyle w:val="Compact"/>
              <w:jc w:val="center"/>
            </w:pPr>
            <w:r>
              <w:drawing>
                <wp:inline>
                  <wp:extent cx="5646420" cy="2823210"/>
                  <wp:effectExtent b="0" l="0" r="0" t="0"/>
                  <wp:docPr descr="" title="" id="92" name="Picture"/>
                  <a:graphic>
                    <a:graphicData uri="http://schemas.openxmlformats.org/drawingml/2006/picture">
                      <pic:pic>
                        <pic:nvPicPr>
                          <pic:cNvPr descr="Figs/Low_res/GAM_emersion.png" id="93" name="Picture"/>
                          <pic:cNvPicPr>
                            <a:picLocks noChangeArrowheads="1" noChangeAspect="1"/>
                          </pic:cNvPicPr>
                        </pic:nvPicPr>
                        <pic:blipFill>
                          <a:blip r:embed="rId91"/>
                          <a:stretch>
                            <a:fillRect/>
                          </a:stretch>
                        </pic:blipFill>
                        <pic:spPr bwMode="auto">
                          <a:xfrm>
                            <a:off x="0" y="0"/>
                            <a:ext cx="5646420" cy="282321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Relative change of the SDI before and during the heatwaves events as a function of the daily emergence time of seagrasses. The line represents a Generalized Additive Model (GAM) prediction, and the shaded area indicates the standard error. Shaded points represent raw data, with each point corresponding to a single pixel of the meadow.</w:t>
            </w:r>
          </w:p>
          <w:bookmarkEnd w:id="94"/>
        </w:tc>
      </w:tr>
    </w:tbl>
    <w:bookmarkEnd w:id="95"/>
    <w:bookmarkEnd w:id="96"/>
    <w:bookmarkEnd w:id="97"/>
    <w:bookmarkEnd w:id="98"/>
    <w:bookmarkStart w:id="103" w:name="discussion"/>
    <w:p>
      <w:pPr>
        <w:pStyle w:val="Heading1"/>
      </w:pPr>
      <w:r>
        <w:t xml:space="preserve">4. Discussion</w:t>
      </w:r>
    </w:p>
    <w:bookmarkStart w:id="99" w:name="Xd32f8be805d1b37672f96d647c22fdb6e508461"/>
    <w:p>
      <w:pPr>
        <w:pStyle w:val="Heading2"/>
      </w:pPr>
      <w:r>
        <w:t xml:space="preserve">4.1 Physiological impacts of heatwaves on seagrasses</w:t>
      </w:r>
    </w:p>
    <w:p>
      <w:pPr>
        <w:pStyle w:val="FirstParagraph"/>
      </w:pPr>
      <w:r>
        <w:t xml:space="preserve">Although extensive research exists on marine heatwaves’ effects on subtidal seagrasses, little attention has been given to intertidal habitats and even less to the interaction between atmospherical extreme event and intertidal meadows. This study initiates an exploration of how intertidal seagrasses respond to the dual influence of marine and atmospheric heatwaves, underscoring the need for further investigation in this underexplored area.</w:t>
      </w:r>
    </w:p>
    <w:p>
      <w:pPr>
        <w:pStyle w:val="BodyText"/>
      </w:pPr>
      <w:r>
        <w:t xml:space="preserve">In the present study, significant changes in the reflectance of seagrasses exposed to heatwaves were observed experimentally. These changes mainly include a drop in reflectance around 560 nm and another drop around 740 nm in the near-infrared part of the spectrum.</w:t>
      </w:r>
      <w:r>
        <w:t xml:space="preserve"> </w:t>
      </w:r>
      <w:hyperlink w:anchor="fig-Exp_Spectral_indices">
        <w:r>
          <w:rPr>
            <w:rStyle w:val="Hyperlink"/>
          </w:rPr>
          <w:t xml:space="preserve">Figure 5</w:t>
        </w:r>
      </w:hyperlink>
      <w:r>
        <w:t xml:space="preserve"> </w:t>
      </w:r>
      <w:r>
        <w:t xml:space="preserve">illustrates distinct temporal trends across the different spectral indices monitored throughout the experiment. The second derivative at 665 nm (R’’665), NDVI, and GLI (panels B, C, and D) all demonstrate a clear decline over the experimental period (days 1-3), suggesting a progressive reduction in photosynthetic activity or pigment levels in the treatment group relative to the control. In contrast, SDI (panel E) shows a marked increase, reaching up to 600% by day 3. This positive trend in SDI aligns with its design as an index to indicate darkening of seagrass, likely resulting from structural or physiological changes, such as degraded pigmentation or altered light absorption. While the general trends are consistent across experimental runs, there is some variability, particularly evident in the confidence intervals, which are wider for SDI than for the other indices. This suggests that while darkening is a consistent response, it may vary in intensity between individual samples or experimental runs. Furthermore, the contrasting magnitudes of change—especially the pronounced increases in SDI versus the declines in other indices—highlight the sensitivity of SDI to changes associated with seagrass darkening, which could be indicative of stress or adaptation responses specific to the treatment conditions.</w:t>
      </w:r>
    </w:p>
    <w:p>
      <w:pPr>
        <w:pStyle w:val="BodyText"/>
      </w:pPr>
      <w:r>
        <w:t xml:space="preserve">The change in color can be multifactorial and has been documented in plants under various stress conditions, including thermal stress. Leaf blackening in angiosperms, as observed in</w:t>
      </w:r>
      <w:r>
        <w:t xml:space="preserve"> </w:t>
      </w:r>
      <w:r>
        <w:rPr>
          <w:i/>
          <w:iCs/>
        </w:rPr>
        <w:t xml:space="preserve">Protea neriifolia</w:t>
      </w:r>
      <w:r>
        <w:t xml:space="preserve">, is primarily driven by oxidative processes involving the enzyme polyphenol oxidase (PPO) and the oxidation of phenolic compounds. When photosynthesis is inhibited by factors such as low light, chemical interference, or thermal stress, the plant’s production of essential carbohydrates and antioxidants diminishes, increasing oxidative stress and leading to darkening. Experimental essays have proved that low-oxygen environments and the addition of antioxydants like diphenylamine (DPA), have been effective in reducing these oxidative reactions. In the absence of photosynthesis, membrane integrity is also compromised, allowing PPO to interact with phenolic compounds, thereby accelerating darkening. Furthermore, high temperatures can destabilize membranes, especially in chloroplasts, disrupting photosystem II and impairing recovery of photosynthetic function</w:t>
      </w:r>
      <w:r>
        <w:t xml:space="preserve"> </w:t>
      </w:r>
      <w:r>
        <w:t xml:space="preserve">(Dascaliuc et al., 2007; Jones and Clayton-Greene, 1992)</w:t>
      </w:r>
      <w:r>
        <w:t xml:space="preserve">. As chlorophyll-a degrades, the ratio of pigments shift; with pigments like carotenoids becoming more prominent, leading to a darkening of the leaves.</w:t>
      </w:r>
    </w:p>
    <w:p>
      <w:pPr>
        <w:pStyle w:val="BodyText"/>
      </w:pPr>
      <w:r>
        <w:rPr>
          <w:i/>
          <w:iCs/>
        </w:rPr>
        <w:t xml:space="preserve">Zostera noltei</w:t>
      </w:r>
      <w:r>
        <w:t xml:space="preserve">, as a species inhabiting the intertidal zone and regularly exposed to air, has developed adaptations to minimize water stress. For example, it exhibits smaller, narrower leaves compared to species residing lower in the intertidal zone, such as</w:t>
      </w:r>
      <w:r>
        <w:t xml:space="preserve"> </w:t>
      </w:r>
      <w:r>
        <w:rPr>
          <w:i/>
          <w:iCs/>
        </w:rPr>
        <w:t xml:space="preserve">Zostera marina</w:t>
      </w:r>
      <w:r>
        <w:t xml:space="preserve">, which helps reduce water loss during air exposure periods</w:t>
      </w:r>
      <w:r>
        <w:t xml:space="preserve"> </w:t>
      </w:r>
      <w:r>
        <w:t xml:space="preserve">(Cabaço et al., 2009)</w:t>
      </w:r>
      <w:r>
        <w:t xml:space="preserve">. However, during intense warming events and under high light conditions, desiccation can occur in certain parts of the meadow, particularly where seagrass leaves are exposed for prolonged periods (</w:t>
      </w:r>
      <w:hyperlink w:anchor="fig-GAM_Emersion">
        <w:r>
          <w:rPr>
            <w:rStyle w:val="Hyperlink"/>
          </w:rPr>
          <w:t xml:space="preserve">Figure 9</w:t>
        </w:r>
      </w:hyperlink>
      <w:r>
        <w:t xml:space="preserve">). Under such water stress, cellular turgor pressure decreases (the internal cell water pressure that maintains cell shape), and concentrations of ions like Na+ and Cl– can reach toxic levels. These effects can impair cellular functions, enzymatic activity, and membrane stability.</w:t>
      </w:r>
    </w:p>
    <w:p>
      <w:pPr>
        <w:pStyle w:val="BodyText"/>
      </w:pPr>
      <w:r>
        <w:t xml:space="preserve">High infrared reflectance in plant leaves is primarly due to the internal cellular structure that scatters light. Once sunlight enters the leaf, it is diffused through carious layers, particularly the spongy mesophyll, which contains air spaces and cell walls with different refractive indices. this scattering effect is intensified because there is minimal absorption in the near-infrared range (700 - 1300 nm), allowing light to reflect back through the leaf surface. Once the membranes (chloroplasts, thylakoids, cell walls) are destroyed due to oxidative stress, the reflectance in the Red Edge and the near-infrared regions of the spectrum (&gt; 700 nm) decreases significantly</w:t>
      </w:r>
      <w:r>
        <w:t xml:space="preserve"> </w:t>
      </w:r>
      <w:r>
        <w:t xml:space="preserve">(Knipling, 1970)</w:t>
      </w:r>
      <w:r>
        <w:t xml:space="preserve">.</w:t>
      </w:r>
    </w:p>
    <w:p>
      <w:pPr>
        <w:pStyle w:val="BodyText"/>
      </w:pPr>
      <w:r>
        <w:t xml:space="preserve">These unique reflectance properties of seagrasses under heat stress enable the detection of this darkening through remote sensing techniques. The SDI (</w:t>
      </w:r>
      <w:hyperlink w:anchor="eq-SDI">
        <w:r>
          <w:rPr>
            <w:rStyle w:val="Hyperlink"/>
          </w:rPr>
          <w:t xml:space="preserve">Equation 4</w:t>
        </w:r>
      </w:hyperlink>
      <w:r>
        <w:t xml:space="preserve">) index developed in this study leverages key reflectance bands (560, 740 and 840 nm) to detect reductions in the green and the Red-Edge regions. SDI can be used to assess the extent and severity of darkening events across intertidal seagrass meadows from space. Current satellite missions, including Sentinel-2, Pleiades-Neo, WorldView-3, SkySat, and GeoSat-2 along with upcoming missions (Sentinel-2 Next Generation and Landsat Next), capture reflectance in the three wavelengths used as input for SDI. As climate change advances, remote sensing becomes a crucial tool for monitoring cumulative ecological impacts on seagrass meadows due to heatwaves. Although these physiological and structural changes occur at the cellular level over short temporal scales, they manifest synchronously across the entire meadow. Remote sensing, with its synoptic views and real-time acquisition capabilities, enables the monitoring of these rapid biological responses to natural stressors. However, cloud coverage can limit continuous observations, necessitating the integration of alternative tools, such as multi-spectral drone platforms. Combined approaches allow for precise, localized monitoring of damaged seagrass meadows immediately after extreme events, which is critical for the early detection of ecosystem degradation, quick actions for habitat 6conservation and targeted management strategies. Moreover, uninterrupted, multi-year data acquisition would strengthen predictive ecological models for future heatwave impacts, enhancing the capacity for adaptive management and supporting long-term resilience planning for seagrass ecosystems.</w:t>
      </w:r>
    </w:p>
    <w:bookmarkEnd w:id="99"/>
    <w:bookmarkStart w:id="100" w:name="climate-change-and-heatwaves"/>
    <w:p>
      <w:pPr>
        <w:pStyle w:val="Heading2"/>
      </w:pPr>
      <w:r>
        <w:t xml:space="preserve">4.2 Climate change and heatwaves</w:t>
      </w:r>
    </w:p>
    <w:p>
      <w:pPr>
        <w:pStyle w:val="FirstParagraph"/>
      </w:pPr>
      <w:r>
        <w:t xml:space="preserve">The rapid global escalation of heatwave frequency, intensity and duration is a defining characteristic of the current climate crisis, heavily influenced by anthropogenic activities and greenhouse gas emissions. Recent research suggests that the magnitude of these events has surged in the past decades, with climate projections predicting a continuation of this trend. For example, heatwaves that were once considered rare are now up to ten times more likely to occur, with some regions experiencing events three times as intense as those in the early 20th century</w:t>
      </w:r>
      <w:r>
        <w:t xml:space="preserve"> </w:t>
      </w:r>
      <w:r>
        <w:t xml:space="preserve">(Devi et al., 2024; Russo and Domeisen, 2023)</w:t>
      </w:r>
      <w:r>
        <w:t xml:space="preserve"> </w:t>
      </w:r>
      <w:r>
        <w:t xml:space="preserve">. Cumulative indices that quantify heatwave intensity are based on total temperature exceedances and offer a more comprehensive understanding of event severity than average temperature alone. This is because the cumulative impact of prolonged high temperatures imposes more extensive stress on ecosystems than isolated peak temperatures</w:t>
      </w:r>
      <w:r>
        <w:t xml:space="preserve"> </w:t>
      </w:r>
      <w:r>
        <w:t xml:space="preserve">(Russo and Domeisen, 2023)</w:t>
      </w:r>
      <w:r>
        <w:t xml:space="preserve">.</w:t>
      </w:r>
    </w:p>
    <w:p>
      <w:pPr>
        <w:pStyle w:val="BodyText"/>
      </w:pPr>
      <w:r>
        <w:t xml:space="preserve">From a hazard analysis perspective, the concurrent evaluation of intensity, frequency, and duration of atmospheric heatwaves allows for a partial understanding of their likely impacts. Models like the Heatwave Intensity Duration Frequency (HIDF) provide insights into various heatwave scenarios, indicating that both short intense and prolonged moderate events present unique risks depending on the region. For instance, in the Mediterranean, the frequency of high-intensity heatwaves has dramatically increased, leading to severe impacts on urban infrastructure, public health, energy consumption but also to terrestrial and intertidal ecosystems, such as seagrass meadows</w:t>
      </w:r>
      <w:r>
        <w:t xml:space="preserve"> </w:t>
      </w:r>
      <w:r>
        <w:t xml:space="preserve">(Mazdiyasni et al., 2019; Smale et al., 2019)</w:t>
      </w:r>
      <w:r>
        <w:t xml:space="preserve">. Sharper increase in extreme heat events are expected in regions experiencing large daily thermic amplitude, which underscores the role of atmospheric variability in local heatwave dynamics. In mid-latitudes, where daily variability is expected to decrease, heat extremes may stabilize at elevated levels, reducing cold extremes while allowing for increasingly frequent hot day</w:t>
      </w:r>
      <w:r>
        <w:t xml:space="preserve"> </w:t>
      </w:r>
      <w:r>
        <w:t xml:space="preserve">(Simolo and Corti, 2022)</w:t>
      </w:r>
      <w:r>
        <w:t xml:space="preserve">.</w:t>
      </w:r>
    </w:p>
    <w:p>
      <w:pPr>
        <w:pStyle w:val="BodyText"/>
      </w:pPr>
      <w:r>
        <w:t xml:space="preserve">In the ocean, similar trends are observed with marine heatwaves (MHWs). MHWs have increased by over 50% in annual days since the early 20th century, and projections suggest that a near-permanent state of marine heatwaves, based on nowadays baselines, could develop by the end of the century if greenhouse gas emissions remain high</w:t>
      </w:r>
      <w:r>
        <w:t xml:space="preserve"> </w:t>
      </w:r>
      <w:r>
        <w:t xml:space="preserve">(Oliver et al., 2019)</w:t>
      </w:r>
      <w:r>
        <w:t xml:space="preserve">. Events like the</w:t>
      </w:r>
      <w:r>
        <w:t xml:space="preserve"> </w:t>
      </w:r>
      <w:r>
        <w:t xml:space="preserve">“Blob”</w:t>
      </w:r>
      <w:r>
        <w:t xml:space="preserve"> </w:t>
      </w:r>
      <w:r>
        <w:t xml:space="preserve">in the northeast Pacific (2013–2016) have underscored the ecological ramifications of such heat anomalies, including shifts in species distributions, mass mortalities, and habitat degradation across vast oceanic regions. The physical mechanisms driving MHWs, such as altered ocean circulation and air-sea heat flux, further illustrate the interconnectedness of atmospheric and marine systems in the context of climate-driven thermal extremes</w:t>
      </w:r>
      <w:r>
        <w:t xml:space="preserve"> </w:t>
      </w:r>
      <w:r>
        <w:t xml:space="preserve">(Smale et al., 2019)</w:t>
      </w:r>
      <w:r>
        <w:t xml:space="preserve">.</w:t>
      </w:r>
    </w:p>
    <w:p>
      <w:pPr>
        <w:pStyle w:val="BodyText"/>
      </w:pPr>
      <w:r>
        <w:t xml:space="preserve">The escalating frequency and intensity of heatwaves represent not only an atmospheric anomaly but a profound disruption to ecological stability across diverse ecosystems</w:t>
      </w:r>
      <w:r>
        <w:t xml:space="preserve"> </w:t>
      </w:r>
      <w:r>
        <w:t xml:space="preserve">(Devi et al., 2024; Stillman, 2019)</w:t>
      </w:r>
      <w:r>
        <w:t xml:space="preserve">. The sustained high temperatures associated with both atmospheric and marine heatwaves lead to physiological stress, habitat degradation, and increased mortality in many species, particularly those with limited thermal tolerance</w:t>
      </w:r>
      <w:r>
        <w:t xml:space="preserve"> </w:t>
      </w:r>
      <w:r>
        <w:t xml:space="preserve">(Oliver et al., 2019; Simolo and Corti, 2022)</w:t>
      </w:r>
      <w:r>
        <w:t xml:space="preserve">. Terrestrial and marine ecosystems experience shifts in species distributions, altered community dynamics, and reduced biodiversity as species are either forced to migrate or face local extinction under increasingly inhospitable conditions</w:t>
      </w:r>
      <w:r>
        <w:t xml:space="preserve"> </w:t>
      </w:r>
      <w:r>
        <w:t xml:space="preserve">(Pansch et al., 2018)</w:t>
      </w:r>
      <w:r>
        <w:t xml:space="preserve">. Similarly, in marine environments, prolonged heat stress from marine heatwaves has cascading effects on foundational species, including corals, kelps, and seagrasses, all of which are crucial for providing habitat, food, and shelter to diverse marine life</w:t>
      </w:r>
      <w:r>
        <w:t xml:space="preserve"> </w:t>
      </w:r>
      <w:r>
        <w:t xml:space="preserve">(Oliver et al., 2019; Smale et al., 2019)</w:t>
      </w:r>
      <w:r>
        <w:t xml:space="preserve">. Seagrasses, in particular, play a vital role in carbon sequestration and coastal protection but are especially vulnerable to extreme heat events. Elevated temperatures can disrupt seagrass photosynthesis and metabolic processes, leading to reduced growth and heightened susceptibility to disease</w:t>
      </w:r>
      <w:r>
        <w:t xml:space="preserve"> </w:t>
      </w:r>
      <w:r>
        <w:t xml:space="preserve">(Deguette et al., 2022; Guerrero-Meseguer et al., 2020; Sawall et al., 2021; Winters et al., 2011)</w:t>
      </w:r>
      <w:r>
        <w:t xml:space="preserve">. With repeated heatwave exposure and limited recovery periods, seagrass meadows may suffer severe declines, threatening their ability to deliver key ecosystem services such as carbon storage, sediment stabilization, and habitat provision</w:t>
      </w:r>
      <w:r>
        <w:t xml:space="preserve"> </w:t>
      </w:r>
      <w:r>
        <w:t xml:space="preserve">(Mazdiyasni et al., 2019)</w:t>
      </w:r>
      <w:r>
        <w:t xml:space="preserve">. The compounded impacts of atmospheric and marine heatwaves thus pose an existential threat to intertidal seagrass ecosystems, highlighting the urgent need for targeted climate adaptation measures to mitigate these escalating thermal stresses and preserve the resilience of these essential marine habitats</w:t>
      </w:r>
      <w:r>
        <w:t xml:space="preserve"> </w:t>
      </w:r>
      <w:r>
        <w:t xml:space="preserve">(Russo and Domeisen, 2023; Stillman, 2019)</w:t>
      </w:r>
      <w:r>
        <w:t xml:space="preserve">.</w:t>
      </w:r>
    </w:p>
    <w:bookmarkEnd w:id="100"/>
    <w:bookmarkStart w:id="101" w:name="seagrass-resilience-to-heatwaves"/>
    <w:p>
      <w:pPr>
        <w:pStyle w:val="Heading2"/>
      </w:pPr>
      <w:r>
        <w:t xml:space="preserve">4.3 Seagrass resilience to heatwaves</w:t>
      </w:r>
    </w:p>
    <w:p>
      <w:pPr>
        <w:pStyle w:val="FirstParagraph"/>
      </w:pPr>
      <w:r>
        <w:t xml:space="preserve">Seagrass resilience to heatwaves is a complex and multifaceted issue shaped by species-specific traits, geographical location, and concurrent environmental stressors</w:t>
      </w:r>
      <w:r>
        <w:t xml:space="preserve"> </w:t>
      </w:r>
      <w:r>
        <w:t xml:space="preserve">(Berger et al., 2024; Canadell and Jackson, 2021; Hatum et al., 2024)</w:t>
      </w:r>
      <w:r>
        <w:t xml:space="preserve">. As climate change drives the frequency and intensity of marine heatwaves, understanding these dynamics becomes crucial, especially for temperate seagrass meadows composed of slow-growing, long-lived species like</w:t>
      </w:r>
      <w:r>
        <w:t xml:space="preserve"> </w:t>
      </w:r>
      <w:r>
        <w:rPr>
          <w:i/>
          <w:iCs/>
        </w:rPr>
        <w:t xml:space="preserve">Posidonia</w:t>
      </w:r>
      <w:r>
        <w:t xml:space="preserve">,</w:t>
      </w:r>
      <w:r>
        <w:t xml:space="preserve"> </w:t>
      </w:r>
      <w:r>
        <w:rPr>
          <w:i/>
          <w:iCs/>
        </w:rPr>
        <w:t xml:space="preserve">Amphibolis</w:t>
      </w:r>
      <w:r>
        <w:t xml:space="preserve">, and</w:t>
      </w:r>
      <w:r>
        <w:t xml:space="preserve"> </w:t>
      </w:r>
      <w:r>
        <w:rPr>
          <w:i/>
          <w:iCs/>
        </w:rPr>
        <w:t xml:space="preserve">Zostera.</w:t>
      </w:r>
      <w:r>
        <w:t xml:space="preserve"> </w:t>
      </w:r>
      <w:r>
        <w:t xml:space="preserve">These species, unlike their tropical counterparts, tend to be highly vulnerable to abrupt environmental changes, struggling to recover from disturbances due to their slower growth and longer lifespan. In contrast, colonizing species typical of tropical regions, such as</w:t>
      </w:r>
      <w:r>
        <w:t xml:space="preserve"> </w:t>
      </w:r>
      <w:r>
        <w:rPr>
          <w:i/>
          <w:iCs/>
        </w:rPr>
        <w:t xml:space="preserve">Halodule</w:t>
      </w:r>
      <w:r>
        <w:t xml:space="preserve">,</w:t>
      </w:r>
      <w:r>
        <w:t xml:space="preserve"> </w:t>
      </w:r>
      <w:r>
        <w:rPr>
          <w:i/>
          <w:iCs/>
        </w:rPr>
        <w:t xml:space="preserve">Halophila</w:t>
      </w:r>
      <w:r>
        <w:t xml:space="preserve">, and</w:t>
      </w:r>
      <w:r>
        <w:t xml:space="preserve"> </w:t>
      </w:r>
      <w:r>
        <w:rPr>
          <w:i/>
          <w:iCs/>
        </w:rPr>
        <w:t xml:space="preserve">Syringodium</w:t>
      </w:r>
      <w:r>
        <w:t xml:space="preserve">, demonstrate greater resilience to warming events and marine heatwaves due to their rapid growth and more flexible life strategies</w:t>
      </w:r>
      <w:r>
        <w:t xml:space="preserve"> </w:t>
      </w:r>
      <w:r>
        <w:t xml:space="preserve">(O’Brien et al., 2018)</w:t>
      </w:r>
      <w:r>
        <w:t xml:space="preserve">.</w:t>
      </w:r>
    </w:p>
    <w:p>
      <w:pPr>
        <w:pStyle w:val="BodyText"/>
      </w:pPr>
      <w:r>
        <w:t xml:space="preserve">The impact of heatwaves on seagrass ecosystems is further intensified by tidal variations, especially in temperate regions with tidal ranges that can exceed 10 meters, such as Mont Saint Michel Bay in France. This pronounced tidal amplitude affects intertidal seagrasses like</w:t>
      </w:r>
      <w:r>
        <w:t xml:space="preserve"> </w:t>
      </w:r>
      <w:r>
        <w:rPr>
          <w:i/>
          <w:iCs/>
        </w:rPr>
        <w:t xml:space="preserve">Zostera noltei</w:t>
      </w:r>
      <w:r>
        <w:t xml:space="preserve">, which experience varying durations of air exposure based on their position within the intertidal zone. During neap tides, seagrasses situated higher in the intertidal zone may remain exposed for extended periods, heightening their vulnerability to atmospheric heatwaves. Conversely, seagrasses in the lower intertidal zone, although submerged longer, experience prolonged emersion during low tides, making them susceptible to extreme marine heat events. As a result, both marine and atmospheric heatwaves can increase stress on seagrass meadows, with effects that may be intensified by tidal timing and amplitude. In our study, we observed a darkening effect in the seagrasses, despite our experimental setup simulating tides with consistent 6-hour exposure periods. In natural settings, however, bathymetry plays a significant role, and depending on depth variations, seagrasses may be exposed for even longer durations during low tides. This suggests that</w:t>
      </w:r>
      <w:r>
        <w:t xml:space="preserve"> </w:t>
      </w:r>
      <w:r>
        <w:rPr>
          <w:i/>
          <w:iCs/>
        </w:rPr>
        <w:t xml:space="preserve">in situ</w:t>
      </w:r>
      <w:r>
        <w:t xml:space="preserve"> </w:t>
      </w:r>
      <w:r>
        <w:t xml:space="preserve">exposure times could exacerbate the stress effects observed, as seagrasses may endure prolonged air exposure beyond what our controlled conditions have replicated.</w:t>
      </w:r>
    </w:p>
    <w:p>
      <w:pPr>
        <w:pStyle w:val="BodyText"/>
      </w:pPr>
      <w:r>
        <w:t xml:space="preserve">Species like</w:t>
      </w:r>
      <w:r>
        <w:t xml:space="preserve"> </w:t>
      </w:r>
      <w:r>
        <w:rPr>
          <w:i/>
          <w:iCs/>
        </w:rPr>
        <w:t xml:space="preserve">Zostera noltei</w:t>
      </w:r>
      <w:r>
        <w:t xml:space="preserve"> </w:t>
      </w:r>
      <w:r>
        <w:t xml:space="preserve">display distinct seasonal patterns that become increasingly pronounced at higher latitudes</w:t>
      </w:r>
      <w:r>
        <w:t xml:space="preserve"> </w:t>
      </w:r>
      <w:r>
        <w:t xml:space="preserve">(Davies et al., 2024a, 2024b)</w:t>
      </w:r>
      <w:r>
        <w:t xml:space="preserve">. These patterns reflect the species’ adaptation to seasonal variations in temperature and light, but they also make N. noltei particularly sensitive to extreme events depending on their timing. For instance, if a heatwave coincides with early developmental stages or occurs after the biomass peak when leaf senescence has begun, the impact on meadow resilience can be severe</w:t>
      </w:r>
    </w:p>
    <w:p>
      <w:pPr>
        <w:pStyle w:val="BodyText"/>
      </w:pPr>
      <w:r>
        <w:t xml:space="preserve">Environmental conditions can moderate seagrass resilience to thermal stress. Seagrass meadows located in areas benefiting from tidal cooling or positioned further from the warmer edges of their geographical ranges often experience reduced heat stress, resulting in higher shoot densities and enhanced resilience</w:t>
      </w:r>
      <w:r>
        <w:t xml:space="preserve"> </w:t>
      </w:r>
      <w:r>
        <w:t xml:space="preserve">(Berger et al., 2024; Canadell and Jackson, 2021)</w:t>
      </w:r>
      <w:r>
        <w:t xml:space="preserve">. In these cooler areas,</w:t>
      </w:r>
      <w:r>
        <w:t xml:space="preserve"> </w:t>
      </w:r>
      <w:r>
        <w:rPr>
          <w:i/>
          <w:iCs/>
        </w:rPr>
        <w:t xml:space="preserve">Nanostera noltei</w:t>
      </w:r>
      <w:r>
        <w:t xml:space="preserve"> </w:t>
      </w:r>
      <w:r>
        <w:t xml:space="preserve">exhibits high survival and photosynthetic performance up to 37°C, though temperatures above 39°C lead to near-total mortality within days, underscoring the species’ sensitivity to temperature thresholds that may become increasingly common under climate change scenarios</w:t>
      </w:r>
      <w:r>
        <w:t xml:space="preserve"> </w:t>
      </w:r>
      <w:r>
        <w:t xml:space="preserve">(Franssen et al., 2014)</w:t>
      </w:r>
      <w:r>
        <w:t xml:space="preserve">. Moreover, the frequency, duration, and intervals between heatwaves significantly affect seagrass biomass and recovery; prolonged and frequent heatwaves reduce resilience and complicate recovery processes</w:t>
      </w:r>
      <w:r>
        <w:t xml:space="preserve"> </w:t>
      </w:r>
      <w:r>
        <w:t xml:space="preserve">(Hatum et al., 2024)</w:t>
      </w:r>
      <w:r>
        <w:t xml:space="preserve">.</w:t>
      </w:r>
    </w:p>
    <w:p>
      <w:pPr>
        <w:pStyle w:val="BodyText"/>
      </w:pPr>
      <w:r>
        <w:t xml:space="preserve">The influence of other stressors, such as eutrophication and sulfide accumulation, complicates this resilience. Increased sediment sulfide levels, which often accompany nutrient enrichment, can be toxic to seagrasses, particularly under elevated temperatures that amplify sulfide toxicity.</w:t>
      </w:r>
      <w:r>
        <w:t xml:space="preserve"> </w:t>
      </w:r>
      <w:r>
        <w:rPr>
          <w:i/>
          <w:iCs/>
        </w:rPr>
        <w:t xml:space="preserve">Zostera noltei</w:t>
      </w:r>
      <w:r>
        <w:t xml:space="preserve">, for example, has a mutualistic relationship with lucinid clams that helps detoxify sulfides. However, this interaction is compromised at high temperatures, reducing the efficacy of sulfide removal and further inhibiting nutrient uptake, growth, and overall resilience</w:t>
      </w:r>
      <w:r>
        <w:t xml:space="preserve"> </w:t>
      </w:r>
      <w:r>
        <w:t xml:space="preserve">(De Fouw et al., 2022)</w:t>
      </w:r>
      <w:r>
        <w:t xml:space="preserve">.</w:t>
      </w:r>
    </w:p>
    <w:p>
      <w:pPr>
        <w:pStyle w:val="BodyText"/>
      </w:pPr>
      <w:r>
        <w:t xml:space="preserve">In a simulated heatwave experiment on</w:t>
      </w:r>
      <w:r>
        <w:t xml:space="preserve"> </w:t>
      </w:r>
      <w:r>
        <w:rPr>
          <w:i/>
          <w:iCs/>
        </w:rPr>
        <w:t xml:space="preserve">Zostera noltei</w:t>
      </w:r>
      <w:r>
        <w:t xml:space="preserve">, resilience was evident under short-term moderate stress, with no significant changes in photosynthetic performance or survival. However, prolonged or more intense heat events posed a greater challenge, highlighting the species’ limited capacity to withstand chronic thermal stress</w:t>
      </w:r>
      <w:r>
        <w:t xml:space="preserve"> </w:t>
      </w:r>
      <w:r>
        <w:t xml:space="preserve">(Franssen et al., 2014; Massa et al., 2009)</w:t>
      </w:r>
      <w:r>
        <w:t xml:space="preserve">. The long-term impact of heatwaves is especially evident in changes to seagrass cover (SPC). Before the heatwave event on 1st September 2021, impacted seagrass patches exhibited higher SPC than non-impacted areas. However, during the event on 6th September, SPC in the impacted patch experienced a sharp decline. By 7th October, one month post-event, the SPC of impacted seagrasses, initially higher, had fallen below that of non-impacted seagrasses</w:t>
      </w:r>
      <w:r>
        <w:t xml:space="preserve"> </w:t>
      </w:r>
      <w:hyperlink w:anchor="fig-NDVI_GLI_SPC">
        <w:r>
          <w:rPr>
            <w:rStyle w:val="Hyperlink"/>
          </w:rPr>
          <w:t xml:space="preserve">Figure 7</w:t>
        </w:r>
      </w:hyperlink>
      <w:r>
        <w:t xml:space="preserve">. The observed decrease in seagrass cover (SPC) on 6th September was primarily due to leaf darkening, which influenced the NDVI measurements used to estimate SPC. This darkening effect reduced the NDVI values, creating an apparent decrease in SPC in the impacted patch when, in reality, the density of seagrass remained stable. The bias introduced by remote sensing in this instance reflects a limitation in accurately capturing true seagrass cover during stress events. It was only after the heatwave that leaves began to detach, leading to an actual decline in seagrass density. This delayed physical response underscores how extreme events can compromise seagrass resilience, leaving previously robust patches in a weakened state compared to less disturbed areas</w:t>
      </w:r>
      <w:r>
        <w:t xml:space="preserve"> </w:t>
      </w:r>
      <w:hyperlink w:anchor="fig-NDVI_GLI_SPC">
        <w:r>
          <w:rPr>
            <w:rStyle w:val="Hyperlink"/>
          </w:rPr>
          <w:t xml:space="preserve">Figure 7</w:t>
        </w:r>
      </w:hyperlink>
      <w:r>
        <w:t xml:space="preserve">.</w:t>
      </w:r>
    </w:p>
    <w:p>
      <w:pPr>
        <w:pStyle w:val="BodyText"/>
      </w:pPr>
      <w:r>
        <w:t xml:space="preserve">On a physiological level, seagrasses possess coping mechanisms such as photoprotective responses and heat-responsive gene expression, including the activation of heat-shock proteins (HSPs) and other stress-related genes</w:t>
      </w:r>
      <w:r>
        <w:t xml:space="preserve"> </w:t>
      </w:r>
      <w:r>
        <w:t xml:space="preserve">(Hughes and Stachowicz, 2004; Reusch et al., 2005)</w:t>
      </w:r>
      <w:r>
        <w:t xml:space="preserve">.</w:t>
      </w:r>
      <w:r>
        <w:t xml:space="preserve"> </w:t>
      </w:r>
      <w:r>
        <w:rPr>
          <w:i/>
          <w:iCs/>
        </w:rPr>
        <w:t xml:space="preserve">Zostera noltei</w:t>
      </w:r>
      <w:r>
        <w:t xml:space="preserve">, in particular, has shown differential gene expression responses to heat stress, with a variety of genes involved in protein folding, membrane stability, and reactive oxygen species scavenging playing critical roles. However, the rapid pace of climate change raises concerns about whether these adaptations can keep up with the increasing frequency and severity of thermal events</w:t>
      </w:r>
      <w:r>
        <w:t xml:space="preserve"> </w:t>
      </w:r>
      <w:r>
        <w:t xml:space="preserve">(Franssen et al., 2014)</w:t>
      </w:r>
      <w:r>
        <w:t xml:space="preserve">.</w:t>
      </w:r>
    </w:p>
    <w:bookmarkEnd w:id="101"/>
    <w:bookmarkStart w:id="102" w:name="big-picture"/>
    <w:p>
      <w:pPr>
        <w:pStyle w:val="Heading2"/>
      </w:pPr>
      <w:r>
        <w:t xml:space="preserve">4.4 Big picture</w:t>
      </w:r>
    </w:p>
    <w:p>
      <w:pPr>
        <w:pStyle w:val="FirstParagraph"/>
      </w:pPr>
      <w:r>
        <w:t xml:space="preserve">Given the combined pressures of temperature extremes, eutrophication, and other anthropogenic impacts, targeted management strategies are essential for enhancing seagrass resilience</w:t>
      </w:r>
      <w:r>
        <w:t xml:space="preserve"> </w:t>
      </w:r>
      <w:r>
        <w:t xml:space="preserve">(Loarie et al., 2009)</w:t>
      </w:r>
      <w:r>
        <w:t xml:space="preserve">. Approaches such as reducing local stressors, cultivating heat-tolerant genotypes, and investing in restoration initiatives are vital to supporting these ecosystems in a warming climate. Although challenges remain, the adaptability and potential resilience of certain seagrass species offer hope for their persistence amid accelerating ecological shifts. In particular, regions that can buffer seagrasses from extreme stressors or provide cooler refuges may play a critical role in maintaining these valuable ecosystems in the face of global climate change</w:t>
      </w:r>
      <w:r>
        <w:t xml:space="preserve"> </w:t>
      </w:r>
      <w:r>
        <w:t xml:space="preserve">(Canadell and Jackson, 2021; De Fouw et al., 2022)</w:t>
      </w:r>
      <w:r>
        <w:t xml:space="preserve">.</w:t>
      </w:r>
    </w:p>
    <w:p>
      <w:pPr>
        <w:pStyle w:val="BodyText"/>
      </w:pPr>
      <w:r>
        <w:t xml:space="preserve">Seagrass meadows function as foundational components of coastal ecosystems, sustaining diverse marine communities by providing essential habitats, nursery grounds, and trophic resources for fish, invertebrates, and migratory birds</w:t>
      </w:r>
      <w:r>
        <w:t xml:space="preserve"> </w:t>
      </w:r>
      <w:r>
        <w:t xml:space="preserve">(Zoffoli et al., 2023)</w:t>
      </w:r>
      <w:r>
        <w:t xml:space="preserve">. Their dense canopies stabilize sediment and protect shorelines from erosion, an increasingly crucial role as sea levels rise due to climate change</w:t>
      </w:r>
      <w:r>
        <w:t xml:space="preserve"> </w:t>
      </w:r>
      <w:r>
        <w:t xml:space="preserve">(Folmer et al., 2012; Gacia et al., 1999)</w:t>
      </w:r>
      <w:r>
        <w:t xml:space="preserve">. Recurrent heatwave events, which induce physiological stress like leaf darkening, can severely diminish seagrass density, thereby reducing their effectiveness in sediment stabilization and wave attenuation, ultimately increasing the risk of coastal erosion</w:t>
      </w:r>
      <w:r>
        <w:t xml:space="preserve"> </w:t>
      </w:r>
      <w:r>
        <w:t xml:space="preserve">(Calleja et al., 2007)</w:t>
      </w:r>
      <w:r>
        <w:t xml:space="preserve">. From a biodiversity perspective, degradation of these meadows disrupts intricate food webs, impacting commercially significant fish and shellfish populations that rely on seagrass for sustenance and refuge. This loss can reduce local fisheries’ productivity and threaten the livelihoods of coastal communities</w:t>
      </w:r>
      <w:r>
        <w:t xml:space="preserve"> </w:t>
      </w:r>
      <w:r>
        <w:t xml:space="preserve">(Unsworth and Cullen-Unsworth, 2014)</w:t>
      </w:r>
      <w:r>
        <w:t xml:space="preserve">. Furthermore, as seagrasses decline, their capacity to act as a blue carbon sink—critical for climate mitigation—also diminishes, inadvertently contributing to increased atmospheric carbon levels</w:t>
      </w:r>
      <w:r>
        <w:t xml:space="preserve"> </w:t>
      </w:r>
      <w:r>
        <w:t xml:space="preserve">(Armitage and Fourqurean, 2016; Samper-Villarreal et al., 2020)</w:t>
      </w:r>
    </w:p>
    <w:bookmarkEnd w:id="102"/>
    <w:bookmarkEnd w:id="103"/>
    <w:bookmarkStart w:id="104" w:name="conclusion"/>
    <w:p>
      <w:pPr>
        <w:pStyle w:val="Heading1"/>
      </w:pPr>
      <w:r>
        <w:t xml:space="preserve">5. Conclusion</w:t>
      </w:r>
    </w:p>
    <w:p>
      <w:pPr>
        <w:pStyle w:val="FirstParagraph"/>
      </w:pPr>
      <w:r>
        <w:t xml:space="preserve">This research has investigated the effects of both marine and atmospheric heatwaves on the intertidal seagrass</w:t>
      </w:r>
      <w:r>
        <w:t xml:space="preserve"> </w:t>
      </w:r>
      <w:r>
        <w:rPr>
          <w:i/>
          <w:iCs/>
        </w:rPr>
        <w:t xml:space="preserve">Zostera noltei</w:t>
      </w:r>
      <w:r>
        <w:t xml:space="preserve">, a critical component of coastal ecosystems facing increased thermal stress due to climate change. By examining reflectance and pigment composition under controlled experimental conditions and validating these findings with satellite data, we aimed to understand how extreme heat events impact seagrass health and assess the potential of remote sensing to monitor these effects effectively. Our findings reveal that heatwaves lead to substantial declines in seagrass reflectance, particularly in the green and near-infrared regions, driven by pigment degradation and structural damage. This change is reflected in significant reductions in key vegetation indices such as NDVI and GLI. The Seagrass Darkening Index (SDI), developed in this study, successfully detected seagrass darkening, a visible symptom of heatwave stress, demonstrating the viability of spectral monitoring to capture early-stage impacts of heat events on intertidal ecosystems. By connecting our findings with satellite data, we have also confirmed the broader spatial impact of heatwaves on seagrass meadows in Quiberon, France. The correlation between heatwave exposure and darkening of seagrass suggests that remote sensing, combined with targeted field observations, can enhance our understanding of ecosystem responses to climate-driven thermal events. These results advocate for integrating continuous spectral monitoring into conservation strategies, as it can help predict the resilience of these ecosystems and guide adaptive management practices. As climate change accelerates, with an anticipated increase in the frequency and intensity of heatwaves, the vulnerability of intertidal zones to such events will likely intensify. This study not only underscores the importance of seagrass meadows in coastal ecosystems but also highlights the urgency of protecting these critical habitats. Future work should focus on refining remote sensing tools and examining the cumulative effects of repeated heatwave events to support the resilience and conservation of intertidal seagrass meadows in a warming world.</w:t>
      </w:r>
    </w:p>
    <w:bookmarkEnd w:id="104"/>
    <w:bookmarkStart w:id="116" w:name="annexes"/>
    <w:p>
      <w:pPr>
        <w:pStyle w:val="Heading1"/>
      </w:pPr>
      <w:r>
        <w:t xml:space="preserve">6. Annexes</w:t>
      </w:r>
    </w:p>
    <w:bookmarkStart w:id="111" w:name="sec-AnnexeA"/>
    <w:p>
      <w:pPr>
        <w:pStyle w:val="Heading2"/>
      </w:pPr>
      <w:r>
        <w:t xml:space="preserve">6.1 Annexes A - Temperatures of the experiment</w:t>
      </w:r>
    </w:p>
    <w:p>
      <w:pPr>
        <w:pStyle w:val="CaptionedFigure"/>
      </w:pPr>
      <w:r>
        <w:drawing>
          <wp:inline>
            <wp:extent cx="5943600" cy="5943600"/>
            <wp:effectExtent b="0" l="0" r="0" t="0"/>
            <wp:docPr descr="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 title="" id="106" name="Picture"/>
            <a:graphic>
              <a:graphicData uri="http://schemas.openxmlformats.org/drawingml/2006/picture">
                <pic:pic>
                  <pic:nvPicPr>
                    <pic:cNvPr descr="Figs/High_res/Temperature_compare.png" id="107" name="Picture"/>
                    <pic:cNvPicPr>
                      <a:picLocks noChangeArrowheads="1" noChangeAspect="1"/>
                    </pic:cNvPicPr>
                  </pic:nvPicPr>
                  <pic:blipFill>
                    <a:blip r:embed="rId10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Annexe A1: 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BodyText"/>
      </w:pPr>
      <w:r>
        <w:t xml:space="preserve">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CaptionedFigure"/>
      </w:pPr>
      <w:r>
        <w:drawing>
          <wp:inline>
            <wp:extent cx="5943600" cy="2718555"/>
            <wp:effectExtent b="0" l="0" r="0" t="0"/>
            <wp:docPr descr="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 title="" id="109" name="Picture"/>
            <a:graphic>
              <a:graphicData uri="http://schemas.openxmlformats.org/drawingml/2006/picture">
                <pic:pic>
                  <pic:nvPicPr>
                    <pic:cNvPr descr="Figs/Low_res/Chamber_Profils.png" id="110" name="Picture"/>
                    <pic:cNvPicPr>
                      <a:picLocks noChangeArrowheads="1" noChangeAspect="1"/>
                    </pic:cNvPicPr>
                  </pic:nvPicPr>
                  <pic:blipFill>
                    <a:blip r:embed="rId108"/>
                    <a:stretch>
                      <a:fillRect/>
                    </a:stretch>
                  </pic:blipFill>
                  <pic:spPr bwMode="auto">
                    <a:xfrm>
                      <a:off x="0" y="0"/>
                      <a:ext cx="5943600" cy="2718555"/>
                    </a:xfrm>
                    <a:prstGeom prst="rect">
                      <a:avLst/>
                    </a:prstGeom>
                    <a:noFill/>
                    <a:ln w="9525">
                      <a:noFill/>
                      <a:headEnd/>
                      <a:tailEnd/>
                    </a:ln>
                  </pic:spPr>
                </pic:pic>
              </a:graphicData>
            </a:graphic>
          </wp:inline>
        </w:drawing>
      </w:r>
    </w:p>
    <w:p>
      <w:pPr>
        <w:pStyle w:val="ImageCaption"/>
      </w:pPr>
      <w:r>
        <w:t xml:space="preserve">Annexe A2: 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bookmarkEnd w:id="111"/>
    <w:bookmarkStart w:id="115" w:name="sec-AnnexeB"/>
    <w:p>
      <w:pPr>
        <w:pStyle w:val="Heading2"/>
      </w:pPr>
      <w:r>
        <w:t xml:space="preserve">6.2 Annexes B - SDI applied on Experiment samples</w:t>
      </w:r>
    </w:p>
    <w:p>
      <w:pPr>
        <w:pStyle w:val="CaptionedFigure"/>
      </w:pPr>
      <w:r>
        <w:drawing>
          <wp:inline>
            <wp:extent cx="5943600" cy="2971800"/>
            <wp:effectExtent b="0" l="0" r="0" t="0"/>
            <wp:docPr descr="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 title="" id="113" name="Picture"/>
            <a:graphic>
              <a:graphicData uri="http://schemas.openxmlformats.org/drawingml/2006/picture">
                <pic:pic>
                  <pic:nvPicPr>
                    <pic:cNvPr descr="Figs/Low_res/PLOT_SDI_exp.png" id="114" name="Picture"/>
                    <pic:cNvPicPr>
                      <a:picLocks noChangeArrowheads="1" noChangeAspect="1"/>
                    </pic:cNvPicPr>
                  </pic:nvPicPr>
                  <pic:blipFill>
                    <a:blip r:embed="rId11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t xml:space="preserve">Annexe B1: 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bookmarkEnd w:id="115"/>
    <w:bookmarkEnd w:id="116"/>
    <w:bookmarkStart w:id="203" w:name="references"/>
    <w:p>
      <w:pPr>
        <w:pStyle w:val="Heading1"/>
      </w:pPr>
      <w:r>
        <w:t xml:space="preserve">7. References</w:t>
      </w:r>
    </w:p>
    <w:p>
      <w:pPr>
        <w:pStyle w:val="FirstParagraph"/>
      </w:pPr>
      <w:r>
        <w:t xml:space="preserve">1</w:t>
      </w:r>
    </w:p>
    <w:bookmarkStart w:id="202" w:name="refs"/>
    <w:bookmarkStart w:id="117"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7"/>
    <w:bookmarkStart w:id="118" w:name="ref-armitage2016carbon"/>
    <w:p>
      <w:pPr>
        <w:pStyle w:val="Bibliography"/>
      </w:pPr>
      <w:r>
        <w:t xml:space="preserve">Armitage, A., Fourqurean, J.W., 2016. Carbon storage in seagrass soils: Long-term nutrient history exceeds the effects of near-term nutrient enrichment. Biogeosciences 13, 313–321.</w:t>
      </w:r>
    </w:p>
    <w:bookmarkEnd w:id="118"/>
    <w:bookmarkStart w:id="120" w:name="ref-berger2024eelgrass"/>
    <w:p>
      <w:pPr>
        <w:pStyle w:val="Bibliography"/>
      </w:pPr>
      <w:r>
        <w:t xml:space="preserve">Berger, A.C., Berg, P., McGlathery, K.J., Aoki, L.R., Kerns, K., 2024. Eelgrass meadow response to heat stress. II. Impacts of ocean warming and marine heatwaves measured by novel metrics. Marine Ecology Progress Series 736, 47–62.</w:t>
      </w:r>
      <w:r>
        <w:t xml:space="preserve"> </w:t>
      </w:r>
      <w:hyperlink r:id="rId119">
        <w:r>
          <w:rPr>
            <w:rStyle w:val="Hyperlink"/>
          </w:rPr>
          <w:t xml:space="preserve">https://doi.org/10.3354/meps14588</w:t>
        </w:r>
      </w:hyperlink>
    </w:p>
    <w:bookmarkEnd w:id="120"/>
    <w:bookmarkStart w:id="121" w:name="ref-cabaco2009individual"/>
    <w:p>
      <w:pPr>
        <w:pStyle w:val="Bibliography"/>
      </w:pPr>
      <w:r>
        <w:t xml:space="preserve">Cabaço, S., Machás, R., Santos, R., 2009. Individual and population plasticity of the seagrass zostera noltii along a vertical intertidal gradient. Estuarine, Coastal and Shelf Science 82, 301–308.</w:t>
      </w:r>
    </w:p>
    <w:bookmarkEnd w:id="121"/>
    <w:bookmarkStart w:id="122" w:name="ref-calleja2007relationship"/>
    <w:p>
      <w:pPr>
        <w:pStyle w:val="Bibliography"/>
      </w:pPr>
      <w:r>
        <w:t xml:space="preserve">Calleja, M.L., Marbà, N., Duarte, C.M., 2007. The relationship between seagrass (posidonia oceanica) decline and sulfide porewater concentration in carbonate sediments. Estuarine, Coastal and Shelf Science 73, 583–588.</w:t>
      </w:r>
    </w:p>
    <w:bookmarkEnd w:id="122"/>
    <w:bookmarkStart w:id="123" w:name="ref-canadell2021ecosystem"/>
    <w:p>
      <w:pPr>
        <w:pStyle w:val="Bibliography"/>
      </w:pPr>
      <w:r>
        <w:t xml:space="preserve">Canadell, J.G., Jackson, R.B., 2021. Ecosystem collapse and climate change. Springer.</w:t>
      </w:r>
    </w:p>
    <w:bookmarkEnd w:id="123"/>
    <w:bookmarkStart w:id="124"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24"/>
    <w:bookmarkStart w:id="126"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25">
        <w:r>
          <w:rPr>
            <w:rStyle w:val="Hyperlink"/>
          </w:rPr>
          <w:t xml:space="preserve">https://doi.org/10.48670/moi-00311</w:t>
        </w:r>
      </w:hyperlink>
    </w:p>
    <w:bookmarkEnd w:id="126"/>
    <w:bookmarkStart w:id="128" w:name="ref-dascaliuc2007heat"/>
    <w:p>
      <w:pPr>
        <w:pStyle w:val="Bibliography"/>
      </w:pPr>
      <w:r>
        <w:t xml:space="preserve">Dascaliuc, A., Ralea, T., Cuza, P., 2007. Influence of heat shock on chlorophyll fluorescence of white oak (quercus pubescens willd.) leaves. Photosynthetica 45, 469–471.</w:t>
      </w:r>
      <w:r>
        <w:t xml:space="preserve"> </w:t>
      </w:r>
      <w:hyperlink r:id="rId127">
        <w:r>
          <w:rPr>
            <w:rStyle w:val="Hyperlink"/>
          </w:rPr>
          <w:t xml:space="preserve">https://doi.org/10.1007/s11099-007-0084-3</w:t>
        </w:r>
      </w:hyperlink>
    </w:p>
    <w:bookmarkEnd w:id="128"/>
    <w:bookmarkStart w:id="130" w:name="ref-davies2024sentinel"/>
    <w:p>
      <w:pPr>
        <w:pStyle w:val="Bibliography"/>
      </w:pPr>
      <w:r>
        <w:t xml:space="preserve">Davies, B.F.R., Oiry, S., Rosa, P., Zoffoli, M.L., Sousa, A.I., Thomas, O.R., Smale, D.A., Austen, M.C., Biermann, L., Attrill, M.J., others, 2024a. A sentinel watching over inter-tidal seagrass phenology across western europe and north africa. Communications Earth &amp; Environment 5, 382.</w:t>
      </w:r>
      <w:r>
        <w:t xml:space="preserve"> </w:t>
      </w:r>
      <w:hyperlink r:id="rId129">
        <w:r>
          <w:rPr>
            <w:rStyle w:val="Hyperlink"/>
          </w:rPr>
          <w:t xml:space="preserve">https://doi.org/10.1038/s43247-024-01543-z</w:t>
        </w:r>
      </w:hyperlink>
    </w:p>
    <w:bookmarkEnd w:id="130"/>
    <w:bookmarkStart w:id="132" w:name="ref-davies2024intertidal"/>
    <w:p>
      <w:pPr>
        <w:pStyle w:val="Bibliography"/>
      </w:pPr>
      <w:r>
        <w:t xml:space="preserve">Davies, B.F.R., Oiry, S., Rosa, P., Zoffoli, M.L., Sousa, A.I., Thomas, O.R., Smale, D.A., Austen, M.C., Biermann, L., Attrill, M.J., others, 2024b. Intertidal seagrass extent from sentinel-2 time-series show distinct trajectories in western europe. Remote Sensing of Environment 312, 114340.</w:t>
      </w:r>
      <w:r>
        <w:t xml:space="preserve"> </w:t>
      </w:r>
      <w:hyperlink r:id="rId131">
        <w:r>
          <w:rPr>
            <w:rStyle w:val="Hyperlink"/>
          </w:rPr>
          <w:t xml:space="preserve">https://doi.org/10.1016/j.rse.2024.114340</w:t>
        </w:r>
      </w:hyperlink>
    </w:p>
    <w:bookmarkEnd w:id="132"/>
    <w:bookmarkStart w:id="133" w:name="ref-de2022increased"/>
    <w:p>
      <w:pPr>
        <w:pStyle w:val="Bibliography"/>
      </w:pPr>
      <w:r>
        <w:t xml:space="preserve">De Fouw, J., Rehlmeyer, K., Geest, M. van der, Smolders, A.J., Van Der Heide, T., 2022. Increased temperature reduces the positive effect of sulfide-detoxification mutualism on zostera noltii nutrient uptake and growth. Marine Ecology Progress Series 692, 43–52.</w:t>
      </w:r>
    </w:p>
    <w:bookmarkEnd w:id="133"/>
    <w:bookmarkStart w:id="134" w:name="ref-deguette2022physiological"/>
    <w:p>
      <w:pPr>
        <w:pStyle w:val="Bibliography"/>
      </w:pPr>
      <w:r>
        <w:t xml:space="preserve">Deguette, A., Barrote, I., Silva, J., 2022. Physiological and morphological effects of a marine heatwave on the seagrass cymodocea nodosa. Scientific Reports 12, 7950.</w:t>
      </w:r>
    </w:p>
    <w:bookmarkEnd w:id="134"/>
    <w:bookmarkStart w:id="135" w:name="ref-devi2024intensity"/>
    <w:p>
      <w:pPr>
        <w:pStyle w:val="Bibliography"/>
      </w:pPr>
      <w:r>
        <w:t xml:space="preserve">Devi, R., Gouda, K., Lenka, S., 2024. Intensity duration and frequency of heat wave in different phases of MJO over india. Atmospheric Research 300, 107250.</w:t>
      </w:r>
    </w:p>
    <w:bookmarkEnd w:id="135"/>
    <w:bookmarkStart w:id="136" w:name="ref-sen2cor"/>
    <w:p>
      <w:pPr>
        <w:pStyle w:val="Bibliography"/>
      </w:pPr>
      <w:r>
        <w:t xml:space="preserve">European Space Agency, 2024b. Sen2Cor: Sentinel-2 atmospheric correction processor.</w:t>
      </w:r>
    </w:p>
    <w:bookmarkEnd w:id="136"/>
    <w:bookmarkStart w:id="137" w:name="ref-copernicus_sentinel2"/>
    <w:p>
      <w:pPr>
        <w:pStyle w:val="Bibliography"/>
      </w:pPr>
      <w:r>
        <w:t xml:space="preserve">European Space Agency, 2024a. Copernicus open access hub.</w:t>
      </w:r>
    </w:p>
    <w:bookmarkEnd w:id="137"/>
    <w:bookmarkStart w:id="138" w:name="ref-folmer2012seagrass"/>
    <w:p>
      <w:pPr>
        <w:pStyle w:val="Bibliography"/>
      </w:pPr>
      <w:r>
        <w:t xml:space="preserve">Folmer, E.O., Geest, M. van der, Jansen, E., Olff, H., Michael Anderson, T., Piersma, T., Gils, J.A. van, 2012. Seagrass–sediment feedback: An exploration using a non-recursive structural equation model. Ecosystems 15, 1380–1393.</w:t>
      </w:r>
    </w:p>
    <w:bookmarkEnd w:id="138"/>
    <w:bookmarkStart w:id="139" w:name="ref-franssen2014genome"/>
    <w:p>
      <w:pPr>
        <w:pStyle w:val="Bibliography"/>
      </w:pPr>
      <w:r>
        <w:t xml:space="preserve">Franssen, S.U., Gu, J., Winters, G., Huylmans, A.-K., Wienpahl, I., Sparwel, M., Coyer, J.A., Olsen, J.L., Reusch, T.B., Bornberg-Bauer, E., 2014. Genome-wide transcriptomic responses of the seagrasses zostera marina and nanozostera noltii under a simulated heatwave confirm functional types. Marine Genomics 15, 65–73.</w:t>
      </w:r>
    </w:p>
    <w:bookmarkEnd w:id="139"/>
    <w:bookmarkStart w:id="140" w:name="ref-gacia1999approach"/>
    <w:p>
      <w:pPr>
        <w:pStyle w:val="Bibliography"/>
      </w:pPr>
      <w:r>
        <w:t xml:space="preserve">Gacia, E., Granata, T., Duarte, C., 1999. An approach to measurement of particle flux and sediment retention within seagrass (posidonia oceanica) meadows. Aquatic Botany 65, 255–268.</w:t>
      </w:r>
    </w:p>
    <w:bookmarkEnd w:id="140"/>
    <w:bookmarkStart w:id="141" w:name="ref-gardner2018global"/>
    <w:p>
      <w:pPr>
        <w:pStyle w:val="Bibliography"/>
      </w:pPr>
      <w:r>
        <w:t xml:space="preserve">Gardner, R.C., Finlayson, C., 2018. Global wetland outlook: State of the world’s wetlands and their services to people, in: Ramsar Convention Secretariat. pp. 2020–5.</w:t>
      </w:r>
    </w:p>
    <w:bookmarkEnd w:id="141"/>
    <w:bookmarkStart w:id="142"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42"/>
    <w:bookmarkStart w:id="144" w:name="ref-hatum2024predicting"/>
    <w:p>
      <w:pPr>
        <w:pStyle w:val="Bibliography"/>
      </w:pPr>
      <w:r>
        <w:t xml:space="preserve">Hatum, P.S., McMahon, K., Mengersen, K., Kilminster, K., Wu, P.P.-Y., 2024. Predicting seagrass ecosystem resilience to marine heatwave events of variable duration, frequency and re-occurrence patterns with gaps. Aquatic Conservation: Marine and Freshwater Ecosystems 34, e4210.</w:t>
      </w:r>
      <w:r>
        <w:t xml:space="preserve"> </w:t>
      </w:r>
      <w:hyperlink r:id="rId143">
        <w:r>
          <w:rPr>
            <w:rStyle w:val="Hyperlink"/>
          </w:rPr>
          <w:t xml:space="preserve">https://doi.org/10.1002/aqc.4210</w:t>
        </w:r>
      </w:hyperlink>
    </w:p>
    <w:bookmarkEnd w:id="144"/>
    <w:bookmarkStart w:id="145"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45"/>
    <w:bookmarkStart w:id="146"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46"/>
    <w:bookmarkStart w:id="147" w:name="ref-huete2012vegetation"/>
    <w:p>
      <w:pPr>
        <w:pStyle w:val="Bibliography"/>
      </w:pPr>
      <w:r>
        <w:t xml:space="preserve">Huete, A.R., 2012. Vegetation indices, remote sensing and forest monitoring. Geography Compass 6, 513–532.</w:t>
      </w:r>
    </w:p>
    <w:bookmarkEnd w:id="147"/>
    <w:bookmarkStart w:id="149" w:name="ref-hughes2004genetic"/>
    <w:p>
      <w:pPr>
        <w:pStyle w:val="Bibliography"/>
      </w:pPr>
      <w:r>
        <w:t xml:space="preserve">Hughes, A.R., Stachowicz, J.J., 2004. Genetic diversity enhances the resistance of a seagrass ecosystem to disturbance. Proceedings of the National Academy of Sciences 101, 8998–9002.</w:t>
      </w:r>
      <w:r>
        <w:t xml:space="preserve"> </w:t>
      </w:r>
      <w:hyperlink r:id="rId148">
        <w:r>
          <w:rPr>
            <w:rStyle w:val="Hyperlink"/>
          </w:rPr>
          <w:t xml:space="preserve">https://doi.org/10.1073/pnas.0402642101</w:t>
        </w:r>
      </w:hyperlink>
    </w:p>
    <w:bookmarkEnd w:id="149"/>
    <w:bookmarkStart w:id="151" w:name="ref-ioc_sea_level_lecy"/>
    <w:p>
      <w:pPr>
        <w:pStyle w:val="Bibliography"/>
      </w:pPr>
      <w:r>
        <w:t xml:space="preserve">IOC, 2024.</w:t>
      </w:r>
      <w:r>
        <w:t xml:space="preserve"> </w:t>
      </w:r>
      <w:hyperlink r:id="rId150">
        <w:r>
          <w:rPr>
            <w:rStyle w:val="Hyperlink"/>
          </w:rPr>
          <w:t xml:space="preserve">Intergovernmental oceanographic commission ; sea level monitoring station - le conquet, france (LECY)</w:t>
        </w:r>
      </w:hyperlink>
      <w:r>
        <w:t xml:space="preserve">.</w:t>
      </w:r>
    </w:p>
    <w:bookmarkEnd w:id="151"/>
    <w:bookmarkStart w:id="152"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52"/>
    <w:bookmarkStart w:id="154" w:name="ref-jones1992leaf"/>
    <w:p>
      <w:pPr>
        <w:pStyle w:val="Bibliography"/>
      </w:pPr>
      <w:r>
        <w:t xml:space="preserve">Jones, R.B., Clayton-Greene, K.A., 1992. The role of photosynthesis and oxidative reactions in leaf blackening of protea neriifolia r. Br. leaves. Scientia Horticulturae 50, 137–145.</w:t>
      </w:r>
      <w:r>
        <w:t xml:space="preserve"> </w:t>
      </w:r>
      <w:hyperlink r:id="rId153">
        <w:r>
          <w:rPr>
            <w:rStyle w:val="Hyperlink"/>
          </w:rPr>
          <w:t xml:space="preserve">https://doi.org/10.1016/S0304-4238(05)80016-0</w:t>
        </w:r>
      </w:hyperlink>
    </w:p>
    <w:bookmarkEnd w:id="154"/>
    <w:bookmarkStart w:id="155" w:name="ref-kloos2021agricultural"/>
    <w:p>
      <w:pPr>
        <w:pStyle w:val="Bibliography"/>
      </w:pPr>
      <w:r>
        <w:t xml:space="preserve">Kloos, S., Yuan, Y., Castelli, M., Menzel, A., 2021. Agricultural drought detection with MODIS based vegetation health indices in southeast germany. Remote Sensing 13, 3907.</w:t>
      </w:r>
    </w:p>
    <w:bookmarkEnd w:id="155"/>
    <w:bookmarkStart w:id="157" w:name="ref-knipling1970reflectance"/>
    <w:p>
      <w:pPr>
        <w:pStyle w:val="Bibliography"/>
      </w:pPr>
      <w:r>
        <w:t xml:space="preserve">Knipling, E.B., 1970. Physical and physiological basis for the reflectance of visible and near-infrared radiation from vegetation. Remote Sensing of Environment 1, 155–159.</w:t>
      </w:r>
      <w:r>
        <w:t xml:space="preserve"> </w:t>
      </w:r>
      <w:hyperlink r:id="rId156">
        <w:r>
          <w:rPr>
            <w:rStyle w:val="Hyperlink"/>
          </w:rPr>
          <w:t xml:space="preserve">https://doi.org/10.1016/S0034-4257(70)80021-9</w:t>
        </w:r>
      </w:hyperlink>
    </w:p>
    <w:bookmarkEnd w:id="157"/>
    <w:bookmarkStart w:id="158" w:name="ref-loarie2009velocity"/>
    <w:p>
      <w:pPr>
        <w:pStyle w:val="Bibliography"/>
      </w:pPr>
      <w:r>
        <w:t xml:space="preserve">Loarie, S.R., Duffy, P.B., Hamilton, H., Asner, G.P., Field, C.B., Ackerly, D.D., 2009. The velocity of climate change. Nature 462, 1052–1055.</w:t>
      </w:r>
    </w:p>
    <w:bookmarkEnd w:id="158"/>
    <w:bookmarkStart w:id="159"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59"/>
    <w:bookmarkStart w:id="160" w:name="ref-massa2009temperature"/>
    <w:p>
      <w:pPr>
        <w:pStyle w:val="Bibliography"/>
      </w:pPr>
      <w:r>
        <w:t xml:space="preserve">Massa, S., Arnaud-Haond, S., Pearson, G., Serrão, E., 2009. Temperature tolerance and survival of intertidal populations of the seagrass zostera noltii (hornemann) in southern europe (ria formosa, portugal). Hydrobiologia 619, 195–201.</w:t>
      </w:r>
    </w:p>
    <w:bookmarkEnd w:id="160"/>
    <w:bookmarkStart w:id="162" w:name="ref-mazdiyasni2019hidf"/>
    <w:p>
      <w:pPr>
        <w:pStyle w:val="Bibliography"/>
      </w:pPr>
      <w:r>
        <w:t xml:space="preserve">Mazdiyasni, O., Sadegh, M., Chiang, F., AghaKouchak, A., 2019. Heat wave intensity duration frequency curve: A multivariate approach for hazard and attribution analysis. Scientific Reports 9, 14117.</w:t>
      </w:r>
      <w:r>
        <w:t xml:space="preserve"> </w:t>
      </w:r>
      <w:hyperlink r:id="rId161">
        <w:r>
          <w:rPr>
            <w:rStyle w:val="Hyperlink"/>
          </w:rPr>
          <w:t xml:space="preserve">https://doi.org/10.1038/s41598-019-50643-w</w:t>
        </w:r>
      </w:hyperlink>
    </w:p>
    <w:bookmarkEnd w:id="162"/>
    <w:bookmarkStart w:id="163" w:name="ref-o2018seagrass"/>
    <w:p>
      <w:pPr>
        <w:pStyle w:val="Bibliography"/>
      </w:pPr>
      <w:r>
        <w:t xml:space="preserve">O’Brien, K.R., Waycott, M., Maxwell, P., Kendrick, G.A., Udy, J.W., Ferguson, A.J., Kilminster, K., Scanes, P., McKenzie, L.J., McMahon, K., others, 2018. Seagrass ecosystem trajectory depends on the relative timescales of resistance, recovery and disturbance. Marine Pollution Bulletin 134, 166–176.</w:t>
      </w:r>
    </w:p>
    <w:bookmarkEnd w:id="163"/>
    <w:bookmarkStart w:id="165" w:name="ref-oliver2019projected"/>
    <w:p>
      <w:pPr>
        <w:pStyle w:val="Bibliography"/>
      </w:pPr>
      <w:r>
        <w:t xml:space="preserve">Oliver, E.C.J., Burrows, M.T., Donat, M.G., others, 2019. Projected marine heatwaves in the 21st century and the potential for ecological impact. Frontiers in Marine Science 6, 734.</w:t>
      </w:r>
      <w:r>
        <w:t xml:space="preserve"> </w:t>
      </w:r>
      <w:hyperlink r:id="rId164">
        <w:r>
          <w:rPr>
            <w:rStyle w:val="Hyperlink"/>
          </w:rPr>
          <w:t xml:space="preserve">https://doi.org/10.3389/fmars.2019.00734</w:t>
        </w:r>
      </w:hyperlink>
    </w:p>
    <w:bookmarkEnd w:id="165"/>
    <w:bookmarkStart w:id="167" w:name="ref-pansch2018heat"/>
    <w:p>
      <w:pPr>
        <w:pStyle w:val="Bibliography"/>
      </w:pPr>
      <w:r>
        <w:t xml:space="preserve">Pansch, C., Scotti, M., Barboza, F.R., others, 2018. Heat waves and their significance for a temperate benthic community: A near-natural experimental approach. Global Change Biology 24, 4357–4367.</w:t>
      </w:r>
      <w:r>
        <w:t xml:space="preserve"> </w:t>
      </w:r>
      <w:hyperlink r:id="rId166">
        <w:r>
          <w:rPr>
            <w:rStyle w:val="Hyperlink"/>
          </w:rPr>
          <w:t xml:space="preserve">https://doi.org/10.1111/gcb.14282</w:t>
        </w:r>
      </w:hyperlink>
    </w:p>
    <w:bookmarkEnd w:id="167"/>
    <w:bookmarkStart w:id="168"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68"/>
    <w:bookmarkStart w:id="169" w:name="ref-perkins2013measurement"/>
    <w:p>
      <w:pPr>
        <w:pStyle w:val="Bibliography"/>
      </w:pPr>
      <w:r>
        <w:t xml:space="preserve">Perkins, S.E., Alexander, L.V., 2013. On the measurement of heat waves. Journal of climate 26, 4500–4517.</w:t>
      </w:r>
    </w:p>
    <w:bookmarkEnd w:id="169"/>
    <w:bookmarkStart w:id="170" w:name="ref-ramesh2020seagrass"/>
    <w:p>
      <w:pPr>
        <w:pStyle w:val="Bibliography"/>
      </w:pPr>
      <w:r>
        <w:t xml:space="preserve">Ramesh, C., Mohanraju, R., 2020. Seagrass ecosystems of andaman and nicobar islands: Status and future perspective. Environmental &amp; Earth Sciences Research Journal 7.</w:t>
      </w:r>
    </w:p>
    <w:bookmarkEnd w:id="170"/>
    <w:bookmarkStart w:id="172" w:name="ref-reusch2005ecosystem"/>
    <w:p>
      <w:pPr>
        <w:pStyle w:val="Bibliography"/>
      </w:pPr>
      <w:r>
        <w:t xml:space="preserve">Reusch, T.B., Ehlers, A., Hämmerli, A., Worm, B., 2005. Ecosystem recovery after climatic extremes enhanced by genotypic diversity. Proceedings of the National Academy of Sciences 102, 2826–2831.</w:t>
      </w:r>
      <w:r>
        <w:t xml:space="preserve"> </w:t>
      </w:r>
      <w:hyperlink r:id="rId171">
        <w:r>
          <w:rPr>
            <w:rStyle w:val="Hyperlink"/>
          </w:rPr>
          <w:t xml:space="preserve">https://doi.org/10.1073/pnas.0500008102</w:t>
        </w:r>
      </w:hyperlink>
    </w:p>
    <w:bookmarkEnd w:id="172"/>
    <w:bookmarkStart w:id="173" w:name="ref-rouse1974monitoring"/>
    <w:p>
      <w:pPr>
        <w:pStyle w:val="Bibliography"/>
      </w:pPr>
      <w:r>
        <w:t xml:space="preserve">Rouse, J.W., Haas, R.H., Schell, J.A., Deering, D.W., others, 1974. Monitoring vegetation systems in the great plains with ERTS. NASA Spec. Publ 351, 309.</w:t>
      </w:r>
    </w:p>
    <w:bookmarkEnd w:id="173"/>
    <w:bookmarkStart w:id="175" w:name="ref-russo2023intensity"/>
    <w:p>
      <w:pPr>
        <w:pStyle w:val="Bibliography"/>
      </w:pPr>
      <w:r>
        <w:t xml:space="preserve">Russo, E., Domeisen, D.I.V., 2023. Increasing intensity of extreme heatwaves: The crucial role of metrics. Geophysical Research Letters 50, e2023GL103540.</w:t>
      </w:r>
      <w:r>
        <w:t xml:space="preserve"> </w:t>
      </w:r>
      <w:hyperlink r:id="rId174">
        <w:r>
          <w:rPr>
            <w:rStyle w:val="Hyperlink"/>
          </w:rPr>
          <w:t xml:space="preserve">https://doi.org/10.1029/2023GL103540</w:t>
        </w:r>
      </w:hyperlink>
    </w:p>
    <w:bookmarkEnd w:id="175"/>
    <w:bookmarkStart w:id="176" w:name="ref-samper2020characterization"/>
    <w:p>
      <w:pPr>
        <w:pStyle w:val="Bibliography"/>
      </w:pPr>
      <w:r>
        <w:t xml:space="preserve">Samper-Villarreal, J., Bolaños, R.C., Heidemeyer, M., Vargas, M.M., Vargas, R.M., 2020. Characterization of seagrasses at two new locations in the eastern tropical pacific (el jobo and matapalito, costa rica). Aquatic botany 165, 103237.</w:t>
      </w:r>
    </w:p>
    <w:bookmarkEnd w:id="176"/>
    <w:bookmarkStart w:id="177"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77"/>
    <w:bookmarkStart w:id="179"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78">
        <w:r>
          <w:rPr>
            <w:rStyle w:val="Hyperlink"/>
          </w:rPr>
          <w:t xml:space="preserve">https://doi.org/10.21105/joss.00821</w:t>
        </w:r>
      </w:hyperlink>
    </w:p>
    <w:bookmarkEnd w:id="179"/>
    <w:bookmarkStart w:id="180"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80"/>
    <w:bookmarkStart w:id="181"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81"/>
    <w:bookmarkStart w:id="183" w:name="ref-shom_ram_2022"/>
    <w:p>
      <w:pPr>
        <w:pStyle w:val="Bibliography"/>
      </w:pPr>
      <w:r>
        <w:t xml:space="preserve">Shom, 2022.</w:t>
      </w:r>
      <w:r>
        <w:t xml:space="preserve"> </w:t>
      </w:r>
      <w:hyperlink r:id="rId182">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83"/>
    <w:bookmarkStart w:id="185" w:name="Xbef41143b4d4042e58f11cfc27e216202646012"/>
    <w:p>
      <w:pPr>
        <w:pStyle w:val="Bibliography"/>
      </w:pPr>
      <w:r>
        <w:t xml:space="preserve">SHOM, 2021.</w:t>
      </w:r>
      <w:r>
        <w:t xml:space="preserve"> </w:t>
      </w:r>
      <w:hyperlink r:id="rId184">
        <w:r>
          <w:rPr>
            <w:rStyle w:val="Hyperlink"/>
          </w:rPr>
          <w:t xml:space="preserve">Service hydrographique et océanographique de la marine ; bathymétrie Litto3D® bretagne 2018-2021</w:t>
        </w:r>
      </w:hyperlink>
      <w:r>
        <w:t xml:space="preserve">.</w:t>
      </w:r>
    </w:p>
    <w:bookmarkEnd w:id="185"/>
    <w:bookmarkStart w:id="187" w:name="ref-simolo2022quantifying"/>
    <w:p>
      <w:pPr>
        <w:pStyle w:val="Bibliography"/>
      </w:pPr>
      <w:r>
        <w:t xml:space="preserve">Simolo, C., Corti, S., 2022. Quantifying the role of variability in future intensification of heat extremes. Nature Communications 13.</w:t>
      </w:r>
      <w:r>
        <w:t xml:space="preserve"> </w:t>
      </w:r>
      <w:hyperlink r:id="rId186">
        <w:r>
          <w:rPr>
            <w:rStyle w:val="Hyperlink"/>
          </w:rPr>
          <w:t xml:space="preserve">https://doi.org/10.1038/s41467-022-35571-0</w:t>
        </w:r>
      </w:hyperlink>
    </w:p>
    <w:bookmarkEnd w:id="187"/>
    <w:bookmarkStart w:id="189" w:name="ref-smale2019marine"/>
    <w:p>
      <w:pPr>
        <w:pStyle w:val="Bibliography"/>
      </w:pPr>
      <w:r>
        <w:t xml:space="preserve">Smale, D.A., Wernberg, T., Oliver, E.C.J., others, 2019. Marine heatwaves threaten global biodiversity and the provision of ecosystem services. Nature Climate Change 9, 306–312.</w:t>
      </w:r>
      <w:r>
        <w:t xml:space="preserve"> </w:t>
      </w:r>
      <w:hyperlink r:id="rId188">
        <w:r>
          <w:rPr>
            <w:rStyle w:val="Hyperlink"/>
          </w:rPr>
          <w:t xml:space="preserve">https://doi.org/10.1038/s41558-019-0412-1</w:t>
        </w:r>
      </w:hyperlink>
    </w:p>
    <w:bookmarkEnd w:id="189"/>
    <w:bookmarkStart w:id="190"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90"/>
    <w:bookmarkStart w:id="192" w:name="ref-stillman2019heat"/>
    <w:p>
      <w:pPr>
        <w:pStyle w:val="Bibliography"/>
      </w:pPr>
      <w:r>
        <w:t xml:space="preserve">Stillman, J.H., 2019. Heat waves, the new normal: Summertime temperature extremes will impact animals, ecosystems, and human communities. Physiology 34, 86–100.</w:t>
      </w:r>
      <w:r>
        <w:t xml:space="preserve"> </w:t>
      </w:r>
      <w:hyperlink r:id="rId191">
        <w:r>
          <w:rPr>
            <w:rStyle w:val="Hyperlink"/>
          </w:rPr>
          <w:t xml:space="preserve">https://doi.org/10.1152/physiol.00040.2018</w:t>
        </w:r>
      </w:hyperlink>
    </w:p>
    <w:bookmarkEnd w:id="192"/>
    <w:bookmarkStart w:id="193"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93"/>
    <w:bookmarkStart w:id="194" w:name="ref-unsworth2014biodiversity"/>
    <w:p>
      <w:pPr>
        <w:pStyle w:val="Bibliography"/>
      </w:pPr>
      <w:r>
        <w:t xml:space="preserve">Unsworth, R., Cullen-Unsworth, L.C., 2014. Biodiversity, ecosystem services, and the conservation of seagrass meadows. Coast. Conserv 19, 95.</w:t>
      </w:r>
    </w:p>
    <w:bookmarkEnd w:id="194"/>
    <w:bookmarkStart w:id="195" w:name="ref-unsworth2022planetary"/>
    <w:p>
      <w:pPr>
        <w:pStyle w:val="Bibliography"/>
      </w:pPr>
      <w:r>
        <w:t xml:space="preserve">Unsworth, R.K., Cullen-Unsworth, L.C., Jones, B.L., Lilley, R.J., 2022. The planetary role of seagrass conservation. Science 377, 609–613.</w:t>
      </w:r>
    </w:p>
    <w:bookmarkEnd w:id="195"/>
    <w:bookmarkStart w:id="196"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96"/>
    <w:bookmarkStart w:id="197"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97"/>
    <w:bookmarkStart w:id="198"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98"/>
    <w:bookmarkStart w:id="200"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r>
        <w:t xml:space="preserve"> </w:t>
      </w:r>
      <w:hyperlink r:id="rId199">
        <w:r>
          <w:rPr>
            <w:rStyle w:val="Hyperlink"/>
          </w:rPr>
          <w:t xml:space="preserve">https://doi.org/10.1002/rse2.319</w:t>
        </w:r>
      </w:hyperlink>
    </w:p>
    <w:bookmarkEnd w:id="200"/>
    <w:bookmarkStart w:id="201"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201"/>
    <w:bookmarkEnd w:id="202"/>
    <w:bookmarkEnd w:id="203"/>
    <w:sectPr w:rsidR="005339AC">
      <w:footerReference r:id="rId9"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083285314"/>
      <w:docPartObj>
        <w:docPartGallery w:val="Page Numbers (Bottom of Page)"/>
        <w:docPartUnique/>
      </w:docPartObj>
    </w:sdtPr>
    <w:sdtEndPr>
      <w:rPr>
        <w:noProof/>
      </w:rPr>
    </w:sdtEndPr>
    <w:sdtContent>
      <w:p w:rsidR="00F21051" w:rsidRDefault="00F21051">
        <w:pPr>
          <w:pStyle w:val="Footer"/>
          <w:jc w:val="center"/>
        </w:pPr>
        <w:r>
          <w:fldChar w:fldCharType="begin"/>
        </w:r>
        <w:r>
          <w:instrText xml:space="preserve"> PAGE   \* MERGEFORMAT </w:instrText>
        </w:r>
        <w:r>
          <w:fldChar w:fldCharType="separate"/>
        </w:r>
        <w:r w:rsidR="009A6187">
          <w:rPr>
            <w:noProof/>
          </w:rPr>
          <w:t>1</w:t>
        </w:r>
        <w:r>
          <w:rPr>
            <w:noProof/>
          </w:rPr>
          <w:fldChar w:fldCharType="end"/>
        </w:r>
      </w:p>
    </w:sdtContent>
  </w:sdt>
  <w:p w:rsidR="00F21051" w:rsidRDefault="00F21051">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Institut des Substances et Organismes de la Mer, ISOMer, Nantes Université, UR 2160, F-44000 Nantes, France</w:t>
      </w:r>
    </w:p>
  </w:footnote>
  <w:footnote w:id="21">
    <w:p>
      <w:pPr>
        <w:pStyle w:val="FootnoteText"/>
      </w:pPr>
      <w:r>
        <w:rPr>
          <w:rStyle w:val="FootnoteReference"/>
        </w:rPr>
        <w:footnoteRef/>
      </w:r>
      <w:r>
        <w:t xml:space="preserve"> </w:t>
      </w:r>
      <w:r>
        <w:t xml:space="preserve">Consiglio Nazionale delle Ricerche, Istituto di Scienze Marine (CNR-ISMAR), 00133 Rome, Italy</w:t>
      </w:r>
    </w:p>
  </w:footnote>
  <w:footnote w:id="22">
    <w:p>
      <w:pPr>
        <w:pStyle w:val="FootnoteText"/>
      </w:pPr>
      <w:r>
        <w:rPr>
          <w:rStyle w:val="FootnoteReference"/>
        </w:rPr>
        <w:footnoteRef/>
      </w:r>
      <w:r>
        <w:t xml:space="preserve"> </w:t>
      </w:r>
      <w:r>
        <w:t xml:space="preserve">Bio-littoral, Immeuble Le Nevada, 2 Rue du Château de l’Eraudière, 44300 Nantes, France</w:t>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0">
    <w:nsid w:val="0000A990"/>
    <w:multiLevelType w:val="multilevel"/>
    <w:tmpl w:val="30FA5A7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1" w:defLockedState="0" w:defQFormat="0" w:defSemiHidden="0" w:defUIPriority="0" w:defUnhideWhenUsed="0">
    <w:lsdException w:name="Normal" w:qFormat="1"/>
    <w:lsdException w:name="heading 1" w:qFormat="1" w:uiPriority="9"/>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qFormat="1" w:semiHidden="1" w:uiPriority="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qFormat="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qFormat="1"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lock Text" w:qFormat="1" w:uiPriority="9"/>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qFormat="1" w:semiHidden="1"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rsid w:val="00AC6758"/>
    <w:rPr>
      <w:rFonts w:ascii="Palatino Linotype" w:hAnsi="Palatino Linotype"/>
    </w:rPr>
  </w:style>
  <w:style w:styleId="Heading1" w:type="paragraph">
    <w:name w:val="heading 1"/>
    <w:basedOn w:val="Normal"/>
    <w:next w:val="BodyText"/>
    <w:autoRedefine/>
    <w:uiPriority w:val="9"/>
    <w:qFormat/>
    <w:rsid w:val="00AC6758"/>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autoRedefine/>
    <w:uiPriority w:val="9"/>
    <w:unhideWhenUsed/>
    <w:qFormat/>
    <w:rsid w:val="00AC6758"/>
    <w:pPr>
      <w:keepNext/>
      <w:keepLines/>
      <w:spacing w:after="0" w:before="200"/>
      <w:outlineLvl w:val="1"/>
    </w:pPr>
    <w:rPr>
      <w:rFonts w:cstheme="majorBidi" w:eastAsiaTheme="majorEastAsia"/>
      <w:b/>
      <w:bCs/>
      <w:color w:themeColor="text1" w:val="000000"/>
      <w:sz w:val="28"/>
      <w:szCs w:val="28"/>
    </w:rPr>
  </w:style>
  <w:style w:styleId="Heading3" w:type="paragraph">
    <w:name w:val="heading 3"/>
    <w:basedOn w:val="Normal"/>
    <w:next w:val="BodyText"/>
    <w:autoRedefine/>
    <w:uiPriority w:val="9"/>
    <w:unhideWhenUsed/>
    <w:qFormat/>
    <w:rsid w:val="00AC6758"/>
    <w:pPr>
      <w:keepNext/>
      <w:keepLines/>
      <w:spacing w:after="0" w:before="200"/>
      <w:outlineLvl w:val="2"/>
    </w:pPr>
    <w:rPr>
      <w:rFonts w:cstheme="majorBidi" w:eastAsiaTheme="majorEastAsia"/>
      <w:b/>
      <w:bCs/>
      <w:color w:themeColor="text1" w:val="000000"/>
    </w:rPr>
  </w:style>
  <w:style w:styleId="Heading4" w:type="paragraph">
    <w:name w:val="heading 4"/>
    <w:basedOn w:val="Normal"/>
    <w:next w:val="BodyText"/>
    <w:uiPriority w:val="9"/>
    <w:unhideWhenUsed/>
    <w:qFormat/>
    <w:rsid w:val="00AC6758"/>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rsid w:val="00AC6758"/>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rsid w:val="00AC6758"/>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rsid w:val="00AC6758"/>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rsid w:val="00AC6758"/>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rsid w:val="00AC6758"/>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AC6758"/>
    <w:pPr>
      <w:spacing w:after="60" w:before="60" w:line="360" w:lineRule="auto"/>
      <w:ind w:firstLine="720"/>
      <w:contextualSpacing/>
    </w:pPr>
  </w:style>
  <w:style w:customStyle="1" w:styleId="FirstParagraph" w:type="paragraph">
    <w:name w:val="First Paragraph"/>
    <w:basedOn w:val="BodyText"/>
    <w:next w:val="BodyText"/>
    <w:autoRedefine/>
    <w:qFormat/>
    <w:rsid w:val="00AC6758"/>
    <w:pPr>
      <w:ind w:firstLine="0"/>
    </w:pPr>
  </w:style>
  <w:style w:customStyle="1" w:styleId="Compact" w:type="paragraph">
    <w:name w:val="Compact"/>
    <w:basedOn w:val="BodyText"/>
    <w:autoRedefine/>
    <w:qFormat/>
    <w:rsid w:val="00AC6758"/>
    <w:pPr>
      <w:spacing w:after="0" w:before="0" w:line="240" w:lineRule="auto"/>
      <w:ind w:firstLine="0"/>
    </w:pPr>
    <w:rPr>
      <w:sz w:val="20"/>
    </w:rPr>
  </w:style>
  <w:style w:styleId="Title" w:type="paragraph">
    <w:name w:val="Title"/>
    <w:basedOn w:val="Normal"/>
    <w:next w:val="BodyText"/>
    <w:autoRedefine/>
    <w:qFormat/>
    <w:rsid w:val="00AC6758"/>
    <w:pPr>
      <w:keepNext/>
      <w:keepLines/>
      <w:spacing w:after="240" w:before="480"/>
    </w:pPr>
    <w:rPr>
      <w:rFonts w:cstheme="majorBidi" w:eastAsiaTheme="majorEastAsia"/>
      <w:b/>
      <w:bCs/>
      <w:sz w:val="36"/>
      <w:szCs w:val="36"/>
    </w:rPr>
  </w:style>
  <w:style w:styleId="Subtitle" w:type="paragraph">
    <w:name w:val="Subtitle"/>
    <w:basedOn w:val="Title"/>
    <w:next w:val="BodyText"/>
    <w:autoRedefine/>
    <w:qFormat/>
    <w:rsid w:val="00AC6758"/>
    <w:pPr>
      <w:spacing w:before="240"/>
      <w:jc w:val="center"/>
    </w:pPr>
    <w:rPr>
      <w:sz w:val="30"/>
      <w:szCs w:val="30"/>
    </w:rPr>
  </w:style>
  <w:style w:customStyle="1" w:styleId="Author" w:type="paragraph">
    <w:name w:val="Author"/>
    <w:next w:val="BodyText"/>
    <w:autoRedefine/>
    <w:qFormat/>
    <w:rsid w:val="00AC6758"/>
    <w:pPr>
      <w:keepNext/>
      <w:keepLines/>
    </w:pPr>
    <w:rPr>
      <w:rFonts w:ascii="Arial Black" w:hAnsi="Arial Black"/>
    </w:rPr>
  </w:style>
  <w:style w:styleId="Date" w:type="paragraph">
    <w:name w:val="Date"/>
    <w:next w:val="BodyText"/>
    <w:autoRedefine/>
    <w:qFormat/>
    <w:rsid w:val="00AC6758"/>
    <w:pPr>
      <w:keepNext/>
      <w:keepLines/>
    </w:pPr>
  </w:style>
  <w:style w:customStyle="1" w:styleId="Abstract" w:type="paragraph">
    <w:name w:val="Abstract"/>
    <w:basedOn w:val="Normal"/>
    <w:next w:val="BodyText"/>
    <w:autoRedefine/>
    <w:qFormat/>
    <w:rsid w:val="00AC6758"/>
    <w:pPr>
      <w:keepNext/>
      <w:keepLines/>
      <w:spacing w:after="300" w:before="300"/>
    </w:pPr>
    <w:rPr>
      <w:sz w:val="20"/>
      <w:szCs w:val="20"/>
    </w:rPr>
  </w:style>
  <w:style w:styleId="Bibliography" w:type="paragraph">
    <w:name w:val="Bibliography"/>
    <w:basedOn w:val="Normal"/>
    <w:autoRedefine/>
    <w:qFormat/>
    <w:rsid w:val="00AC6758"/>
  </w:style>
  <w:style w:styleId="BlockText" w:type="paragraph">
    <w:name w:val="Block Text"/>
    <w:basedOn w:val="BodyText"/>
    <w:next w:val="BodyText"/>
    <w:uiPriority w:val="9"/>
    <w:unhideWhenUsed/>
    <w:qFormat/>
    <w:rsid w:val="00AC6758"/>
    <w:pPr>
      <w:spacing w:after="100" w:before="100"/>
      <w:ind w:left="480" w:right="480"/>
    </w:pPr>
  </w:style>
  <w:style w:styleId="FootnoteText" w:type="paragraph">
    <w:name w:val="footnote text"/>
    <w:basedOn w:val="Normal"/>
    <w:autoRedefine/>
    <w:uiPriority w:val="9"/>
    <w:unhideWhenUsed/>
    <w:qFormat/>
    <w:rsid w:val="00AC6758"/>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autoRedefine/>
    <w:uiPriority w:val="39"/>
    <w:unhideWhenUsed/>
    <w:qFormat/>
    <w:rsid w:val="00AC6758"/>
    <w:pPr>
      <w:spacing w:before="240" w:line="259" w:lineRule="auto"/>
      <w:outlineLvl w:val="9"/>
    </w:pPr>
    <w:rPr>
      <w:b w:val="0"/>
      <w:bCs w:val="0"/>
      <w:color w:val="auto"/>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styleId="Header" w:type="paragraph">
    <w:name w:val="header"/>
    <w:basedOn w:val="Normal"/>
    <w:link w:val="HeaderChar"/>
    <w:unhideWhenUsed/>
    <w:rsid w:val="00F21051"/>
    <w:pPr>
      <w:tabs>
        <w:tab w:pos="4680" w:val="center"/>
        <w:tab w:pos="9360" w:val="right"/>
      </w:tabs>
      <w:spacing w:after="0"/>
    </w:pPr>
  </w:style>
  <w:style w:customStyle="1" w:styleId="HeaderChar" w:type="character">
    <w:name w:val="Header Char"/>
    <w:basedOn w:val="DefaultParagraphFont"/>
    <w:link w:val="Header"/>
    <w:rsid w:val="00F21051"/>
    <w:rPr>
      <w:rFonts w:ascii="Palatino Linotype" w:hAnsi="Palatino Linotype"/>
    </w:rPr>
  </w:style>
  <w:style w:styleId="Footer" w:type="paragraph">
    <w:name w:val="footer"/>
    <w:basedOn w:val="Normal"/>
    <w:link w:val="FooterChar"/>
    <w:uiPriority w:val="99"/>
    <w:unhideWhenUsed/>
    <w:rsid w:val="00F21051"/>
    <w:pPr>
      <w:tabs>
        <w:tab w:pos="4680" w:val="center"/>
        <w:tab w:pos="9360" w:val="right"/>
      </w:tabs>
      <w:spacing w:after="0"/>
    </w:pPr>
  </w:style>
  <w:style w:customStyle="1" w:styleId="FooterChar" w:type="character">
    <w:name w:val="Footer Char"/>
    <w:basedOn w:val="DefaultParagraphFont"/>
    <w:link w:val="Footer"/>
    <w:uiPriority w:val="99"/>
    <w:rsid w:val="00F21051"/>
    <w:rPr>
      <w:rFonts w:ascii="Palatino Linotype" w:hAnsi="Palatino Linoty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80" Target="media/rId80.png" /><Relationship Type="http://schemas.openxmlformats.org/officeDocument/2006/relationships/image" Id="rId24" Target="media/rId24.png" /><Relationship Type="http://schemas.openxmlformats.org/officeDocument/2006/relationships/image" Id="rId91" Target="media/rId91.png" /><Relationship Type="http://schemas.openxmlformats.org/officeDocument/2006/relationships/image" Id="rId74" Target="media/rId74.png" /><Relationship Type="http://schemas.openxmlformats.org/officeDocument/2006/relationships/image" Id="rId86" Target="media/rId86.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66" Target="media/rId66.png" /><Relationship Type="http://schemas.openxmlformats.org/officeDocument/2006/relationships/image" Id="rId60" Target="media/rId60.png" /><Relationship Type="http://schemas.openxmlformats.org/officeDocument/2006/relationships/hyperlink" Id="rId182" Target="https://diffusion.shom.fr/references-altimetriques-maritimes-ram.html" TargetMode="External" /><Relationship Type="http://schemas.openxmlformats.org/officeDocument/2006/relationships/hyperlink" Id="rId143" Target="https://doi.org/10.1002/aqc.4210" TargetMode="External" /><Relationship Type="http://schemas.openxmlformats.org/officeDocument/2006/relationships/hyperlink" Id="rId199" Target="https://doi.org/10.1002/rse2.319" TargetMode="External" /><Relationship Type="http://schemas.openxmlformats.org/officeDocument/2006/relationships/hyperlink" Id="rId127" Target="https://doi.org/10.1007/s11099-007-0084-3" TargetMode="External" /><Relationship Type="http://schemas.openxmlformats.org/officeDocument/2006/relationships/hyperlink" Id="rId156" Target="https://doi.org/10.1016/S0034-4257(70)80021-9" TargetMode="External" /><Relationship Type="http://schemas.openxmlformats.org/officeDocument/2006/relationships/hyperlink" Id="rId153" Target="https://doi.org/10.1016/S0304-4238(05)80016-0" TargetMode="External" /><Relationship Type="http://schemas.openxmlformats.org/officeDocument/2006/relationships/hyperlink" Id="rId131" Target="https://doi.org/10.1016/j.rse.2024.114340" TargetMode="External" /><Relationship Type="http://schemas.openxmlformats.org/officeDocument/2006/relationships/hyperlink" Id="rId174" Target="https://doi.org/10.1029/2023GL103540" TargetMode="External" /><Relationship Type="http://schemas.openxmlformats.org/officeDocument/2006/relationships/hyperlink" Id="rId186" Target="https://doi.org/10.1038/s41467-022-35571-0" TargetMode="External" /><Relationship Type="http://schemas.openxmlformats.org/officeDocument/2006/relationships/hyperlink" Id="rId188" Target="https://doi.org/10.1038/s41558-019-0412-1" TargetMode="External" /><Relationship Type="http://schemas.openxmlformats.org/officeDocument/2006/relationships/hyperlink" Id="rId161" Target="https://doi.org/10.1038/s41598-019-50643-w" TargetMode="External" /><Relationship Type="http://schemas.openxmlformats.org/officeDocument/2006/relationships/hyperlink" Id="rId129" Target="https://doi.org/10.1038/s43247-024-01543-z" TargetMode="External" /><Relationship Type="http://schemas.openxmlformats.org/officeDocument/2006/relationships/hyperlink" Id="rId148" Target="https://doi.org/10.1073/pnas.0402642101" TargetMode="External" /><Relationship Type="http://schemas.openxmlformats.org/officeDocument/2006/relationships/hyperlink" Id="rId171" Target="https://doi.org/10.1073/pnas.0500008102" TargetMode="External" /><Relationship Type="http://schemas.openxmlformats.org/officeDocument/2006/relationships/hyperlink" Id="rId166" Target="https://doi.org/10.1111/gcb.14282" TargetMode="External" /><Relationship Type="http://schemas.openxmlformats.org/officeDocument/2006/relationships/hyperlink" Id="rId191" Target="https://doi.org/10.1152/physiol.00040.2018" TargetMode="External" /><Relationship Type="http://schemas.openxmlformats.org/officeDocument/2006/relationships/hyperlink" Id="rId178" Target="https://doi.org/10.21105/joss.00821" TargetMode="External" /><Relationship Type="http://schemas.openxmlformats.org/officeDocument/2006/relationships/hyperlink" Id="rId119" Target="https://doi.org/10.3354/meps14588" TargetMode="External" /><Relationship Type="http://schemas.openxmlformats.org/officeDocument/2006/relationships/hyperlink" Id="rId164" Target="https://doi.org/10.3389/fmars.2019.00734" TargetMode="External" /><Relationship Type="http://schemas.openxmlformats.org/officeDocument/2006/relationships/hyperlink" Id="rId125"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2" Target="https://github.com/SigOiry/HeatWave_Seagrasses/blob/main/Scripts/MeteoFrance_Extraction.qmd" TargetMode="External" /><Relationship Type="http://schemas.openxmlformats.org/officeDocument/2006/relationships/hyperlink" Id="rId184" Target="https://services.data.shom.fr/geonetwork/srv/fre/catalog.search#/metadata/BATHYMETRIE_LITTO3D_BZH_2018_2021.xml" TargetMode="External" /><Relationship Type="http://schemas.openxmlformats.org/officeDocument/2006/relationships/hyperlink" Id="rId150"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82" Target="https://diffusion.shom.fr/references-altimetriques-maritimes-ram.html" TargetMode="External" /><Relationship Type="http://schemas.openxmlformats.org/officeDocument/2006/relationships/hyperlink" Id="rId143" Target="https://doi.org/10.1002/aqc.4210" TargetMode="External" /><Relationship Type="http://schemas.openxmlformats.org/officeDocument/2006/relationships/hyperlink" Id="rId199" Target="https://doi.org/10.1002/rse2.319" TargetMode="External" /><Relationship Type="http://schemas.openxmlformats.org/officeDocument/2006/relationships/hyperlink" Id="rId127" Target="https://doi.org/10.1007/s11099-007-0084-3" TargetMode="External" /><Relationship Type="http://schemas.openxmlformats.org/officeDocument/2006/relationships/hyperlink" Id="rId156" Target="https://doi.org/10.1016/S0034-4257(70)80021-9" TargetMode="External" /><Relationship Type="http://schemas.openxmlformats.org/officeDocument/2006/relationships/hyperlink" Id="rId153" Target="https://doi.org/10.1016/S0304-4238(05)80016-0" TargetMode="External" /><Relationship Type="http://schemas.openxmlformats.org/officeDocument/2006/relationships/hyperlink" Id="rId131" Target="https://doi.org/10.1016/j.rse.2024.114340" TargetMode="External" /><Relationship Type="http://schemas.openxmlformats.org/officeDocument/2006/relationships/hyperlink" Id="rId174" Target="https://doi.org/10.1029/2023GL103540" TargetMode="External" /><Relationship Type="http://schemas.openxmlformats.org/officeDocument/2006/relationships/hyperlink" Id="rId186" Target="https://doi.org/10.1038/s41467-022-35571-0" TargetMode="External" /><Relationship Type="http://schemas.openxmlformats.org/officeDocument/2006/relationships/hyperlink" Id="rId188" Target="https://doi.org/10.1038/s41558-019-0412-1" TargetMode="External" /><Relationship Type="http://schemas.openxmlformats.org/officeDocument/2006/relationships/hyperlink" Id="rId161" Target="https://doi.org/10.1038/s41598-019-50643-w" TargetMode="External" /><Relationship Type="http://schemas.openxmlformats.org/officeDocument/2006/relationships/hyperlink" Id="rId129" Target="https://doi.org/10.1038/s43247-024-01543-z" TargetMode="External" /><Relationship Type="http://schemas.openxmlformats.org/officeDocument/2006/relationships/hyperlink" Id="rId148" Target="https://doi.org/10.1073/pnas.0402642101" TargetMode="External" /><Relationship Type="http://schemas.openxmlformats.org/officeDocument/2006/relationships/hyperlink" Id="rId171" Target="https://doi.org/10.1073/pnas.0500008102" TargetMode="External" /><Relationship Type="http://schemas.openxmlformats.org/officeDocument/2006/relationships/hyperlink" Id="rId166" Target="https://doi.org/10.1111/gcb.14282" TargetMode="External" /><Relationship Type="http://schemas.openxmlformats.org/officeDocument/2006/relationships/hyperlink" Id="rId191" Target="https://doi.org/10.1152/physiol.00040.2018" TargetMode="External" /><Relationship Type="http://schemas.openxmlformats.org/officeDocument/2006/relationships/hyperlink" Id="rId178" Target="https://doi.org/10.21105/joss.00821" TargetMode="External" /><Relationship Type="http://schemas.openxmlformats.org/officeDocument/2006/relationships/hyperlink" Id="rId119" Target="https://doi.org/10.3354/meps14588" TargetMode="External" /><Relationship Type="http://schemas.openxmlformats.org/officeDocument/2006/relationships/hyperlink" Id="rId164" Target="https://doi.org/10.3389/fmars.2019.00734" TargetMode="External" /><Relationship Type="http://schemas.openxmlformats.org/officeDocument/2006/relationships/hyperlink" Id="rId125" Target="https://doi.org/10.48670/moi-00311" TargetMode="External" /><Relationship Type="http://schemas.openxmlformats.org/officeDocument/2006/relationships/hyperlink" Id="rId30" Target="https://electricblue.eu/intertidal-chamber" TargetMode="External" /><Relationship Type="http://schemas.openxmlformats.org/officeDocument/2006/relationships/hyperlink" Id="rId52" Target="https://github.com/SigOiry/HeatWave_Seagrasses/blob/main/Scripts/MeteoFrance_Extraction.qmd" TargetMode="External" /><Relationship Type="http://schemas.openxmlformats.org/officeDocument/2006/relationships/hyperlink" Id="rId184" Target="https://services.data.shom.fr/geonetwork/srv/fre/catalog.search#/metadata/BATHYMETRIE_LITTO3D_BZH_2018_2021.xml" TargetMode="External" /><Relationship Type="http://schemas.openxmlformats.org/officeDocument/2006/relationships/hyperlink" Id="rId150" Target="https://www.ioc-sealevelmonitoring.org/station.php?code=lecy" TargetMode="External" /><Relationship Type="http://schemas.openxmlformats.org/officeDocument/2006/relationships/hyperlink" Id="rId32"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TotalTime>
  <Pages>3</Pages>
  <Words>394</Words>
  <Characters>2248</Characters>
  <Application>Microsoft Office Word</Application>
  <DocSecurity>0</DocSecurity>
  <Lines>18</Lines>
  <Paragraphs>5</Paragraphs>
  <ScaleCrop>false</ScaleCrop>
  <HeadingPairs>
    <vt:vector size="4" baseType="variant">
      <vt:variant>
        <vt:lpstr>Title</vt:lpstr>
      </vt:variant>
      <vt:variant>
        <vt:i4>1</vt:i4>
      </vt:variant>
      <vt:variant>
        <vt:lpstr>Headings</vt:lpstr>
      </vt:variant>
      <vt:variant>
        <vt:i4>2</vt:i4>
      </vt:variant>
    </vt:vector>
  </HeadingPairs>
  <TitlesOfParts>
    <vt:vector size="3" baseType="lpstr">
      <vt:lpstr>Here is a document</vt:lpstr>
      <vt:lpstr>    1 Quarto</vt:lpstr>
      <vt:lpstr>    2 Running Code</vt:lpstr>
    </vt:vector>
  </TitlesOfParts>
  <Company/>
  <LinksUpToDate>false</LinksUpToDate>
  <CharactersWithSpaces>2637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Effect of Marine and Atmospheric Heatwaves on Reflectance and Pigment Composition of Intertidal Zostera noltei</dc:title>
  <dc:creator>Simon Oiry; Bede Ffinian Rowe Davies¹; Philippe Rosa¹; Augustin Debly¹; Maria Laura Zoffoli; Anne-Laure Barillé; Nicolas Harin³; Pierre Gernez¹; Laurent Barillé¹</dc:creator>
  <cp:keywords>Remote Sensing, Pigment Composition, Seagrass, Coastal Ecosystems, Heatwaves</cp:keywords>
  <dcterms:created xsi:type="dcterms:W3CDTF">2024-11-13T12:31:06Z</dcterms:created>
  <dcterms:modified xsi:type="dcterms:W3CDTF">2024-11-13T12:31:06Z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Zostera noltei. We performed laboratory experiments, exposing N. noltei samples to controlled heatwave conditions while measuring hyperspectral reflectance and pigment concentration to assess impact over time. We found that heatwaves induced significant declines in seagrass reflectance, particularly in the green and near-infrared regions, most likely due to pigment degradation. Furthemore, key vegetation indices, such as the Normalized Difference Vegetation Index (NDVI) and Green Leaf Index (GLI),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Multispectral satellite observations confirmed these findings, showing widespread seagrass darkening during atmospheric and marine heatwave events in Quiberon, France. Darkened seagrasses were observed in areas within the intertidal zone that were exposed to atmospheric heatwave more than 13.5 hours a day. This work highlights the need for continuous monitoring of seagrass meadows under the current and futur climate regimes, underscoring the potential of remote sensing to capture rapid environmental changes in intertidal zones.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itation">
    <vt:lpwstr/>
  </property>
  <property fmtid="{D5CDD505-2E9C-101B-9397-08002B2CF9AE}" pid="10" name="clear-hidden-classes">
    <vt:lpwstr>none</vt:lpwstr>
  </property>
  <property fmtid="{D5CDD505-2E9C-101B-9397-08002B2CF9AE}" pid="11" name="csl">
    <vt:lpwstr>RSE.csl</vt:lpwstr>
  </property>
  <property fmtid="{D5CDD505-2E9C-101B-9397-08002B2CF9AE}" pid="12" name="date">
    <vt:lpwstr>2024-11-13</vt:lpwstr>
  </property>
  <property fmtid="{D5CDD505-2E9C-101B-9397-08002B2CF9AE}" pid="13" name="editor_options">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ey-points">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plain-language-summary">
    <vt:lpwstr>To be written</vt:lpwstr>
  </property>
  <property fmtid="{D5CDD505-2E9C-101B-9397-08002B2CF9AE}" pid="24" name="quarto-internal">
    <vt:lpwstr/>
  </property>
  <property fmtid="{D5CDD505-2E9C-101B-9397-08002B2CF9AE}" pid="25" name="remove-hidden">
    <vt:lpwstr>all</vt:lpwstr>
  </property>
  <property fmtid="{D5CDD505-2E9C-101B-9397-08002B2CF9AE}" pid="26" name="resources">
    <vt:lpwstr/>
  </property>
  <property fmtid="{D5CDD505-2E9C-101B-9397-08002B2CF9AE}" pid="27" name="shorttitle">
    <vt:lpwstr>Effect of heatwaves on seagrasses</vt:lpwstr>
  </property>
  <property fmtid="{D5CDD505-2E9C-101B-9397-08002B2CF9AE}" pid="28" name="template-partials">
    <vt:lpwstr/>
  </property>
  <property fmtid="{D5CDD505-2E9C-101B-9397-08002B2CF9AE}" pid="29" name="theme">
    <vt:lpwstr>cosmo</vt:lpwstr>
  </property>
  <property fmtid="{D5CDD505-2E9C-101B-9397-08002B2CF9AE}" pid="30" name="title-block-style">
    <vt:lpwstr>manuscript</vt:lpwstr>
  </property>
  <property fmtid="{D5CDD505-2E9C-101B-9397-08002B2CF9AE}" pid="31" name="toc-title">
    <vt:lpwstr>Table of contents</vt:lpwstr>
  </property>
  <property fmtid="{D5CDD505-2E9C-101B-9397-08002B2CF9AE}" pid="32" name="unroll-markdown-cells">
    <vt:lpwstr>True</vt:lpwstr>
  </property>
</Properties>
</file>