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8.png" ContentType="image/png"/>
  <Override PartName="/word/media/rId31.png" ContentType="image/png"/>
  <Override PartName="/word/media/rId93.png" ContentType="image/png"/>
  <Override PartName="/word/media/rId25.png" ContentType="image/png"/>
  <Override PartName="/word/media/rId104.png" ContentType="image/png"/>
  <Override PartName="/word/media/rId87.png" ContentType="image/png"/>
  <Override PartName="/word/media/rId99.png" ContentType="image/png"/>
  <Override PartName="/word/media/rId41.png" ContentType="image/png"/>
  <Override PartName="/word/media/rId49.png" ContentType="image/png"/>
  <Override PartName="/word/media/rId80.png" ContentType="image/png"/>
  <Override PartName="/word/media/rId54.png" ContentType="image/png"/>
  <Override PartName="/word/media/rId75.png" ContentType="image/png"/>
  <Override PartName="/word/media/rId69.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Impact of Marine and Atmospheric Heatwaves on Intertidal Seagrass: Experimental Spectroradiometry and Satellite-Based Insights</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2024-12-09</w:t>
      </w:r>
    </w:p>
    <w:p>
      <w:pPr>
        <w:pStyle w:val="AbstractTitle"/>
      </w:pPr>
      <w:r>
        <w:t xml:space="preserve">Abstract</w:t>
      </w:r>
    </w:p>
    <w:p>
      <w:pPr>
        <w:pStyle w:val="Abstract"/>
      </w:pPr>
      <w:r>
        <w:t xml:space="preserve">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w:t>
      </w:r>
    </w:p>
    <w:bookmarkStart w:id="23" w:name="abstract-long-version-for-lps-submission"/>
    <w:p>
      <w:pPr>
        <w:pStyle w:val="Heading1"/>
      </w:pPr>
      <w:r>
        <w:t xml:space="preserve">1. Abstract Long version (For LPS Submission)</w:t>
      </w:r>
    </w:p>
    <w:p>
      <w:pPr>
        <w:pStyle w:val="FirstParagraph"/>
      </w:pPr>
      <w:r>
        <w:t xml:space="preserve">Seagrasses meadows are important coastal ecosystems, serving as crucial habitats for marine biodiversity, stabilizing sediments to mitigate erosion, and acting as significant carbon sinks in global climate regulation. However, these vital ecosystems face mounting threats from climate change, with the intensification and increased frequency of marine and atmospheric heatwaves posing profound risks to their health and functionality. This study investigates the impact of these extreme thermal events on the intertidal seagrass, employing a combination of laboratory-controlled experiments and satellite-based remote sensing to capture changes in spectral reflectance and assess the broader ecological implications.</w:t>
      </w:r>
    </w:p>
    <w:p>
      <w:pPr>
        <w:pStyle w:val="BodyText"/>
      </w:pPr>
      <w:r>
        <w:t xml:space="preserve">During laboratory experiments, seagrass of the species</w:t>
      </w:r>
      <w:r>
        <w:t xml:space="preserve"> </w:t>
      </w:r>
      <w:r>
        <w:rPr>
          <w:i/>
          <w:iCs/>
        </w:rPr>
        <w:t xml:space="preserve">Zostera noltei</w:t>
      </w:r>
      <w:r>
        <w:t xml:space="preserve"> </w:t>
      </w:r>
      <w:r>
        <w:t xml:space="preserve">were exposed to controlled simulated heatwave conditions to assess the physiological and structural impacts of extreme thermal stress. The experimental design involved placing seagrass samples in intertidal chambers that simulated natural tidal cycles, allowing to closely regulate temperature conditions during both high and low tides. One chamber served as a control, maintaining typical seasonal temperatures, while the other was used to simulate heatwave conditions with progressively increasing air and water temperatures to mimic an actual heatwave event observed in the field. Hyperspectral reflectance measurements were recorded at regular intervals during low-tide to monitor changes in the seagrass over time. Heatwave exposure resulted in a significant reduction in reflectance, particularly in the green (around 560 nm) and near-infrared (NIR) regions of the spectrum. This decline in reflectance was closely linked to visible leaf browning, suggesting alterations in pigment content, in the internal structure of seagrass leaves and their overall vitality. The green reflectance decline indicates a reduction in the plant’s health, while changes in NIR reflectance often relate to the internal arrangement of cells and air spaces, which are sensitive to heat-induced damage. Vegetation indices like the Normalized Difference Vegetation Index (NDVI) and the Green Leaf Index (GLI), which are indicative of the overall health and structural integrity of vegetation, showed marked decreases under heatwave conditions, with NDVI dropping by up to 34% and GLI by 57%. This significant reduction highlights the adverse effects on the seagrass’s ability to maintain its normal physiological processes under heat stress.</w:t>
      </w:r>
      <w:r>
        <w:t xml:space="preserve"> </w:t>
      </w:r>
      <w:r>
        <w:t xml:space="preserve">To quantify these changes more effectively, a novel Seagrass Heat Shock Index (SHSI) was developed. The SHSI, applicable on emerged seagrass, was particularly effective in detecting the transition from green leaves to darkened, stressed leaves, providing a sensitive and reliable tool for assessing thermal stress effects on seagrass. By focusing on specific changes in reflectance across certain spectral bands, the SHSI allowed for a clear differentiation between unimpacted and impacted vegetation, capturing the onset of heat-induced stress with high accuracy. This sensitivity makes the SHSI valuable for early intervention, enabling managers and researchers to identify vulnerable seagrass meadows before substantial damage occurs, thereby facilitating more timely conservation measures.</w:t>
      </w:r>
    </w:p>
    <w:p>
      <w:pPr>
        <w:pStyle w:val="BodyText"/>
      </w:pPr>
      <w:r>
        <w:t xml:space="preserve">Complementing the experimental data, Sentinel-2 observations provided clear evidence of the effects of a documented heatwave event in South Brittany, France, on natural seagrass meadows. These intertidal zones were exposed to extreme air temperatures up to 32°C for more than 13.5 hours per day, leading to significant leaf darkening, which affected up to 24% of the meadow’s area. The satellite-derived SHSI indicated a strong spatial correlation between prolonged heat exposure and areas experiencing spectral darkening, highlighting the susceptibility of intertidal seagrasses to extended thermal stress. Spatial analysis showed that darkening was especially pronounced in the higher intertidal regions, where seagrasses were exposed to air for longer durations during low tide, underlining the interaction between tidal exposure and thermal stress. However, Sentinel-2 data one month after the heatwave, showed partial recovery in some areas, suggesting a certain level of resilience in</w:t>
      </w:r>
      <w:r>
        <w:t xml:space="preserve"> </w:t>
      </w:r>
      <w:r>
        <w:rPr>
          <w:i/>
          <w:iCs/>
        </w:rPr>
        <w:t xml:space="preserve">Zostera noltei</w:t>
      </w:r>
      <w:r>
        <w:t xml:space="preserve">. Despite this recovery, the seagrasses that had experienced the most severe darkening did not fully return to their original state, indicating that while seagrass meadows have some capacity for resilience, prolonged or repeated thermal stress can have lasting impacts, particularly in the more exposed intertidal regions. This highlights the need for focused conservation efforts to support their recovery and enhance their resilience in the face of increasing climate-driven thermal extremes.</w:t>
      </w:r>
    </w:p>
    <w:p>
      <w:pPr>
        <w:pStyle w:val="BodyText"/>
      </w:pPr>
      <w:r>
        <w:t xml:space="preserve">The combination of laboratory-controlled experiments and satellite-based remote sensing provided a comprehensive understanding of the impacts of heatwaves on seagrass meadows at multiple scales, from individual leaf-level responses to entire meadow-wide effects. This integrated approach highlights the potential of leveraging both detailed local observations and large-scale satellite data to effectively monitor ecosystem changes, offering valuable insights for the management and conservation of these vulnerable habitats. The study underscores the critical role of spectral reflectance as an early warning indicator of heatwave-induced stress, laying the foundation for remote sensing-based monitoring and conservation efforts. By employing innovative indices like the Seagrass Heat Shock Index (SHSI), we capture subtle yet ecologically significant changes, advancing the precision of habitat assessments in intertidal zones. As climate scenarios predict more frequent and intense heatwaves, the need for continuous monitoring of intertidal seagrass meadows becomes increasingly urgent. This research demonstrates the efficacy of remote sensing in capturing rapid environmental changes, providing a framework for mitigating the impacts of climate-driven stressors and calling for adaptive conservation strategies. These strategies should integrate advancements in remote sensing technologies with targeted field-based interventions to preserve the resilience of intertidal seagrass meadows, thereby addressing the escalating challenges posed by climate change and ensuring the continued health of these indispensable coastal habitats.</w:t>
      </w:r>
    </w:p>
    <w:bookmarkEnd w:id="23"/>
    <w:bookmarkStart w:id="24" w:name="introduction"/>
    <w:p>
      <w:pPr>
        <w:pStyle w:val="Heading1"/>
      </w:pPr>
      <w:r>
        <w:t xml:space="preserve">2. Introduction</w:t>
      </w:r>
    </w:p>
    <w:p>
      <w:pPr>
        <w:pStyle w:val="FirstParagraph"/>
      </w:pPr>
      <w:r>
        <w:t xml:space="preserve">Intertidal seagrasses play a crucial role in coastal ecosystems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for several ecological functions, such as sediment stabilization or reducing the risk of eutrophication by consuming nutrients (</w:t>
      </w:r>
      <w:r>
        <w:rPr>
          <w:b/>
          <w:bCs/>
        </w:rPr>
        <w:t xml:space="preserve">REF</w:t>
      </w:r>
      <w:r>
        <w:t xml:space="preserve">). This justifies their use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is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reducing the available habitat for seagrasses and increasing water turbidity, limiting light penetration and photosynthesis</w:t>
      </w:r>
      <w:r>
        <w:t xml:space="preserve"> </w:t>
      </w:r>
      <w:r>
        <w:t xml:space="preserve">(Waycott et al., 2009)</w:t>
      </w:r>
      <w:r>
        <w:t xml:space="preserve">. Seagrasses are also threatened by agricultural and urban runoff nutrient enrichment, leading to eutrophication. This condition promotes the rapid growth of algale causing blooms that compete with seagrasses for light and nutrients, further stressing these important plants</w:t>
      </w:r>
      <w:r>
        <w:t xml:space="preserve"> </w:t>
      </w:r>
      <w:r>
        <w:t xml:space="preserve">(Oiry et al., 2024; Thomsen et al., 2023)</w:t>
      </w:r>
      <w:r>
        <w:t xml:space="preserve">. Pollution from industrial and agricultural sources introduces harmful chemicals and heavy metals into coastal waters, posing toxic risks to seagrass health</w:t>
      </w:r>
      <w:r>
        <w:t xml:space="preserve"> </w:t>
      </w:r>
      <w:r>
        <w:t xml:space="preserve">(Bastos et al., 2023; Zahoor and Mushtaq, 2023)</w:t>
      </w:r>
      <w:r>
        <w:t xml:space="preserve">. These pollutants can affect the physiological processes of seagrasses, reducing their growth and survival rates</w:t>
      </w:r>
      <w:r>
        <w:t xml:space="preserve"> </w:t>
      </w:r>
      <w:r>
        <w:t xml:space="preserve">(Sevgi and Leblebici, 2022)</w:t>
      </w:r>
      <w:r>
        <w:t xml:space="preserve">. Among these anthropogenic stressors, heatwaves, exacerbated by climate change, pose a growing threat to seagrasses</w:t>
      </w:r>
      <w:r>
        <w:t xml:space="preserve"> </w:t>
      </w:r>
      <w:r>
        <w:t xml:space="preserve">(Deguette et al., 2022; Sawall et al., 2021)</w:t>
      </w:r>
      <w:r>
        <w:t xml:space="preserve">.</w:t>
      </w:r>
      <w:r>
        <w:t xml:space="preserve"> </w:t>
      </w:r>
      <w:r>
        <w:rPr>
          <w:b/>
          <w:bCs/>
        </w:rPr>
        <w:t xml:space="preserve">However, their impact on seagrass spectral reflectance has not yet been investigated.</w:t>
      </w:r>
      <w:r>
        <w:t xml:space="preserve"> </w:t>
      </w:r>
      <w:r>
        <w:t xml:space="preserve">Marine Heatwaves (MHW) are defined by</w:t>
      </w:r>
      <w:r>
        <w:t xml:space="preserve"> </w:t>
      </w:r>
      <w:r>
        <w:t xml:space="preserve">Hobday et al. (2016)</w:t>
      </w:r>
      <w:r>
        <w:t xml:space="preserve"> </w:t>
      </w:r>
      <w:r>
        <w:t xml:space="preserve">as prolonged discrete anomalously warm water events while Atmospheric Heatwaves (AHW) are defined by</w:t>
      </w:r>
      <w:r>
        <w:t xml:space="preserve"> </w:t>
      </w:r>
      <w:r>
        <w:t xml:space="preserve">Perkins and Alexander (2013)</w:t>
      </w:r>
      <w:r>
        <w:t xml:space="preserve"> </w:t>
      </w:r>
      <w:r>
        <w:t xml:space="preserve">as periods of at least three consecutive days with temperatures exceeding the 90th percentile of a time series covering at least 30 years. Intertidal seagrasses are exposed to both MHWs and AHWs at the interface between the land and oceans. Heatwaves profoundly impact the physiology of seagrasses, with their effects varying based on species and geographic location. The widespread species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 Structural impacts on leaf coloration were also observed: in September 2021, a seagrass meadow in South Brittany (France) exhibited browning of the leaves just a few days after the start of a heatwave characterized by both water and atmospheric temperature anomalies (Barillé A-L &amp; Harin N., pers. comm.).</w:t>
      </w:r>
    </w:p>
    <w:p>
      <w:pPr>
        <w:pStyle w:val="BodyText"/>
      </w:pPr>
      <w:r>
        <w:t xml:space="preserve">Remote sensing is increasingly employed to monitor marine ecosystems, including intertidal seagrass meadows</w:t>
      </w:r>
      <w:r>
        <w:t xml:space="preserve"> </w:t>
      </w:r>
      <w:r>
        <w:t xml:space="preserve">(Davies et al., 2024a, 2024b; Oiry et al., 2024; Román et al., 2021)</w:t>
      </w:r>
      <w:r>
        <w:t xml:space="preserve">. The pigment composition of plants, such as chlorophylls, carotenoids, and anthocyanins, significantly influences their spectral signature in the visible range due to their specific light absorption properties</w:t>
      </w:r>
      <w:r>
        <w:t xml:space="preserve"> </w:t>
      </w:r>
      <w:r>
        <w:t xml:space="preserve">(Davies et al., 2023; Douay et al., 2022; Olmedo-Masat et al., 2020; Ustin and Jacquemoud, 2020)</w:t>
      </w:r>
      <w:r>
        <w:t xml:space="preserve">. During senescence, the degradation of chlorophyll and the unmasking of accessory pigments result in noticeable changes in leaf coloration and reflectance, including increased reflectance in the red and green wavelengths and shifts in the red-edge position</w:t>
      </w:r>
      <w:r>
        <w:t xml:space="preserve"> </w:t>
      </w:r>
      <w:r>
        <w:t xml:space="preserve">(Boyer et al., 1988; Mariën et al., 2019; Peñuelas et al., 2004)</w:t>
      </w:r>
      <w:r>
        <w:t xml:space="preserve">. Leaf browning, often observed after stress events, produces reflectance changes similar to those caused by senescence, enabling the detection of vegetation stress through remote sensing</w:t>
      </w:r>
      <w:r>
        <w:t xml:space="preserve"> </w:t>
      </w:r>
      <w:r>
        <w:t xml:space="preserve">(Boyer et al., 1988; Peñuelas et al., 2004)</w:t>
      </w:r>
      <w:r>
        <w:t xml:space="preserve">. Spectral indices such as the Brown Pigment Index (BPI) and the Photochemical Reflectance Index (PRI) have been developed to assess changes in terrestrial plant physiological status, including oxidative and drought stress</w:t>
      </w:r>
      <w:r>
        <w:t xml:space="preserve"> </w:t>
      </w:r>
      <w:r>
        <w:t xml:space="preserve">(Garbulsky et al., 2011; Skendzic, 2023)</w:t>
      </w:r>
      <w:r>
        <w:t xml:space="preserve">. While these effects are well-documented in terrestrial plants, the spectral changes associated with senescence and stress in intertidal marine vegetation, subjected to a combination of aquatic and aerial conditions, remain poorly studied.</w:t>
      </w:r>
    </w:p>
    <w:p>
      <w:pPr>
        <w:pStyle w:val="BodyText"/>
      </w:pPr>
      <w:r>
        <w:t xml:space="preserve">This study aims to experimentally test the hypothesis that heatwaves alter the reflectance of the intertidal seagrass</w:t>
      </w:r>
      <w:r>
        <w:t xml:space="preserve"> </w:t>
      </w:r>
      <w:r>
        <w:rPr>
          <w:i/>
          <w:iCs/>
        </w:rPr>
        <w:t xml:space="preserve">Zostera noltei</w:t>
      </w:r>
      <w:r>
        <w:t xml:space="preserve">. Controlled experiments in intertidal chambers were conducted to evaluate the direct impact of heat stress on seagrass reflectance. These findings were then integrated with</w:t>
      </w:r>
      <w:r>
        <w:t xml:space="preserve"> </w:t>
      </w:r>
      <w:r>
        <w:rPr>
          <w:i/>
          <w:iCs/>
        </w:rPr>
        <w:t xml:space="preserve">in situ</w:t>
      </w:r>
      <w:r>
        <w:t xml:space="preserve"> </w:t>
      </w:r>
      <w:r>
        <w:t xml:space="preserve">satellite remote sensing data, providing critical insights into the spatial extent and temporal dynamics of heatwave effects on seagrass meadows. By linking experimental results with large-scale observations, the study underscores the potential of remote sensing to enhance our understanding of seagrass responses to extreme thermal events across diverse settings and timescales.</w:t>
      </w:r>
    </w:p>
    <w:bookmarkEnd w:id="24"/>
    <w:bookmarkStart w:id="68" w:name="material-methods"/>
    <w:p>
      <w:pPr>
        <w:pStyle w:val="Heading1"/>
      </w:pPr>
      <w:r>
        <w:t xml:space="preserve">3. Material &amp; Methods</w:t>
      </w:r>
    </w:p>
    <w:bookmarkStart w:id="48" w:name="laboratory-experiment"/>
    <w:p>
      <w:pPr>
        <w:pStyle w:val="Heading2"/>
      </w:pPr>
      <w:r>
        <w:t xml:space="preserve">3.1 Laboratory Experiment</w:t>
      </w:r>
    </w:p>
    <w:bookmarkStart w:id="30" w:name="sampling-and-acclimation-of-seagrasses"/>
    <w:p>
      <w:pPr>
        <w:pStyle w:val="Heading3"/>
      </w:pPr>
      <w:r>
        <w:t xml:space="preserve">3.1.1 Sampling and acclimation of seagrasses</w:t>
      </w:r>
    </w:p>
    <w:p>
      <w:pPr>
        <w:pStyle w:val="FirstParagraph"/>
      </w:pPr>
      <w:r>
        <w:t xml:space="preserve">Seagrass samples were taken from a</w:t>
      </w:r>
      <w:r>
        <w:t xml:space="preserve"> </w:t>
      </w:r>
      <w:r>
        <w:rPr>
          <w:i/>
          <w:iCs/>
        </w:rPr>
        <w:t xml:space="preserve">Zostera noltei</w:t>
      </w:r>
      <w:r>
        <w:t xml:space="preserve"> </w:t>
      </w:r>
      <w:r>
        <w:t xml:space="preserve">(dwarf eelgrass) meadow Bourgneuf Bay, France (46°57’32.0”N, 2°10’37.0”W) at low tide in June 2024. A metal sampling box was used to sample seagrass from an area of 30 cm by 15 cm and 5 cm deep, maintaining the sediment structure and avoiding damage to the rhizomes and the leaves of the seagrass (</w:t>
      </w:r>
      <w:hyperlink w:anchor="fig-design">
        <w:r>
          <w:rPr>
            <w:rStyle w:val="Hyperlink"/>
          </w:rPr>
          <w:t xml:space="preserve">Figure 1</w:t>
        </w:r>
      </w:hyperlink>
      <w:r>
        <w:t xml:space="preserve"> </w:t>
      </w:r>
      <w:r>
        <w:t xml:space="preserve">A). This sampling box limited variability between replicates. The sampled sediment, including seagrass, sediment, meiofauna, and macrofauna, was placed in plastic trays. Keeping the entire biota allowed for the natural interactions between components to be maintained and reduced stress on the seagrass. Seawater was added to each tray to avoid hydric stress caused by insufficient moisture during transportation.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for one week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9" w:name="cell-fig-design"/>
    <w:tbl>
      <w:tblPr>
        <w:tblStyle w:val="Table"/>
        <w:tblW w:type="pct" w:w="5000"/>
        <w:tblLayout w:type="fixed"/>
        <w:tblLook w:firstRow="0" w:lastRow="0" w:firstColumn="0" w:lastColumn="0" w:noHBand="0" w:noVBand="0" w:val="0000"/>
      </w:tblPr>
      <w:tblGrid>
        <w:gridCol w:w="7920"/>
      </w:tblGrid>
      <w:tr>
        <w:tc>
          <w:tcPr/>
          <w:bookmarkStart w:id="28" w:name="fig-design"/>
          <w:p>
            <w:pPr>
              <w:pStyle w:val="Compact"/>
              <w:jc w:val="center"/>
            </w:pPr>
            <w:r>
              <w:drawing>
                <wp:inline>
                  <wp:extent cx="5646420" cy="5554024"/>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coring device; B: Intertidal chamber used during the experiment; C: Seagrass sample inside a chamber during the experiment at high tide; D: Treatment sample at the start of the experiment; E: Treatment sample at the end of the experiment, 2 days after the start of the heatwave.</w:t>
            </w:r>
          </w:p>
          <w:bookmarkEnd w:id="28"/>
        </w:tc>
      </w:tr>
    </w:tbl>
    <w:bookmarkEnd w:id="29"/>
    <w:bookmarkEnd w:id="30"/>
    <w:bookmarkStart w:id="36" w:name="experimental-design"/>
    <w:p>
      <w:pPr>
        <w:pStyle w:val="Heading3"/>
      </w:pPr>
      <w:r>
        <w:t xml:space="preserve">3.1.2 Experimental design</w:t>
      </w:r>
    </w:p>
    <w:p>
      <w:pPr>
        <w:pStyle w:val="FirstParagraph"/>
      </w:pPr>
      <w:r>
        <w:t xml:space="preserve">Two experimental intertidal chambers from ElectricBlue®</w:t>
      </w:r>
      <w:r>
        <w:t xml:space="preserve"> </w:t>
      </w:r>
      <w:r>
        <w:t xml:space="preserve">(Electric Blue, 2023)</w:t>
      </w:r>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The chambers were utilized in parallel, with one chamber serving as the control, while the other was used for the experimental treatment.</w:t>
      </w:r>
    </w:p>
    <w:p>
      <w:pPr>
        <w:pStyle w:val="BodyText"/>
      </w:pPr>
      <w:r>
        <w:t xml:space="preserve">To closely reproduce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(T7.3 EnvLoggers from from ElectricBlue®) were compared to measurements from the nearest Meteo France weather station (Annexe A1,</w:t>
      </w:r>
      <w:r>
        <w:t xml:space="preserve"> </w:t>
      </w:r>
      <w:hyperlink w:anchor="sec-AnnexeA">
        <w:r>
          <w:rPr>
            <w:rStyle w:val="Hyperlink"/>
          </w:rPr>
          <w:t xml:space="preserve">Section 7.1</w:t>
        </w:r>
      </w:hyperlink>
      <w:r>
        <w:t xml:space="preserve">). The control chamber was kept at temperatures representing typical seasonal conditions, with water temperatures at 18°C and air temperatures from 19°C to 23°C, following natural daily temperature fluctuations (</w:t>
      </w:r>
      <w:hyperlink w:anchor="fig-Profile">
        <w:r>
          <w:rPr>
            <w:rStyle w:val="Hyperlink"/>
          </w:rPr>
          <w:t xml:space="preserve">Figure 2</w:t>
        </w:r>
      </w:hyperlink>
      <w:r>
        <w:t xml:space="preserve">). For the experimental treatment, the air temperature was adjusted to mimic an atmospheric heatwave that affected the seagrass meadow in Quiberon, South Brittany, France (47°35’40.0”N, 3°07’30.0”W), from September 2 to September 6, 2021. On the first day of the experiment, air temperatures in the experimental chamber were set to range from 23°C at night to 35°C during the day, increasing by 1°C daily during three days. Water temperature in the experimental chamber was also adjusted to mimic heatwave conditions, starting at the seasonal baseline (18°C) and rising incrementally by 0.5°C daily to simulate the increasing temperatures during the heatwave. This aimed to reproduce the thermal stress experienced by the seagrass meadow during this heatwave event (</w:t>
      </w:r>
      <w:hyperlink w:anchor="fig-Profile">
        <w:r>
          <w:rPr>
            <w:rStyle w:val="Hyperlink"/>
          </w:rPr>
          <w:t xml:space="preserve">Figure 2</w:t>
        </w:r>
      </w:hyperlink>
      <w:r>
        <w:t xml:space="preserve">). The experiment was repeated three times to obtain replicates (hereafter referred to as</w:t>
      </w:r>
      <w:r>
        <w:t xml:space="preserve"> </w:t>
      </w:r>
      <w:r>
        <w:t xml:space="preserve">“Run”</w:t>
      </w:r>
      <w:r>
        <w:t xml:space="preserve">). The intertidal chambers provided by ElectricBlue® were equipped with LED lights that emitted low red and infrared radiation. To achieve a Photosynthetically Active Radiation (PAR) intensity of up to 400 μmol·m⁻²·s⁻¹, a filament bulb was added inside the chambers.</w:t>
      </w:r>
    </w:p>
    <w:bookmarkStart w:id="35" w:name="cell-fig-Profile"/>
    <w:tbl>
      <w:tblPr>
        <w:tblStyle w:val="Table"/>
        <w:tblW w:type="pct" w:w="5000"/>
        <w:tblLayout w:type="fixed"/>
        <w:tblLook w:firstRow="0" w:lastRow="0" w:firstColumn="0" w:lastColumn="0" w:noHBand="0" w:noVBand="0" w:val="0000"/>
      </w:tblPr>
      <w:tblGrid>
        <w:gridCol w:w="7920"/>
      </w:tblGrid>
      <w:tr>
        <w:tc>
          <w:tcPr/>
          <w:bookmarkStart w:id="34" w:name="fig-Profile"/>
          <w:p>
            <w:pPr>
              <w:pStyle w:val="Compact"/>
              <w:jc w:val="center"/>
            </w:pPr>
            <w:r>
              <w:drawing>
                <wp:inline>
                  <wp:extent cx="5646420" cy="2582627"/>
                  <wp:effectExtent b="0" l="0" r="0" t="0"/>
                  <wp:docPr descr="" title="" id="32" name="Picture"/>
                  <a:graphic>
                    <a:graphicData uri="http://schemas.openxmlformats.org/drawingml/2006/picture">
                      <pic:pic>
                        <pic:nvPicPr>
                          <pic:cNvPr descr="Figs/Low_res/Chamber_Profils.png" id="33" name="Picture"/>
                          <pic:cNvPicPr>
                            <a:picLocks noChangeArrowheads="1" noChangeAspect="1"/>
                          </pic:cNvPicPr>
                        </pic:nvPicPr>
                        <pic:blipFill>
                          <a:blip r:embed="rId31"/>
                          <a:stretch>
                            <a:fillRect/>
                          </a:stretch>
                        </pic:blipFill>
                        <pic:spPr bwMode="auto">
                          <a:xfrm>
                            <a:off x="0" y="0"/>
                            <a:ext cx="5646420" cy="2582627"/>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34"/>
        </w:tc>
      </w:tr>
    </w:tbl>
    <w:bookmarkEnd w:id="35"/>
    <w:bookmarkEnd w:id="36"/>
    <w:bookmarkStart w:id="47" w:name="optical-measurements"/>
    <w:p>
      <w:pPr>
        <w:pStyle w:val="Heading3"/>
      </w:pPr>
      <w:r>
        <w:t xml:space="preserve">3.1.3 Optical measurements</w:t>
      </w:r>
    </w:p>
    <w:bookmarkStart w:id="37" w:name="hyperspectral-measurements"/>
    <w:p>
      <w:pPr>
        <w:pStyle w:val="Heading4"/>
      </w:pPr>
      <w:r>
        <w:t xml:space="preserve">3.1.3.1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where automatic spectra acquisition was carried out</w:t>
      </w:r>
      <w:r>
        <w:t xml:space="preserve"> </w:t>
      </w:r>
      <w:r>
        <w:t xml:space="preserve">(Malvern Panalytical, 2023)</w:t>
      </w:r>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intertidal chamber to the other, in order to measure reflectance in both treatment and control. Light conditions were controlled inside of the chambers so reflectance calibration of the instrument was performed each morning at the very first moment of low tide using a Spectralon white reference with 99% Lambertian reflectivity.</w:t>
      </w:r>
    </w:p>
    <w:bookmarkEnd w:id="37"/>
    <w:bookmarkStart w:id="46" w:name="spectrum-post-processing"/>
    <w:p>
      <w:pPr>
        <w:pStyle w:val="Heading4"/>
      </w:pPr>
      <w:r>
        <w:t xml:space="preserve">3.1.3.2 Spectrum post-processing</w:t>
      </w:r>
    </w:p>
    <w:p>
      <w:pPr>
        <w:pStyle w:val="FirstParagraph"/>
      </w:pPr>
      <w:r>
        <w:t xml:space="preserve">A Savitzky-Golay smoothing function with a 5 nm moving window was applied to each spectrum using the</w:t>
      </w:r>
      <w:r>
        <w:t xml:space="preserve"> </w:t>
      </w:r>
      <w:r>
        <w:t xml:space="preserve">“hsdar”</w:t>
      </w:r>
      <w:r>
        <w:t xml:space="preserve"> </w:t>
      </w:r>
      <w:r>
        <w:t xml:space="preserve">package in R</w:t>
      </w:r>
      <w:r>
        <w:t xml:space="preserve"> </w:t>
      </w:r>
      <w:r>
        <w:t xml:space="preserve">(Lehnert et al., 2017)</w:t>
      </w:r>
      <w:r>
        <w:t xml:space="preserve">. The second derivative at 665 nm (δδ665), showing the highest variability between the control and the treatment, was tested as an indicator of the spectral changes following heatwaves.</w:t>
      </w:r>
    </w:p>
    <w:p>
      <w:pPr>
        <w:pStyle w:val="BodyText"/>
      </w:pPr>
      <w:r>
        <w:t xml:space="preserve">Two additional well-established radiometric indices were also tested :</w:t>
      </w:r>
    </w:p>
    <w:p>
      <w:pPr>
        <w:pStyle w:val="Compact"/>
        <w:numPr>
          <w:ilvl w:val="0"/>
          <w:numId w:val="1001"/>
        </w:numPr>
      </w:pPr>
      <w:r>
        <w:t xml:space="preserve">The 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8"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8"/>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Green Leaf Index (GLI,</w:t>
      </w:r>
      <w:r>
        <w:t xml:space="preserve"> </w:t>
      </w:r>
      <w:r>
        <w:t xml:space="preserve">Louhaichi et al. (2001)</w:t>
      </w:r>
      <w:r>
        <w:t xml:space="preserve">), a measurement of the greenness of seagrass leaves (</w:t>
      </w:r>
      <w:hyperlink w:anchor="eq-gli">
        <w:r>
          <w:rPr>
            <w:rStyle w:val="Hyperlink"/>
          </w:rPr>
          <w:t xml:space="preserve">Equation 2</w:t>
        </w:r>
      </w:hyperlink>
      <w:r>
        <w:t xml:space="preserve">)</w:t>
      </w:r>
    </w:p>
    <w:p>
      <w:pPr>
        <w:pStyle w:val="FirstParagraph"/>
      </w:pPr>
      <w:bookmarkStart w:id="39"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9"/>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Based on the observed spectral changes in seagrasses exposed to heatwaves, we developed a new radiometric index to detect colour changes in the visible but also near-infrared slope variations, a significant spectral feature for seagrasses</w:t>
      </w:r>
      <w:r>
        <w:t xml:space="preserve"> </w:t>
      </w:r>
      <w:r>
        <w:t xml:space="preserve">(Davies et al., 2023)</w:t>
      </w:r>
      <w:r>
        <w:t xml:space="preserve">. The observed green colour of the leaves turning brown was characterized by a reduction in reflectance within the green region and a substantial decrease in the red-edge portion of the electromagnetic spectrum.</w:t>
      </w:r>
    </w:p>
    <w:p>
      <w:pPr>
        <w:pStyle w:val="BodyText"/>
      </w:pPr>
      <w:r>
        <w:t xml:space="preserve">the Seagrass Heat Shock Index (SHSI) is introduced here to measure the difference between the interpolated value between 560 and 842 nm and the observed value at 740 nm (</w:t>
      </w:r>
      <w:r>
        <w:rPr>
          <w:b/>
          <w:bCs/>
        </w:rPr>
        <w:t xml:space="preserve">Add a Figure</w:t>
      </w:r>
      <w:r>
        <w:t xml:space="preserve">).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w:bookmarkStart w:id="40" w:name="eq-SDI"/>
      <m:oMathPara>
        <m:oMathParaPr>
          <m:jc m:val="center"/>
        </m:oMathParaPr>
        <m:oMath>
          <m:r>
            <m:rPr>
              <m:nor/>
              <m:sty m:val="p"/>
            </m:rPr>
            <m:t>SHSI</m:t>
          </m:r>
          <m:r>
            <m:rPr>
              <m:sty m:val="p"/>
            </m:rPr>
            <m:t>=</m:t>
          </m:r>
          <m:sSub>
            <m:e>
              <m:r>
                <m:t>I</m:t>
              </m:r>
            </m:e>
            <m:sub>
              <m:r>
                <m:t>S</m:t>
              </m:r>
              <m:r>
                <m:t>H</m:t>
              </m:r>
              <m:r>
                <m:t>S</m:t>
              </m:r>
              <m:r>
                <m:t>I</m:t>
              </m:r>
            </m:sub>
          </m:sSub>
          <m:r>
            <m:rPr>
              <m:sty m:val="p"/>
            </m:rPr>
            <m:t>−</m:t>
          </m:r>
          <m:r>
            <m:t>R</m:t>
          </m:r>
          <m:d>
            <m:dPr>
              <m:begChr m:val="("/>
              <m:endChr m:val=")"/>
              <m:sepChr m:val=""/>
              <m:grow/>
            </m:dPr>
            <m:e>
              <m:r>
                <m:t>740</m:t>
              </m:r>
            </m:e>
          </m:d>
          <m:r>
            <m:t>  </m:t>
          </m:r>
          <m:d>
            <m:dPr>
              <m:begChr m:val="("/>
              <m:endChr m:val=")"/>
              <m:sepChr m:val=""/>
              <m:grow/>
            </m:dPr>
            <m:e>
              <m:r>
                <m:t>3</m:t>
              </m:r>
            </m:e>
          </m:d>
        </m:oMath>
      </m:oMathPara>
      <w:bookmarkEnd w:id="40"/>
    </w:p>
    <w:p>
      <w:pPr>
        <w:pStyle w:val="FirstParagraph"/>
      </w:pPr>
      <w:r>
        <w:t xml:space="preserve">where :</w:t>
      </w:r>
    </w:p>
    <w:p>
      <w:pPr>
        <w:pStyle w:val="BodyText"/>
      </w:pPr>
      <m:oMathPara>
        <m:oMathParaPr>
          <m:jc m:val="center"/>
        </m:oMathParaPr>
        <m:oMath>
          <m:sSub>
            <m:e>
              <m:r>
                <m:t>I</m:t>
              </m:r>
            </m:e>
            <m:sub>
              <m:r>
                <m:t>S</m:t>
              </m:r>
              <m:r>
                <m:t>H</m:t>
              </m:r>
              <m:r>
                <m:t>S</m:t>
              </m:r>
              <m:r>
                <m:t>I</m:t>
              </m:r>
            </m:sub>
          </m:sSub>
          <m:r>
            <m:rPr>
              <m:sty m:val="p"/>
            </m:rPr>
            <m:t>=</m:t>
          </m:r>
          <m:r>
            <m:t>R</m:t>
          </m:r>
          <m:d>
            <m:dPr>
              <m:begChr m:val="("/>
              <m:endChr m:val=")"/>
              <m:sepChr m:val=""/>
              <m:grow/>
            </m:dPr>
            <m:e>
              <m:r>
                <m:t>560</m:t>
              </m:r>
            </m:e>
          </m:d>
          <m:r>
            <m:rPr>
              <m:sty m:val="p"/>
            </m:rPr>
            <m:t>+</m:t>
          </m:r>
          <m:r>
            <m:t>τ</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r>
        <w:t xml:space="preserve">and :</w:t>
      </w:r>
    </w:p>
    <w:p>
      <w:pPr>
        <w:pStyle w:val="BodyText"/>
      </w:pPr>
      <m:oMathPara>
        <m:oMathParaPr>
          <m:jc m:val="center"/>
        </m:oMathParaPr>
        <m:oMath>
          <m:r>
            <m:t>τ</m:t>
          </m:r>
          <m:r>
            <m:rPr>
              <m:sty m:val="p"/>
            </m:rPr>
            <m:t>=</m:t>
          </m:r>
          <m:f>
            <m:fPr>
              <m:type m:val="bar"/>
            </m:fPr>
            <m:num>
              <m:r>
                <m:t>740</m:t>
              </m:r>
              <m:r>
                <m:rPr>
                  <m:sty m:val="p"/>
                </m:rPr>
                <m:t>−</m:t>
              </m:r>
              <m:r>
                <m:t>560</m:t>
              </m:r>
            </m:num>
            <m:den>
              <m:r>
                <m:t>842</m:t>
              </m:r>
              <m:r>
                <m:rPr>
                  <m:sty m:val="p"/>
                </m:rPr>
                <m:t>−</m:t>
              </m:r>
              <m:r>
                <m:t>560</m:t>
              </m:r>
            </m:den>
          </m:f>
        </m:oMath>
      </m:oMathPara>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map leaves browning from satellite data. When applied to unimpacted seagrass spectra, the interpolated line between 560 and 842 nm falls below the reflectance value at 740 nm, resulting in a negative SHSI value (</w:t>
      </w:r>
      <w:hyperlink w:anchor="fig-SHSI">
        <w:r>
          <w:rPr>
            <w:rStyle w:val="Hyperlink"/>
          </w:rPr>
          <w:t xml:space="preserve">Figure 3</w:t>
        </w:r>
      </w:hyperlink>
      <w:r>
        <w:t xml:space="preserve"> </w:t>
      </w:r>
      <w:r>
        <w:t xml:space="preserve">A). In contrast, when applied to impacted seagrass spectra, the interpolated line lies above the 740 nm reflectance value, resulting in a positive SHSI value (</w:t>
      </w:r>
      <w:hyperlink w:anchor="fig-SHSI">
        <w:r>
          <w:rPr>
            <w:rStyle w:val="Hyperlink"/>
          </w:rPr>
          <w:t xml:space="preserve">Figure 3</w:t>
        </w:r>
      </w:hyperlink>
      <w:r>
        <w:t xml:space="preserve"> </w:t>
      </w:r>
      <w:r>
        <w:t xml:space="preserve">B).</w:t>
      </w:r>
    </w:p>
    <w:bookmarkStart w:id="45" w:name="cell-fig-SHSI"/>
    <w:tbl>
      <w:tblPr>
        <w:tblStyle w:val="Table"/>
        <w:tblW w:type="pct" w:w="5000"/>
        <w:tblLayout w:type="fixed"/>
        <w:tblLook w:firstRow="0" w:lastRow="0" w:firstColumn="0" w:lastColumn="0" w:noHBand="0" w:noVBand="0" w:val="0000"/>
      </w:tblPr>
      <w:tblGrid>
        <w:gridCol w:w="7920"/>
      </w:tblGrid>
      <w:tr>
        <w:tc>
          <w:tcPr/>
          <w:bookmarkStart w:id="44" w:name="fig-SHSI"/>
          <w:p>
            <w:pPr>
              <w:pStyle w:val="Compact"/>
              <w:jc w:val="center"/>
            </w:pPr>
            <w:r>
              <w:drawing>
                <wp:inline>
                  <wp:extent cx="5646420" cy="5646420"/>
                  <wp:effectExtent b="0" l="0" r="0" t="0"/>
                  <wp:docPr descr="" title="" id="42" name="Picture"/>
                  <a:graphic>
                    <a:graphicData uri="http://schemas.openxmlformats.org/drawingml/2006/picture">
                      <pic:pic>
                        <pic:nvPicPr>
                          <pic:cNvPr descr="Figs/Low_res/Plot_explain_SHSI.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Computation of the Seagrass Heat Shock Index (SHSI) from Reflectance Spectra of Impacted (A) and Unimpacted (B) seagrass. Hard darkline represents the interpolation between 560 and 842 nm while the red line represents the SHSI value, mesured ar 740 nm.</w:t>
            </w:r>
          </w:p>
          <w:bookmarkEnd w:id="44"/>
        </w:tc>
      </w:tr>
    </w:tbl>
    <w:bookmarkEnd w:id="45"/>
    <w:bookmarkEnd w:id="46"/>
    <w:bookmarkEnd w:id="47"/>
    <w:bookmarkEnd w:id="48"/>
    <w:bookmarkStart w:id="66" w:name="Xd96f772c51862643a253d0b9599313841505cdc"/>
    <w:p>
      <w:pPr>
        <w:pStyle w:val="Heading2"/>
      </w:pPr>
      <w:r>
        <w:t xml:space="preserve">3.2 Observation of a seagrass bed impacted by a heatwave</w:t>
      </w:r>
    </w:p>
    <w:bookmarkStart w:id="53" w:name="cell-fig-quiberonMap"/>
    <w:tbl>
      <w:tblPr>
        <w:tblStyle w:val="Table"/>
        <w:tblW w:type="pct" w:w="5000"/>
        <w:tblLayout w:type="fixed"/>
        <w:tblLook w:firstRow="0" w:lastRow="0" w:firstColumn="0" w:lastColumn="0" w:noHBand="0" w:noVBand="0" w:val="0000"/>
      </w:tblPr>
      <w:tblGrid>
        <w:gridCol w:w="7920"/>
      </w:tblGrid>
      <w:tr>
        <w:tc>
          <w:tcPr/>
          <w:bookmarkStart w:id="52" w:name="fig-quiberonMap"/>
          <w:p>
            <w:pPr>
              <w:pStyle w:val="Compact"/>
              <w:jc w:val="center"/>
            </w:pPr>
            <w:r>
              <w:drawing>
                <wp:inline>
                  <wp:extent cx="5646420" cy="5646420"/>
                  <wp:effectExtent b="0" l="0" r="0" t="0"/>
                  <wp:docPr descr="" title="" id="50" name="Picture"/>
                  <a:graphic>
                    <a:graphicData uri="http://schemas.openxmlformats.org/drawingml/2006/picture">
                      <pic:pic>
                        <pic:nvPicPr>
                          <pic:cNvPr descr="Figs/Low_res/Quiberon_map.png" id="51" name="Picture"/>
                          <pic:cNvPicPr>
                            <a:picLocks noChangeArrowheads="1" noChangeAspect="1"/>
                          </pic:cNvPicPr>
                        </pic:nvPicPr>
                        <pic:blipFill>
                          <a:blip r:embed="rId49"/>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Location of field observation in a seagrass meadow impacted by a heatwave that occured on the 10</w:t>
            </w:r>
          </w:p>
          <w:bookmarkEnd w:id="52"/>
        </w:tc>
      </w:tr>
    </w:tbl>
    <w:bookmarkEnd w:id="53"/>
    <w:p>
      <w:pPr>
        <w:pStyle w:val="BodyText"/>
      </w:pPr>
      <w:r>
        <w:t xml:space="preserve">A field campaign, aiming to map a seagrass meadow near Quiberon (France : 46°57’32.0”N, 2°10’37.0”W), occurred on the 10th of September 2021 after a heatwave (</w:t>
      </w:r>
      <w:hyperlink w:anchor="fig-quiberonMap">
        <w:r>
          <w:rPr>
            <w:rStyle w:val="Hyperlink"/>
          </w:rPr>
          <w:t xml:space="preserve">Figure 4</w:t>
        </w:r>
      </w:hyperlink>
      <w:r>
        <w:t xml:space="preserve">). Seagrass leaves turning brown were observed over large areas of the meadow alongside normal green seagrass (</w:t>
      </w:r>
      <w:hyperlink w:anchor="fig-QuiberonImg">
        <w:r>
          <w:rPr>
            <w:rStyle w:val="Hyperlink"/>
          </w:rPr>
          <w:t xml:space="preserve">Figure 5</w:t>
        </w:r>
      </w:hyperlink>
      <w:r>
        <w:t xml:space="preserve">). A total of 96 Quadrat Points (QPs) were collected as georeferenced quadrat images across the meadow. These images allow for visual assessment of vegetation type, density, and coloration. The quadrats were then divided into two categories: green seagrasses (henceforth: QPs unimpacted) and brown seagrasses (henceforth: QPs impacted), based on a visual estimation of the leaf coloration (</w:t>
      </w:r>
      <w:hyperlink w:anchor="fig-quiberonMap">
        <w:r>
          <w:rPr>
            <w:rStyle w:val="Hyperlink"/>
          </w:rPr>
          <w:t xml:space="preserve">Figure 4</w:t>
        </w:r>
      </w:hyperlink>
      <w:r>
        <w:t xml:space="preserve">).</w:t>
      </w:r>
    </w:p>
    <w:bookmarkStart w:id="58" w:name="cell-fig-QuiberonImg"/>
    <w:tbl>
      <w:tblPr>
        <w:tblStyle w:val="Table"/>
        <w:tblW w:type="pct" w:w="5000"/>
        <w:tblLayout w:type="fixed"/>
        <w:tblLook w:firstRow="0" w:lastRow="0" w:firstColumn="0" w:lastColumn="0" w:noHBand="0" w:noVBand="0" w:val="0000"/>
      </w:tblPr>
      <w:tblGrid>
        <w:gridCol w:w="7920"/>
      </w:tblGrid>
      <w:tr>
        <w:tc>
          <w:tcPr/>
          <w:bookmarkStart w:id="57" w:name="fig-QuiberonImg"/>
          <w:p>
            <w:pPr>
              <w:pStyle w:val="Compact"/>
              <w:jc w:val="center"/>
            </w:pPr>
            <w:r>
              <w:drawing>
                <wp:inline>
                  <wp:extent cx="2841744" cy="1876926"/>
                  <wp:effectExtent b="0" l="0" r="0" t="0"/>
                  <wp:docPr descr="" title="" id="55" name="Picture"/>
                  <a:graphic>
                    <a:graphicData uri="http://schemas.openxmlformats.org/drawingml/2006/picture">
                      <pic:pic>
                        <pic:nvPicPr>
                          <pic:cNvPr descr="Figs/Low_res/img_Quiberon.png" id="56" name="Picture"/>
                          <pic:cNvPicPr>
                            <a:picLocks noChangeArrowheads="1" noChangeAspect="1"/>
                          </pic:cNvPicPr>
                        </pic:nvPicPr>
                        <pic:blipFill>
                          <a:blip r:embed="rId54"/>
                          <a:stretch>
                            <a:fillRect/>
                          </a:stretch>
                        </pic:blipFill>
                        <pic:spPr bwMode="auto">
                          <a:xfrm>
                            <a:off x="0" y="0"/>
                            <a:ext cx="2841744" cy="1876926"/>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Illustrations of the two colorations of seagrass leaves observed in the field. A: View of a green meadow; B: Quadrat with green leaves; C: Quadrat with brown leaves; D: View of a meadow with all leaves turned brown. All images were taken on September 10th, 2021, in Quiberon, South Brittany, France, after a heatwave.</w:t>
            </w:r>
          </w:p>
          <w:bookmarkEnd w:id="57"/>
        </w:tc>
      </w:tr>
    </w:tbl>
    <w:bookmarkEnd w:id="58"/>
    <w:bookmarkStart w:id="63" w:name="X8e7c484dbeabc4aff70b42e3c9729c052fb9663"/>
    <w:p>
      <w:pPr>
        <w:pStyle w:val="Heading3"/>
      </w:pPr>
      <w:r>
        <w:t xml:space="preserve">3.2.1 Temperature data and identification of the heatwave</w:t>
      </w:r>
    </w:p>
    <w:bookmarkStart w:id="60" w:name="air-temperature"/>
    <w:p>
      <w:pPr>
        <w:pStyle w:val="Heading4"/>
      </w:pPr>
      <w:r>
        <w:t xml:space="preserve">3.2.1.1 Air temperature</w:t>
      </w:r>
    </w:p>
    <w:p>
      <w:pPr>
        <w:pStyle w:val="FirstParagraph"/>
      </w:pPr>
      <w:r>
        <w:t xml:space="preserve">Since January 1, 2024, Meteo France weather data has been freely and openly accessible. Hourly air temperature data (°C) was retrieved using a</w:t>
      </w:r>
      <w:r>
        <w:t xml:space="preserve"> </w:t>
      </w:r>
      <w:hyperlink r:id="rId59">
        <w:r>
          <w:rPr>
            <w:rStyle w:val="Hyperlink"/>
          </w:rPr>
          <w:t xml:space="preserve">custom script</w:t>
        </w:r>
      </w:hyperlink>
      <w:r>
        <w:t xml:space="preserve"> </w:t>
      </w:r>
      <w:r>
        <w:t xml:space="preserve">as no API was available at the time of this study. Data from the nearest weather station of our study site (Lorient-Lann Bihoue, 47°45’46”N 3°26’11”W) were downloaded. For this station more than 395000 observations since the February 1</w:t>
      </w:r>
      <w:r>
        <w:t xml:space="preserve">, 1952, were available.</w:t>
      </w:r>
    </w:p>
    <w:bookmarkEnd w:id="60"/>
    <w:bookmarkStart w:id="61" w:name="water-temperature"/>
    <w:p>
      <w:pPr>
        <w:pStyle w:val="Heading4"/>
      </w:pPr>
      <w:r>
        <w:t xml:space="preserve">3.2.1.2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w:t>
      </w:r>
    </w:p>
    <w:bookmarkEnd w:id="61"/>
    <w:bookmarkStart w:id="62" w:name="heatwave-detection-and-characterization"/>
    <w:p>
      <w:pPr>
        <w:pStyle w:val="Heading4"/>
      </w:pPr>
      <w:r>
        <w:t xml:space="preserve">3.2.1.3 Heatwave detection and characterization</w:t>
      </w:r>
    </w:p>
    <w:p>
      <w:pPr>
        <w:pStyle w:val="FirstParagraph"/>
      </w:pPr>
      <w:r>
        <w:t xml:space="preserve">Marine and Atmospheric 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of both air and water temperature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62"/>
    <w:bookmarkEnd w:id="63"/>
    <w:bookmarkStart w:id="64" w:name="satellite-observation"/>
    <w:p>
      <w:pPr>
        <w:pStyle w:val="Heading3"/>
      </w:pPr>
      <w:r>
        <w:t xml:space="preserve">3.2.2 Satellite observation</w:t>
      </w:r>
    </w:p>
    <w:p>
      <w:pPr>
        <w:pStyle w:val="FirstParagraph"/>
      </w:pPr>
      <w:r>
        <w:t xml:space="preserve">Three Sentinel-2 images covering the field campaign site (</w:t>
      </w:r>
      <w:hyperlink w:anchor="fig-quiberonMap">
        <w:r>
          <w:rPr>
            <w:rStyle w:val="Hyperlink"/>
          </w:rPr>
          <w:t xml:space="preserve">Figure 4</w:t>
        </w:r>
      </w:hyperlink>
      <w:r>
        <w:t xml:space="preserve">) were downloaded from the Copernicus platform</w:t>
      </w:r>
      <w:r>
        <w:t xml:space="preserve"> </w:t>
      </w:r>
      <w:r>
        <w:t xml:space="preserve">(European Space Agency, 2024a)</w:t>
      </w:r>
      <w:r>
        <w:t xml:space="preserve">. The first image was taken before the heatwave event on September 1</w:t>
      </w:r>
      <w:r>
        <w:t xml:space="preserve">, 2021, the second image during the event on September 6</w:t>
      </w:r>
    </w:p>
    <w:p>
      <w:pPr>
        <w:pStyle w:val="BodyText"/>
      </w:pPr>
      <w:r>
        <w:t xml:space="preserve">, 2021 and the last one, one month after the events on the 8th of October 2021.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The reflectance value of each QPs (</w:t>
      </w:r>
      <w:hyperlink w:anchor="fig-quiberonMap">
        <w:r>
          <w:rPr>
            <w:rStyle w:val="Hyperlink"/>
          </w:rPr>
          <w:t xml:space="preserve">Figure 4</w:t>
        </w:r>
      </w:hyperlink>
      <w:r>
        <w:t xml:space="preserve">) was extracted and compared before and after the heatwave event.</w:t>
      </w:r>
    </w:p>
    <w:bookmarkEnd w:id="64"/>
    <w:bookmarkStart w:id="65" w:name="emersion-time-of-the-seagrass-meadow"/>
    <w:p>
      <w:pPr>
        <w:pStyle w:val="Heading3"/>
      </w:pPr>
      <w:r>
        <w:t xml:space="preserve">3.2.3 Emersion time of the seagrass meadow</w:t>
      </w:r>
    </w:p>
    <w:p>
      <w:pPr>
        <w:pStyle w:val="FirstParagraph"/>
      </w:pPr>
      <w:r>
        <w:t xml:space="preserve">To estimate the spatial distribution of emersion time of the seagrass meadow during low tide, bathymetric and tidal data were used. The hypothesis was that the leaf’s discoloration follwing the heatwave was related to the emersion time and intertidal topography.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with a spatial resolution of 1 m per pixel,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The correction factor for Le Crouesty port data from 2022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5"/>
    <w:bookmarkEnd w:id="66"/>
    <w:bookmarkStart w:id="67" w:name="statistics"/>
    <w:p>
      <w:pPr>
        <w:pStyle w:val="Heading2"/>
      </w:pPr>
      <w:r>
        <w:t xml:space="preserve">3.3 Statistics</w:t>
      </w:r>
    </w:p>
    <w:p>
      <w:pPr>
        <w:pStyle w:val="FirstParagraph"/>
      </w:pPr>
      <w:r>
        <w:t xml:space="preserve">General Linear Models (GLMs) were used to assess relative differences over time in response variables (Spectral Indices) with different treatments. For analysis of relative changes in indices calculated from experimental spectra the relative change in index was modelled as function of Days (1-3: Discrete) with Replicate (henceforth Runs; 1-3: Factor) and Timestep within Run (1-6: Factor) as cross random factors. Satellite derived indices were modelled as function of Date (1-3: Discrete) and Treatment (Impacted vs Unimpacted: Categorical). A General Additive Model (GAM) was used to assess the relationship between relative SDI change with emersion time. SDI was modelled as function of emersion time with a basis spline. All model parameters were estimated with a Bayesian framework using the</w:t>
      </w:r>
      <w:r>
        <w:t xml:space="preserve"> </w:t>
      </w:r>
      <w:r>
        <w:t xml:space="preserve">“brms”</w:t>
      </w:r>
      <w:r>
        <w:t xml:space="preserve"> </w:t>
      </w:r>
      <w:r>
        <w:t xml:space="preserve">and</w:t>
      </w:r>
      <w:r>
        <w:t xml:space="preserve"> </w:t>
      </w:r>
      <w:r>
        <w:t xml:space="preserve">“RStan”</w:t>
      </w:r>
      <w:r>
        <w:t xml:space="preserve"> </w:t>
      </w:r>
      <w:r>
        <w:t xml:space="preserve">packages in R to leverage the stan language</w:t>
      </w:r>
      <w:r>
        <w:t xml:space="preserve"> </w:t>
      </w:r>
      <w:r>
        <w:t xml:space="preserve">(Bürkner, 2021; Carpenter et al., 2017; R Core Team, 2023; Stan Development Team et al., 2020)</w:t>
      </w:r>
      <w:r>
        <w:t xml:space="preserve">. The response variables were modelled assuming a Gaussian distribution, with weakly informative priors (Student-T(3,0,2.5)). Model parameters were estimated using Markov Chain Monte Carlo (MCMC) sampling, with 4 chains of 5000 iterations and a warm-up of 500.</w:t>
      </w:r>
    </w:p>
    <w:bookmarkEnd w:id="67"/>
    <w:bookmarkEnd w:id="68"/>
    <w:bookmarkStart w:id="111" w:name="results"/>
    <w:p>
      <w:pPr>
        <w:pStyle w:val="Heading1"/>
      </w:pPr>
      <w:r>
        <w:t xml:space="preserve">4. Results</w:t>
      </w:r>
    </w:p>
    <w:bookmarkStart w:id="86" w:name="laboratory-experiment-1"/>
    <w:p>
      <w:pPr>
        <w:pStyle w:val="Heading2"/>
      </w:pPr>
      <w:r>
        <w:t xml:space="preserve">4.1 Laboratory Experiment</w:t>
      </w:r>
    </w:p>
    <w:bookmarkStart w:id="74" w:name="Xe1a7b7b5932d13b2037503f99cd25d770f111ea"/>
    <w:p>
      <w:pPr>
        <w:pStyle w:val="Heading3"/>
      </w:pPr>
      <w:r>
        <w:t xml:space="preserve">4.1.1 Seagrass spectra variations related to a heatwave</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6</w:t>
        </w:r>
      </w:hyperlink>
      <w:r>
        <w:t xml:space="preserve">).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simulted heatwave showed more pronounced changes in reflectance throughout the experiment (</w:t>
      </w:r>
      <w:hyperlink w:anchor="fig-Exp_Spectra">
        <w:r>
          <w:rPr>
            <w:rStyle w:val="Hyperlink"/>
          </w:rPr>
          <w:t xml:space="preserve">Figure 6</w:t>
        </w:r>
      </w:hyperlink>
      <w:r>
        <w:t xml:space="preserve">, right). At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w:t>
      </w:r>
    </w:p>
    <w:bookmarkStart w:id="73" w:name="cell-fig-Exp_Spectra"/>
    <w:tbl>
      <w:tblPr>
        <w:tblStyle w:val="Table"/>
        <w:tblW w:type="pct" w:w="5000"/>
        <w:tblLayout w:type="fixed"/>
        <w:tblLook w:firstRow="0" w:lastRow="0" w:firstColumn="0" w:lastColumn="0" w:noHBand="0" w:noVBand="0" w:val="0000"/>
      </w:tblPr>
      <w:tblGrid>
        <w:gridCol w:w="7920"/>
      </w:tblGrid>
      <w:tr>
        <w:tc>
          <w:tcPr/>
          <w:bookmarkStart w:id="72" w:name="fig-Exp_Spectra"/>
          <w:p>
            <w:pPr>
              <w:pStyle w:val="Compact"/>
              <w:jc w:val="center"/>
            </w:pPr>
            <w:r>
              <w:drawing>
                <wp:inline>
                  <wp:extent cx="5646420" cy="2823210"/>
                  <wp:effectExtent b="0" l="0" r="0" t="0"/>
                  <wp:docPr descr="" title="" id="70" name="Picture"/>
                  <a:graphic>
                    <a:graphicData uri="http://schemas.openxmlformats.org/drawingml/2006/picture">
                      <pic:pic>
                        <pic:nvPicPr>
                          <pic:cNvPr descr="Figs/Low_res/plot_Spectra_exp.png" id="71" name="Picture"/>
                          <pic:cNvPicPr>
                            <a:picLocks noChangeArrowheads="1" noChangeAspect="1"/>
                          </pic:cNvPicPr>
                        </pic:nvPicPr>
                        <pic:blipFill>
                          <a:blip r:embed="rId69"/>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Standardized hyperspectral reflectance signature of</w:t>
            </w:r>
            <w:r>
              <w:t xml:space="preserve"> </w:t>
            </w:r>
            <w:r>
              <w:rPr>
                <w:i/>
                <w:iCs/>
              </w:rPr>
              <w:t xml:space="preserve">Z. noltei</w:t>
            </w:r>
            <w:r>
              <w:t xml:space="preserve"> </w:t>
            </w:r>
            <w:r>
              <w:t xml:space="preserve">leaves measured during the heatwave experiment for both the Control (Left) and the Treatment (Right). Color denotes the progression along the experiment from the beginning (Day 1: green), middle (Day 2: Yellow) and end (Day 3: Brown). A min-max standardization has been applied to each individual spectrum.</w:t>
            </w:r>
          </w:p>
          <w:bookmarkEnd w:id="72"/>
        </w:tc>
      </w:tr>
    </w:tbl>
    <w:bookmarkEnd w:id="73"/>
    <w:bookmarkEnd w:id="74"/>
    <w:bookmarkStart w:id="85" w:name="evolution-of-spectral-metrics"/>
    <w:p>
      <w:pPr>
        <w:pStyle w:val="Heading3"/>
      </w:pPr>
      <w:r>
        <w:t xml:space="preserve">4.1.2 Evolution of spectral metrics</w:t>
      </w:r>
    </w:p>
    <w:p>
      <w:pPr>
        <w:pStyle w:val="FirstParagraph"/>
      </w:pPr>
      <w:r>
        <w:t xml:space="preserve">The maximum difference of</w:t>
      </w:r>
      <w:r>
        <w:t xml:space="preserve"> </w:t>
      </w:r>
      <m:oMath>
        <m:r>
          <m:t>R</m:t>
        </m:r>
        <m:r>
          <m:rPr>
            <m:sty m:val="p"/>
          </m:rPr>
          <m:t>″</m:t>
        </m:r>
        <m:d>
          <m:dPr>
            <m:begChr m:val="("/>
            <m:endChr m:val=")"/>
            <m:sepChr m:val=""/>
            <m:grow/>
          </m:dPr>
          <m:e>
            <m:r>
              <m:t>λ</m:t>
            </m:r>
          </m:e>
        </m:d>
      </m:oMath>
      <w:r>
        <w:t xml:space="preserve"> </w:t>
      </w:r>
      <w:r>
        <w:t xml:space="preserve">was observed at 665 nm where the control was</w:t>
      </w:r>
      <w:r>
        <w:t xml:space="preserve"> </w:t>
      </w:r>
      <m:oMath>
        <m:r>
          <m:t>0.95</m:t>
        </m:r>
        <m:r>
          <m:rPr>
            <m:sty m:val="p"/>
          </m:rPr>
          <m:t>×</m:t>
        </m:r>
        <m:sSup>
          <m:e>
            <m:r>
              <m:t>10</m:t>
            </m:r>
          </m:e>
          <m:sup>
            <m:r>
              <m:rPr>
                <m:sty m:val="p"/>
              </m:rPr>
              <m:t>−</m:t>
            </m:r>
            <m:r>
              <m:t>4</m:t>
            </m:r>
          </m:sup>
        </m:sSup>
      </m:oMath>
      <w:r>
        <w:t xml:space="preserve"> </w:t>
      </w:r>
      <w:r>
        <w:t xml:space="preserve">higher than the treatment groups (</w:t>
      </w:r>
      <w:hyperlink w:anchor="fig-Exp_Spectral_indices">
        <w:r>
          <w:rPr>
            <w:rStyle w:val="Hyperlink"/>
          </w:rPr>
          <w:t xml:space="preserve">Figure 7</w:t>
        </w:r>
      </w:hyperlink>
      <w:r>
        <w:t xml:space="preserve"> </w:t>
      </w:r>
      <w:r>
        <w:t xml:space="preserve">A).</w:t>
      </w:r>
    </w:p>
    <w:p>
      <w:pPr>
        <w:pStyle w:val="BodyText"/>
      </w:pPr>
      <w:r>
        <w:t xml:space="preserve">Similar patterns were found for the (</w:t>
      </w:r>
      <m:oMath>
        <m:r>
          <m:t>R</m:t>
        </m:r>
        <m:sSub>
          <m:e>
            <m:r>
              <m:rPr>
                <m:sty m:val="p"/>
              </m:rPr>
              <m:t>″</m:t>
            </m:r>
          </m:e>
          <m:sub>
            <m:r>
              <m:t>665</m:t>
            </m:r>
            <m:r>
              <m:t> </m:t>
            </m:r>
            <m:r>
              <m:rPr>
                <m:nor/>
                <m:sty m:val="p"/>
              </m:rPr>
              <m:t>nm</m:t>
            </m:r>
          </m:sub>
        </m:sSub>
      </m:oMath>
      <w:r>
        <w:t xml:space="preserve">), NDVI and GLI, where the indices start similar to the control and consistently decline over the 3 days of experiment (</w:t>
      </w:r>
      <w:hyperlink w:anchor="fig-Exp_Spectral_indices">
        <w:r>
          <w:rPr>
            <w:rStyle w:val="Hyperlink"/>
          </w:rPr>
          <w:t xml:space="preserve">Figure 7</w:t>
        </w:r>
      </w:hyperlink>
      <w:r>
        <w:t xml:space="preserve"> </w:t>
      </w:r>
      <w:r>
        <w:t xml:space="preserve">B)</w:t>
      </w:r>
    </w:p>
    <w:p>
      <w:pPr>
        <w:pStyle w:val="BodyText"/>
      </w:pPr>
      <w:r>
        <w:t xml:space="preserve">At the start of the experiment (day 1)</w:t>
      </w:r>
      <w:r>
        <w:t xml:space="preserve"> </w:t>
      </w:r>
      <m:oMath>
        <m:r>
          <m:t>R</m:t>
        </m:r>
        <m:sSub>
          <m:e>
            <m:r>
              <m:rPr>
                <m:sty m:val="p"/>
              </m:rPr>
              <m:t>″</m:t>
            </m:r>
          </m:e>
          <m:sub>
            <m:r>
              <m:t>665</m:t>
            </m:r>
            <m:r>
              <m:t> </m:t>
            </m:r>
            <m:r>
              <m:rPr>
                <m:nor/>
                <m:sty m:val="p"/>
              </m:rPr>
              <m:t>nm</m:t>
            </m:r>
          </m:sub>
        </m:sSub>
      </m:oMath>
      <w:r>
        <w:t xml:space="preserve">, NDVI and GLI in the Treatment group were on average 13% greater, 3% lower and 2% lower, respectively, than that of the Control. However, by day 2, the Treatment showed a rapid decease of approximately 27%, 17% and 28%, eventually reaching a total decline of 68%, 31% and 54% by day 3.</w:t>
      </w:r>
    </w:p>
    <w:p>
      <w:pPr>
        <w:pStyle w:val="BodyText"/>
      </w:pPr>
      <w:r>
        <w:t xml:space="preserve">Unlike the other metrics, at the start of the experiment (day 1), the SDI for the Treatment group was on average 55 % greater than that of the Control. By day 2, the SDI for the Treatment exhibited a rapid decrease of approximately 241 %, eventually reaching a cumulative decline of 420 % by day 3 (</w:t>
      </w:r>
      <w:hyperlink w:anchor="fig-Exp_Spectral_indices">
        <w:r>
          <w:rPr>
            <w:rStyle w:val="Hyperlink"/>
          </w:rPr>
          <w:t xml:space="preserve">Figure 7</w:t>
        </w:r>
      </w:hyperlink>
      <w:r>
        <w:t xml:space="preserve"> </w:t>
      </w:r>
      <w:r>
        <w:t xml:space="preserve">E).</w:t>
      </w:r>
    </w:p>
    <w:bookmarkStart w:id="79" w:name="cell-fig-Exp_Spectral_indices"/>
    <w:tbl>
      <w:tblPr>
        <w:tblStyle w:val="Table"/>
        <w:tblW w:type="pct" w:w="5000"/>
        <w:tblLayout w:type="fixed"/>
        <w:tblLook w:firstRow="0" w:lastRow="0" w:firstColumn="0" w:lastColumn="0" w:noHBand="0" w:noVBand="0" w:val="0000"/>
      </w:tblPr>
      <w:tblGrid>
        <w:gridCol w:w="7920"/>
      </w:tblGrid>
      <w:tr>
        <w:tc>
          <w:tcPr/>
          <w:bookmarkStart w:id="78" w:name="fig-Exp_Spectral_indices"/>
          <w:p>
            <w:pPr>
              <w:pStyle w:val="Compact"/>
              <w:jc w:val="center"/>
            </w:pPr>
            <w:r>
              <w:drawing>
                <wp:inline>
                  <wp:extent cx="5646420" cy="6970888"/>
                  <wp:effectExtent b="0" l="0" r="0" t="0"/>
                  <wp:docPr descr="" title="" id="76" name="Picture"/>
                  <a:graphic>
                    <a:graphicData uri="http://schemas.openxmlformats.org/drawingml/2006/picture">
                      <pic:pic>
                        <pic:nvPicPr>
                          <pic:cNvPr descr="Figs/Low_res/merged_indices.png" id="77" name="Picture"/>
                          <pic:cNvPicPr>
                            <a:picLocks noChangeArrowheads="1" noChangeAspect="1"/>
                          </pic:cNvPicPr>
                        </pic:nvPicPr>
                        <pic:blipFill>
                          <a:blip r:embed="rId75"/>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Absolute difference in the second derivative of hyperspectral signature at the end of the experiment (A), and relative difference of the second derivative at 665 nm (B), the NDVI (C), the GLI (D) and the SDI (E) between the Control and the Treatment over time. Points indicate raw data, the line represents a generalized linear model, and the shaded area the model’s standard error.</w:t>
            </w:r>
          </w:p>
          <w:bookmarkEnd w:id="78"/>
        </w:tc>
      </w:tr>
    </w:tbl>
    <w:bookmarkEnd w:id="79"/>
    <w:p>
      <w:pPr>
        <w:pStyle w:val="BodyText"/>
      </w:pPr>
      <w:r>
        <w:t xml:space="preserve">The SDI revealed clear distinctions between the Control and Treatment groups (</w:t>
      </w:r>
      <w:hyperlink w:anchor="fig-SDI_over_Time">
        <w:r>
          <w:rPr>
            <w:rStyle w:val="Hyperlink"/>
          </w:rPr>
          <w:t xml:space="preserve">Figure 8</w:t>
        </w:r>
      </w:hyperlink>
      <w:r>
        <w:t xml:space="preserve">). At day 1, the SDI of the Control and Treatment groups are comparable, with value of -0.11 and -0.08, respectively. By the end of the experiment, seagrasses in the Treatment group exhibited an average SDI of 0.15, consistent with their visibly darkened appearance. In contrast, the Control group retained a green appearance throughout the experiment, with an average SDI of -0.07.</w:t>
      </w:r>
    </w:p>
    <w:bookmarkStart w:id="84" w:name="cell-fig-SDI_over_Time"/>
    <w:tbl>
      <w:tblPr>
        <w:tblStyle w:val="Table"/>
        <w:tblW w:type="pct" w:w="5000"/>
        <w:tblLayout w:type="fixed"/>
        <w:tblLook w:firstRow="0" w:lastRow="0" w:firstColumn="0" w:lastColumn="0" w:noHBand="0" w:noVBand="0" w:val="0000"/>
      </w:tblPr>
      <w:tblGrid>
        <w:gridCol w:w="7920"/>
      </w:tblGrid>
      <w:tr>
        <w:tc>
          <w:tcPr/>
          <w:bookmarkStart w:id="83" w:name="fig-SDI_over_Time"/>
          <w:p>
            <w:pPr>
              <w:pStyle w:val="Compact"/>
              <w:jc w:val="center"/>
            </w:pPr>
            <w:r>
              <w:drawing>
                <wp:inline>
                  <wp:extent cx="5646420" cy="3387852"/>
                  <wp:effectExtent b="0" l="0" r="0" t="0"/>
                  <wp:docPr descr="" title="" id="81" name="Picture"/>
                  <a:graphic>
                    <a:graphicData uri="http://schemas.openxmlformats.org/drawingml/2006/picture">
                      <pic:pic>
                        <pic:nvPicPr>
                          <pic:cNvPr descr="Figs/Low_res/SDI_exp_overtime.png" id="82" name="Picture"/>
                          <pic:cNvPicPr>
                            <a:picLocks noChangeArrowheads="1" noChangeAspect="1"/>
                          </pic:cNvPicPr>
                        </pic:nvPicPr>
                        <pic:blipFill>
                          <a:blip r:embed="rId80"/>
                          <a:stretch>
                            <a:fillRect/>
                          </a:stretch>
                        </pic:blipFill>
                        <pic:spPr bwMode="auto">
                          <a:xfrm>
                            <a:off x="0" y="0"/>
                            <a:ext cx="5646420" cy="3387852"/>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Average and standard deviation of the Seagrass Darkening Index (SDI) across expimental runs, at each day of the experiment. Tge green line shows values of the Control group while the golden line indicates values of the Treatment group.</w:t>
            </w:r>
          </w:p>
          <w:bookmarkEnd w:id="83"/>
        </w:tc>
      </w:tr>
    </w:tbl>
    <w:bookmarkEnd w:id="84"/>
    <w:bookmarkEnd w:id="85"/>
    <w:bookmarkEnd w:id="86"/>
    <w:bookmarkStart w:id="110" w:name="heatwaves-of-quiberon"/>
    <w:p>
      <w:pPr>
        <w:pStyle w:val="Heading2"/>
      </w:pPr>
      <w:r>
        <w:t xml:space="preserve">4.2 Heatwaves of Quiberon</w:t>
      </w:r>
    </w:p>
    <w:bookmarkStart w:id="92" w:name="spectral-inspection"/>
    <w:p>
      <w:pPr>
        <w:pStyle w:val="Heading3"/>
      </w:pPr>
      <w:r>
        <w:t xml:space="preserve">4.2.1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was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QPs appeared green on the images, with similar reflectance spectra, regardless of the class attributed to the QPs in the field after the events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and a high infrared plateau (&gt; 705 nm). However, on the 6th of September, QPs classified as impacted during the field campaign, showed significant differences in reflectance spectral shape compared to QPs classified as unimpacted during the campaign, with corresponding differences in the true color composition (</w:t>
      </w:r>
      <w:hyperlink w:anchor="fig-S2_comparison">
        <w:r>
          <w:rPr>
            <w:rStyle w:val="Hyperlink"/>
          </w:rPr>
          <w:t xml:space="preserve">Figure 9</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91" w:name="cell-fig-S2_comparison"/>
    <w:tbl>
      <w:tblPr>
        <w:tblStyle w:val="Table"/>
        <w:tblW w:type="pct" w:w="5000"/>
        <w:tblLayout w:type="fixed"/>
        <w:tblLook w:firstRow="0" w:lastRow="0" w:firstColumn="0" w:lastColumn="0" w:noHBand="0" w:noVBand="0" w:val="0000"/>
      </w:tblPr>
      <w:tblGrid>
        <w:gridCol w:w="7920"/>
      </w:tblGrid>
      <w:tr>
        <w:tc>
          <w:tcPr/>
          <w:bookmarkStart w:id="90" w:name="fig-S2_comparison"/>
          <w:p>
            <w:pPr>
              <w:pStyle w:val="Compact"/>
              <w:jc w:val="center"/>
            </w:pPr>
            <w:r>
              <w:drawing>
                <wp:inline>
                  <wp:extent cx="5646420" cy="5392331"/>
                  <wp:effectExtent b="0" l="0" r="0" t="0"/>
                  <wp:docPr descr="" title="" id="88" name="Picture"/>
                  <a:graphic>
                    <a:graphicData uri="http://schemas.openxmlformats.org/drawingml/2006/picture">
                      <pic:pic>
                        <pic:nvPicPr>
                          <pic:cNvPr descr="Figs/Low_res/Heatwaves_S2_plot.png" id="89" name="Picture"/>
                          <pic:cNvPicPr>
                            <a:picLocks noChangeArrowheads="1" noChangeAspect="1"/>
                          </pic:cNvPicPr>
                        </pic:nvPicPr>
                        <pic:blipFill>
                          <a:blip r:embed="rId87"/>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Spectral Comparison of Sentinel-2 Reflectance (D) of Quadrats Points (QPs) Before (A) and During (C) Heatwave Events (B); A: RGB color composition of the Sentinel-2 image on the 1st of September 2021. The points correspond to QPs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QPs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90"/>
        </w:tc>
      </w:tr>
    </w:tbl>
    <w:bookmarkEnd w:id="91"/>
    <w:bookmarkEnd w:id="92"/>
    <w:bookmarkStart w:id="98" w:name="sentinel-2-derived-metrics-comparison"/>
    <w:p>
      <w:pPr>
        <w:pStyle w:val="Heading3"/>
      </w:pPr>
      <w:r>
        <w:t xml:space="preserve">4.2.2 Sentinel-2 derived metrics comparison</w:t>
      </w:r>
    </w:p>
    <w:p>
      <w:pPr>
        <w:pStyle w:val="FirstParagraph"/>
      </w:pPr>
      <w:r>
        <w:t xml:space="preserve">Using Sentinel-2 data, NDVI, Seagrass Cover (SC), GLI and SDI estimated for pixels unaffected by the heatwave showed minimal changes for all metrics of -1 %, -1 %, -10 and 3 %, respectively between the 1st of September and the 6th of September (</w:t>
      </w:r>
      <w:hyperlink w:anchor="fig-NDVI_GLI_SPC">
        <w:r>
          <w:rPr>
            <w:rStyle w:val="Hyperlink"/>
          </w:rPr>
          <w:t xml:space="preserve">Figure 10</w:t>
        </w:r>
      </w:hyperlink>
      <w:r>
        <w:t xml:space="preserve">). In contrast, seagrass impacted by the heatwave exhibited a significant changes in all metrics. Because the SC is linearly related to the NDVI, both metrics dropped of 35 %, however the drop in SC was not due to a loss of density of seagrass on the field (</w:t>
      </w:r>
      <w:hyperlink w:anchor="fig-QuiberonImg">
        <w:r>
          <w:rPr>
            <w:rStyle w:val="Hyperlink"/>
          </w:rPr>
          <w:t xml:space="preserve">Figure 5</w:t>
        </w:r>
      </w:hyperlink>
      <w:r>
        <w:t xml:space="preserve">). The GLI drops of about 85% at the 6th of September. The SDI was the most sensitive metric to the darkening of seagrasses, showing an increase of 97 % during heatwave exposure (</w:t>
      </w:r>
      <w:hyperlink w:anchor="fig-NDVI_GLI_SPC">
        <w:r>
          <w:rPr>
            <w:rStyle w:val="Hyperlink"/>
          </w:rPr>
          <w:t xml:space="preserve">Figure 10</w:t>
        </w:r>
      </w:hyperlink>
      <w:r>
        <w:t xml:space="preserve">).</w:t>
      </w:r>
    </w:p>
    <w:p>
      <w:pPr>
        <w:pStyle w:val="BodyText"/>
      </w:pPr>
      <w:r>
        <w:t xml:space="preserve">One month later the heatwaves events, on the 8th of October, all metrics of unimpacted QPs had increased compared to the 1st of September: The NDVI and SC by 21 %, The GLI by 15 % and the SDI 14 %. Concerning QPs impacted by the heatwaves, even though all the metrics were closer to the values they had prior to the heatwaves, they have not regained their level from before the events. By the 8th of October, the NDVI and the SC of these QPs were 5 % lower, The GLI was 16 % lower and the SDI 14 % higher than on the 1st of September.</w:t>
      </w:r>
    </w:p>
    <w:bookmarkStart w:id="97" w:name="cell-fig-NDVI_GLI_SPC"/>
    <w:tbl>
      <w:tblPr>
        <w:tblStyle w:val="Table"/>
        <w:tblW w:type="pct" w:w="5000"/>
        <w:tblLayout w:type="fixed"/>
        <w:tblLook w:firstRow="0" w:lastRow="0" w:firstColumn="0" w:lastColumn="0" w:noHBand="0" w:noVBand="0" w:val="0000"/>
      </w:tblPr>
      <w:tblGrid>
        <w:gridCol w:w="7920"/>
      </w:tblGrid>
      <w:tr>
        <w:tc>
          <w:tcPr/>
          <w:bookmarkStart w:id="96" w:name="fig-NDVI_GLI_SPC"/>
          <w:p>
            <w:pPr>
              <w:pStyle w:val="Compact"/>
              <w:jc w:val="center"/>
            </w:pPr>
            <w:r>
              <w:drawing>
                <wp:inline>
                  <wp:extent cx="5646420" cy="5646420"/>
                  <wp:effectExtent b="0" l="0" r="0" t="0"/>
                  <wp:docPr descr="" title="" id="94" name="Picture"/>
                  <a:graphic>
                    <a:graphicData uri="http://schemas.openxmlformats.org/drawingml/2006/picture">
                      <pic:pic>
                        <pic:nvPicPr>
                          <pic:cNvPr descr="Figs/Low_res/Compares_Indices_S2.png" id="95" name="Picture"/>
                          <pic:cNvPicPr>
                            <a:picLocks noChangeArrowheads="1" noChangeAspect="1"/>
                          </pic:cNvPicPr>
                        </pic:nvPicPr>
                        <pic:blipFill>
                          <a:blip r:embed="rId93"/>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Relative difference of the Normalized Difference Vegetation Index (NDVI: A); Seagrass Cover (SC: B); Green Leaf Index (GLI: C); and Seagrass Darkening Index (SDI: D) to the 1st of September 2021 of Sentinel-2 based metrics at two different dates : during (2021-09-06) and after the heatwave events (2021-10-08) of Quiberons, for the two category of QPs : Unimpacted seagrasses (green) and Impacted Seagrasses (golden). Points represent predicted value of the metric using a Generalized Linear Model (GLM) while error bar represent the 89% confidance interval of it.</w:t>
            </w:r>
          </w:p>
          <w:bookmarkEnd w:id="96"/>
        </w:tc>
      </w:tr>
    </w:tbl>
    <w:bookmarkEnd w:id="97"/>
    <w:bookmarkEnd w:id="98"/>
    <w:bookmarkStart w:id="109" w:name="mapping-of-the-seagrass-darkening"/>
    <w:p>
      <w:pPr>
        <w:pStyle w:val="Heading3"/>
      </w:pPr>
      <w:r>
        <w:t xml:space="preserve">4.2.3 Mapping of the seagrass darkening</w:t>
      </w:r>
    </w:p>
    <w:p>
      <w:pPr>
        <w:pStyle w:val="FirstParagraph"/>
      </w:pPr>
      <w:r>
        <w:t xml:space="preserve">Using the SDI (</w:t>
      </w:r>
      <w:hyperlink w:anchor="eq-SDI">
        <w:r>
          <w:rPr>
            <w:rStyle w:val="Hyperlink"/>
          </w:rPr>
          <w:t xml:space="preserve">Equation 3</w:t>
        </w:r>
      </w:hyperlink>
      <w:r>
        <w:t xml:space="preserve">), we detected seagrass patches that have darkened (</w:t>
      </w:r>
      <w:hyperlink w:anchor="fig-Map_darkening_Bathy">
        <w:r>
          <w:rPr>
            <w:rStyle w:val="Hyperlink"/>
          </w:rPr>
          <w:t xml:space="preserve">Figure 11</w:t>
        </w:r>
      </w:hyperlink>
      <w:r>
        <w:t xml:space="preserve">).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revealed that 94.6 % of darkened areas were located at above 3.9 meters of bathymetry (</w:t>
      </w:r>
      <w:hyperlink w:anchor="fig-Map_darkening_Bathy">
        <w:r>
          <w:rPr>
            <w:rStyle w:val="Hyperlink"/>
          </w:rPr>
          <w:t xml:space="preserve">Figure 11</w:t>
        </w:r>
      </w:hyperlink>
      <w:r>
        <w:t xml:space="preserve">, A and B). One month later, on October 8th, areas that were previously darkened had regained their green color (</w:t>
      </w:r>
      <w:hyperlink w:anchor="fig-Map_darkening_Bathy">
        <w:r>
          <w:rPr>
            <w:rStyle w:val="Hyperlink"/>
          </w:rPr>
          <w:t xml:space="preserve">Figure 11</w:t>
        </w:r>
      </w:hyperlink>
      <w:r>
        <w:t xml:space="preserve">, C).</w:t>
      </w:r>
    </w:p>
    <w:bookmarkStart w:id="103" w:name="cell-fig-Map_darkening_Bathy"/>
    <w:tbl>
      <w:tblPr>
        <w:tblStyle w:val="Table"/>
        <w:tblW w:type="pct" w:w="5000"/>
        <w:tblLayout w:type="fixed"/>
        <w:tblLook w:firstRow="0" w:lastRow="0" w:firstColumn="0" w:lastColumn="0" w:noHBand="0" w:noVBand="0" w:val="0000"/>
      </w:tblPr>
      <w:tblGrid>
        <w:gridCol w:w="7920"/>
      </w:tblGrid>
      <w:tr>
        <w:tc>
          <w:tcPr/>
          <w:bookmarkStart w:id="102" w:name="fig-Map_darkening_Bathy"/>
          <w:p>
            <w:pPr>
              <w:pStyle w:val="Compact"/>
              <w:jc w:val="center"/>
            </w:pPr>
            <w:r>
              <w:drawing>
                <wp:inline>
                  <wp:extent cx="5646420" cy="3500780"/>
                  <wp:effectExtent b="0" l="0" r="0" t="0"/>
                  <wp:docPr descr="" title="" id="100" name="Picture"/>
                  <a:graphic>
                    <a:graphicData uri="http://schemas.openxmlformats.org/drawingml/2006/picture">
                      <pic:pic>
                        <pic:nvPicPr>
                          <pic:cNvPr descr="Figs/Low_res/Map_darkening_Bathy.png" id="101" name="Picture"/>
                          <pic:cNvPicPr>
                            <a:picLocks noChangeArrowheads="1" noChangeAspect="1"/>
                          </pic:cNvPicPr>
                        </pic:nvPicPr>
                        <pic:blipFill>
                          <a:blip r:embed="rId99"/>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Map of the Darkening of seagrasses during the heatwave events of September 2021 in Quiberon. A: 3.9 m bathymetry isobar (golden line); B: Result of the detection of darkened seagrass patches (Blue polygons); C: Sentinel-2 image one month after the end of the heatwaves (2021-10-08).</w:t>
            </w:r>
          </w:p>
          <w:bookmarkEnd w:id="102"/>
        </w:tc>
      </w:tr>
    </w:tbl>
    <w:bookmarkEnd w:id="103"/>
    <w:p>
      <w:pPr>
        <w:pStyle w:val="BodyText"/>
      </w:pPr>
      <w:r>
        <w:t xml:space="preserve">Additionally, seagrass emersion time revealed a clear relationship between the duration of air exposure and seagrass darkening (</w:t>
      </w:r>
      <w:hyperlink w:anchor="fig-GAM_Emersion">
        <w:r>
          <w:rPr>
            <w:rStyle w:val="Hyperlink"/>
          </w:rPr>
          <w:t xml:space="preserve">Figure 12</w:t>
        </w:r>
      </w:hyperlink>
      <w:r>
        <w:t xml:space="preserve">). During the heatwave, no significant darkening occurred with daily exposure less than 13 hours. However, above 13 hours, seagrasses began to darken, reaching peak darkening at around 14.5 hours of daily exposure.</w:t>
      </w:r>
    </w:p>
    <w:bookmarkStart w:id="108" w:name="cell-fig-GAM_Emersion"/>
    <w:tbl>
      <w:tblPr>
        <w:tblStyle w:val="Table"/>
        <w:tblW w:type="pct" w:w="5000"/>
        <w:tblLayout w:type="fixed"/>
        <w:tblLook w:firstRow="0" w:lastRow="0" w:firstColumn="0" w:lastColumn="0" w:noHBand="0" w:noVBand="0" w:val="0000"/>
      </w:tblPr>
      <w:tblGrid>
        <w:gridCol w:w="7920"/>
      </w:tblGrid>
      <w:tr>
        <w:tc>
          <w:tcPr/>
          <w:bookmarkStart w:id="107" w:name="fig-GAM_Emersion"/>
          <w:p>
            <w:pPr>
              <w:pStyle w:val="Compact"/>
              <w:jc w:val="center"/>
            </w:pPr>
            <w:r>
              <w:drawing>
                <wp:inline>
                  <wp:extent cx="5646420" cy="2823210"/>
                  <wp:effectExtent b="0" l="0" r="0" t="0"/>
                  <wp:docPr descr="" title="" id="105" name="Picture"/>
                  <a:graphic>
                    <a:graphicData uri="http://schemas.openxmlformats.org/drawingml/2006/picture">
                      <pic:pic>
                        <pic:nvPicPr>
                          <pic:cNvPr descr="Figs/Low_res/GAM_emersion.png" id="106" name="Picture"/>
                          <pic:cNvPicPr>
                            <a:picLocks noChangeArrowheads="1" noChangeAspect="1"/>
                          </pic:cNvPicPr>
                        </pic:nvPicPr>
                        <pic:blipFill>
                          <a:blip r:embed="rId104"/>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Relative change of the Seagrass Darkening Index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107"/>
        </w:tc>
      </w:tr>
    </w:tbl>
    <w:bookmarkEnd w:id="108"/>
    <w:bookmarkEnd w:id="109"/>
    <w:bookmarkEnd w:id="110"/>
    <w:bookmarkEnd w:id="111"/>
    <w:bookmarkStart w:id="116" w:name="discussion"/>
    <w:p>
      <w:pPr>
        <w:pStyle w:val="Heading1"/>
      </w:pPr>
      <w:r>
        <w:t xml:space="preserve">5. Discussion</w:t>
      </w:r>
    </w:p>
    <w:bookmarkStart w:id="112" w:name="Xd32f8be805d1b37672f96d647c22fdb6e508461"/>
    <w:p>
      <w:pPr>
        <w:pStyle w:val="Heading2"/>
      </w:pPr>
      <w:r>
        <w:t xml:space="preserve">5.1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 (</w:t>
      </w:r>
      <w:hyperlink w:anchor="fig-Exp_Spectral_indices">
        <w:r>
          <w:rPr>
            <w:rStyle w:val="Hyperlink"/>
          </w:rPr>
          <w:t xml:space="preserve">Figure 7</w:t>
        </w:r>
      </w:hyperlink>
      <w:r>
        <w:t xml:space="preserve">). The second derivative at 665 nm (R’’665), NDVI, and GLI (</w:t>
      </w:r>
      <w:hyperlink w:anchor="fig-Exp_Spectral_indices">
        <w:r>
          <w:rPr>
            <w:rStyle w:val="Hyperlink"/>
          </w:rPr>
          <w:t xml:space="preserve">Figure 7</w:t>
        </w:r>
      </w:hyperlink>
      <w:r>
        <w:t xml:space="preserve"> </w:t>
      </w:r>
      <w:r>
        <w:t xml:space="preserve">B, C, and D) all demonstrated a clear decline over the experimental period (days 1-3), suggesting a progressive reduction in photosynthetic activity or pigment levels in the treatment group relative to the control. In contrast, SDI shows a marked increase, reaching up to 600% for some samples by day 3 (</w:t>
      </w:r>
      <w:hyperlink w:anchor="fig-Exp_Spectral_indices">
        <w:r>
          <w:rPr>
            <w:rStyle w:val="Hyperlink"/>
          </w:rPr>
          <w:t xml:space="preserve">Figure 7</w:t>
        </w:r>
      </w:hyperlink>
      <w:r>
        <w:t xml:space="preserve"> </w:t>
      </w:r>
      <w:r>
        <w:t xml:space="preserve">E).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w:t>
      </w:r>
      <w:r>
        <w:t xml:space="preserve"> </w:t>
      </w:r>
      <w:r>
        <w:t xml:space="preserve">(Dascaliuc et al., 2007; Jones and Clayton-Greene, 1992)</w:t>
      </w:r>
      <w:r>
        <w:t xml:space="preserve">.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12</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3</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112"/>
    <w:bookmarkStart w:id="113" w:name="climate-change-and-heatwaves"/>
    <w:p>
      <w:pPr>
        <w:pStyle w:val="Heading2"/>
      </w:pPr>
      <w:r>
        <w:t xml:space="preserve">5.2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w:t>
      </w:r>
      <w:r>
        <w:t xml:space="preserve"> </w:t>
      </w:r>
      <w:r>
        <w:t xml:space="preserve">(Devi et al., 2024; Russo and Domeisen, 2023)</w:t>
      </w:r>
      <w:r>
        <w:t xml:space="preserve">. Recent research suggests that the magnitude of these events has surged in the recent decades, with climate projections predicting a continuation of this trend. For example, heatwaves that were once considered rare are now up to ten times more likely to occur, with some regions experiencing events three times as intense as those in the early 20th century.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13"/>
    <w:bookmarkStart w:id="114" w:name="seagrass-resilience-to-heatwaves"/>
    <w:p>
      <w:pPr>
        <w:pStyle w:val="Heading2"/>
      </w:pPr>
      <w:r>
        <w:t xml:space="preserve">5.3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experience prolonged immersion throughout the tidal cycle,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w:t>
      </w:r>
      <w:r>
        <w:t xml:space="preserve"> </w:t>
      </w:r>
      <w:r>
        <w:rPr>
          <w:i/>
          <w:iCs/>
        </w:rPr>
        <w:t xml:space="preserve">Z. noltei</w:t>
      </w:r>
      <w:r>
        <w:t xml:space="preserve"> </w:t>
      </w:r>
      <w:r>
        <w:t xml:space="preserve">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Zostera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w:t>
      </w:r>
      <w:r>
        <w:t xml:space="preserve"> </w:t>
      </w:r>
      <w:r>
        <w:t xml:space="preserve">(Franssen et al., 2014; Massa et al., 2009)</w:t>
      </w:r>
      <w:r>
        <w:t xml:space="preserve">. However, prolonged or more intense heat events posed a greater challenge, highlighting the species’ limited capacity to withstand chronic thermal stress. The long-term impact of heatwaves is especially evident in changes to seagrass cover (SC). Before the heatwave event on 1st September 2021, impacted seagrass patches exhibited higher SC than non-impacted areas. However, during the event on 6th September, SC in the impacted patch experienced a sharp decline. By 8th October, one month post-event, the SC of impacted seagrasses, initially higher, had fallen below that of non-impacted seagrasses (</w:t>
      </w:r>
      <w:hyperlink w:anchor="fig-NDVI_GLI_SPC">
        <w:r>
          <w:rPr>
            <w:rStyle w:val="Hyperlink"/>
          </w:rPr>
          <w:t xml:space="preserve">Figure 10</w:t>
        </w:r>
      </w:hyperlink>
      <w:r>
        <w:t xml:space="preserve">). The observed decrease in seagrass cover on 6th September was primarily due to leaf darkening, which influenced the NDVI measurements used to estimate SC. This darkening effect reduced the NDVI values, creating an apparent decrease in SC in the impacted patch when, in reality, the density of seagrass remained stable (</w:t>
      </w:r>
      <w:hyperlink w:anchor="fig-QuiberonImg">
        <w:r>
          <w:rPr>
            <w:rStyle w:val="Hyperlink"/>
          </w:rPr>
          <w:t xml:space="preserve">Figure 5</w:t>
        </w:r>
      </w:hyperlink>
      <w:r>
        <w:t xml:space="preserv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 (</w:t>
      </w:r>
      <w:hyperlink w:anchor="fig-NDVI_GLI_SPC">
        <w:r>
          <w:rPr>
            <w:rStyle w:val="Hyperlink"/>
          </w:rPr>
          <w:t xml:space="preserve">Figure 10</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14"/>
    <w:bookmarkStart w:id="115" w:name="big-picture"/>
    <w:p>
      <w:pPr>
        <w:pStyle w:val="Heading2"/>
      </w:pPr>
      <w:r>
        <w:t xml:space="preserve">5.4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15"/>
    <w:bookmarkEnd w:id="116"/>
    <w:bookmarkStart w:id="117" w:name="conclusion"/>
    <w:p>
      <w:pPr>
        <w:pStyle w:val="Heading1"/>
      </w:pPr>
      <w:r>
        <w:t xml:space="preserve">6.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likely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17"/>
    <w:bookmarkStart w:id="122" w:name="annexes"/>
    <w:p>
      <w:pPr>
        <w:pStyle w:val="Heading1"/>
      </w:pPr>
      <w:r>
        <w:t xml:space="preserve">7. Annexes</w:t>
      </w:r>
    </w:p>
    <w:bookmarkStart w:id="121" w:name="sec-AnnexeA"/>
    <w:p>
      <w:pPr>
        <w:pStyle w:val="Heading2"/>
      </w:pPr>
      <w:r>
        <w:t xml:space="preserve">7.1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19" name="Picture"/>
            <a:graphic>
              <a:graphicData uri="http://schemas.openxmlformats.org/drawingml/2006/picture">
                <pic:pic>
                  <pic:nvPicPr>
                    <pic:cNvPr descr="Figs/High_res/Temperature_compare.png" id="120" name="Picture"/>
                    <pic:cNvPicPr>
                      <a:picLocks noChangeArrowheads="1" noChangeAspect="1"/>
                    </pic:cNvPicPr>
                  </pic:nvPicPr>
                  <pic:blipFill>
                    <a:blip r:embed="rId11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bookmarkEnd w:id="121"/>
    <w:bookmarkEnd w:id="122"/>
    <w:bookmarkStart w:id="230" w:name="references"/>
    <w:p>
      <w:pPr>
        <w:pStyle w:val="Heading1"/>
      </w:pPr>
      <w:r>
        <w:t xml:space="preserve">8. References</w:t>
      </w:r>
    </w:p>
    <w:bookmarkStart w:id="229" w:name="refs"/>
    <w:bookmarkStart w:id="123"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23"/>
    <w:bookmarkStart w:id="124" w:name="ref-armitage2016carbon"/>
    <w:p>
      <w:pPr>
        <w:pStyle w:val="Bibliography"/>
      </w:pPr>
      <w:r>
        <w:t xml:space="preserve">Armitage, A., Fourqurean, J.W., 2016. Carbon storage in seagrass soils: Long-term nutrient history exceeds the effects of near-term nutrient enrichment. Biogeosciences 13, 313–321.</w:t>
      </w:r>
    </w:p>
    <w:bookmarkEnd w:id="124"/>
    <w:bookmarkStart w:id="125" w:name="ref-bastos2023high"/>
    <w:p>
      <w:pPr>
        <w:pStyle w:val="Bibliography"/>
      </w:pPr>
      <w:r>
        <w:t xml:space="preserve">Bastos, M., Roebeling, P., Alves, F.L., Villasante, S., Magalhães Filho, L., 2023. High risk water pollution hazards affecting aveiro coastal lagoon (portugal)–a habitat risk assessment using InVEST. Ecological Informatics 76, 102144.</w:t>
      </w:r>
    </w:p>
    <w:bookmarkEnd w:id="125"/>
    <w:bookmarkStart w:id="127"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26">
        <w:r>
          <w:rPr>
            <w:rStyle w:val="Hyperlink"/>
          </w:rPr>
          <w:t xml:space="preserve">https://doi.org/10.3354/meps14588</w:t>
        </w:r>
      </w:hyperlink>
    </w:p>
    <w:bookmarkEnd w:id="127"/>
    <w:bookmarkStart w:id="128" w:name="ref-boyer1988senescence"/>
    <w:p>
      <w:pPr>
        <w:pStyle w:val="Bibliography"/>
      </w:pPr>
      <w:r>
        <w:t xml:space="preserve">Boyer, M., Miller, J., Belanger, M., Hare, E., Wu, J., 1988. Senescence and spectral reflectance in leaves of northern pin oak (quercus palustris muenchh.). Remote Sensing of Environment 25, 71–87.</w:t>
      </w:r>
    </w:p>
    <w:bookmarkEnd w:id="128"/>
    <w:bookmarkStart w:id="130" w:name="ref-JSSv100i05"/>
    <w:p>
      <w:pPr>
        <w:pStyle w:val="Bibliography"/>
      </w:pPr>
      <w:r>
        <w:t xml:space="preserve">Bürkner, P.-C., 2021. Bayesian item response modeling in r with brms and stan. Journal of Statistical Software 100, 1–54.</w:t>
      </w:r>
      <w:r>
        <w:t xml:space="preserve"> </w:t>
      </w:r>
      <w:hyperlink r:id="rId129">
        <w:r>
          <w:rPr>
            <w:rStyle w:val="Hyperlink"/>
          </w:rPr>
          <w:t xml:space="preserve">https://doi.org/10.18637/jss.v100.i05</w:t>
        </w:r>
      </w:hyperlink>
    </w:p>
    <w:bookmarkEnd w:id="130"/>
    <w:bookmarkStart w:id="131"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31"/>
    <w:bookmarkStart w:id="132"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32"/>
    <w:bookmarkStart w:id="133" w:name="ref-canadell2021ecosystem"/>
    <w:p>
      <w:pPr>
        <w:pStyle w:val="Bibliography"/>
      </w:pPr>
      <w:r>
        <w:t xml:space="preserve">Canadell, J.G., Jackson, R.B., 2021. Ecosystem collapse and climate change. Springer.</w:t>
      </w:r>
    </w:p>
    <w:bookmarkEnd w:id="133"/>
    <w:bookmarkStart w:id="135" w:name="ref-JSSv076i01"/>
    <w:p>
      <w:pPr>
        <w:pStyle w:val="Bibliography"/>
      </w:pPr>
      <w:r>
        <w:t xml:space="preserve">Carpenter, B., Gelman, A., Hoffman, M.D., Lee, D., Goodrich, B., Betancourt, M., Brubaker, M., Guo, J., Li, P., Riddell, A., 2017. Stan: A probabilistic programming language. Journal of Statistical Software 76, 1–32.</w:t>
      </w:r>
      <w:r>
        <w:t xml:space="preserve"> </w:t>
      </w:r>
      <w:hyperlink r:id="rId134">
        <w:r>
          <w:rPr>
            <w:rStyle w:val="Hyperlink"/>
          </w:rPr>
          <w:t xml:space="preserve">https://doi.org/10.18637/jss.v076.i01</w:t>
        </w:r>
      </w:hyperlink>
    </w:p>
    <w:bookmarkEnd w:id="135"/>
    <w:bookmarkStart w:id="13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36">
        <w:r>
          <w:rPr>
            <w:rStyle w:val="Hyperlink"/>
          </w:rPr>
          <w:t xml:space="preserve">https://doi.org/10.48670/moi-00311</w:t>
        </w:r>
      </w:hyperlink>
    </w:p>
    <w:bookmarkEnd w:id="137"/>
    <w:bookmarkStart w:id="139"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38">
        <w:r>
          <w:rPr>
            <w:rStyle w:val="Hyperlink"/>
          </w:rPr>
          <w:t xml:space="preserve">https://doi.org/10.1007/s11099-007-0084-3</w:t>
        </w:r>
      </w:hyperlink>
    </w:p>
    <w:bookmarkEnd w:id="139"/>
    <w:bookmarkStart w:id="140" w:name="ref-davies2023multi"/>
    <w:p>
      <w:pPr>
        <w:pStyle w:val="Bibliography"/>
      </w:pPr>
      <w:r>
        <w:t xml:space="preserve">Davies, B.F.R., Gernez, P., Geraud, A., Oiry, S., Rosa, P., Zoffoli, M.L., Barillé, L., 2023. Multi-and hyperspectral classification of soft-bottom intertidal vegetation using a spectral library for coastal biodiversity remote sensing. Remote Sensing of Environment 290, 113554.</w:t>
      </w:r>
    </w:p>
    <w:bookmarkEnd w:id="140"/>
    <w:bookmarkStart w:id="142"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41">
        <w:r>
          <w:rPr>
            <w:rStyle w:val="Hyperlink"/>
          </w:rPr>
          <w:t xml:space="preserve">https://doi.org/10.1038/s43247-024-01543-z</w:t>
        </w:r>
      </w:hyperlink>
    </w:p>
    <w:bookmarkEnd w:id="142"/>
    <w:bookmarkStart w:id="144"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43">
        <w:r>
          <w:rPr>
            <w:rStyle w:val="Hyperlink"/>
          </w:rPr>
          <w:t xml:space="preserve">https://doi.org/10.1016/j.rse.2024.114340</w:t>
        </w:r>
      </w:hyperlink>
    </w:p>
    <w:bookmarkEnd w:id="144"/>
    <w:bookmarkStart w:id="145"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45"/>
    <w:bookmarkStart w:id="146" w:name="ref-deguette2022physiological"/>
    <w:p>
      <w:pPr>
        <w:pStyle w:val="Bibliography"/>
      </w:pPr>
      <w:r>
        <w:t xml:space="preserve">Deguette, A., Barrote, I., Silva, J., 2022. Physiological and morphological effects of a marine heatwave on the seagrass cymodocea nodosa. Scientific Reports 12, 7950.</w:t>
      </w:r>
    </w:p>
    <w:bookmarkEnd w:id="146"/>
    <w:bookmarkStart w:id="147" w:name="ref-devi2024intensity"/>
    <w:p>
      <w:pPr>
        <w:pStyle w:val="Bibliography"/>
      </w:pPr>
      <w:r>
        <w:t xml:space="preserve">Devi, R., Gouda, K., Lenka, S., 2024. Intensity duration and frequency of heat wave in different phases of MJO over india. Atmospheric Research 300, 107250.</w:t>
      </w:r>
    </w:p>
    <w:bookmarkEnd w:id="147"/>
    <w:bookmarkStart w:id="148" w:name="ref-douay2022new"/>
    <w:p>
      <w:pPr>
        <w:pStyle w:val="Bibliography"/>
      </w:pPr>
      <w:r>
        <w:t xml:space="preserve">Douay, F., Verpoorter, C., Duong, G., Spilmont, N., Gevaert, F., 2022. New hyperspectral procedure to discriminate intertidal macroalgae. Remote Sensing 14, 346.</w:t>
      </w:r>
    </w:p>
    <w:bookmarkEnd w:id="148"/>
    <w:bookmarkStart w:id="150" w:name="ref-electricblue_intertidal_chamber"/>
    <w:p>
      <w:pPr>
        <w:pStyle w:val="Bibliography"/>
      </w:pPr>
      <w:r>
        <w:t xml:space="preserve">Electric Blue, 2023.</w:t>
      </w:r>
      <w:r>
        <w:t xml:space="preserve"> </w:t>
      </w:r>
      <w:hyperlink r:id="rId149">
        <w:r>
          <w:rPr>
            <w:rStyle w:val="Hyperlink"/>
          </w:rPr>
          <w:t xml:space="preserve">Intertidal chamber</w:t>
        </w:r>
      </w:hyperlink>
      <w:r>
        <w:t xml:space="preserve">.</w:t>
      </w:r>
    </w:p>
    <w:bookmarkEnd w:id="150"/>
    <w:bookmarkStart w:id="151" w:name="ref-sen2cor"/>
    <w:p>
      <w:pPr>
        <w:pStyle w:val="Bibliography"/>
      </w:pPr>
      <w:r>
        <w:t xml:space="preserve">European Space Agency, 2024b. Sen2Cor: Sentinel-2 atmospheric correction processor.</w:t>
      </w:r>
    </w:p>
    <w:bookmarkEnd w:id="151"/>
    <w:bookmarkStart w:id="152" w:name="ref-copernicus_sentinel2"/>
    <w:p>
      <w:pPr>
        <w:pStyle w:val="Bibliography"/>
      </w:pPr>
      <w:r>
        <w:t xml:space="preserve">European Space Agency, 2024a. Copernicus open access hub.</w:t>
      </w:r>
    </w:p>
    <w:bookmarkEnd w:id="152"/>
    <w:bookmarkStart w:id="153"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53"/>
    <w:bookmarkStart w:id="154"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54"/>
    <w:bookmarkStart w:id="155" w:name="ref-gacia1999approach"/>
    <w:p>
      <w:pPr>
        <w:pStyle w:val="Bibliography"/>
      </w:pPr>
      <w:r>
        <w:t xml:space="preserve">Gacia, E., Granata, T., Duarte, C., 1999. An approach to measurement of particle flux and sediment retention within seagrass (posidonia oceanica) meadows. Aquatic Botany 65, 255–268.</w:t>
      </w:r>
    </w:p>
    <w:bookmarkEnd w:id="155"/>
    <w:bookmarkStart w:id="156" w:name="ref-garbulsky2011photochemical"/>
    <w:p>
      <w:pPr>
        <w:pStyle w:val="Bibliography"/>
      </w:pPr>
      <w:r>
        <w:t xml:space="preserve">Garbulsky, M.F., Peñuelas, J., Gamon, J., Inoue, Y., Filella, I., 2011. The photochemical reflectance index (PRI) and the remote sensing of leaf, canopy and ecosystem radiation use efficiencies: A review and meta-analysis. Remote sensing of environment 115, 281–297.</w:t>
      </w:r>
    </w:p>
    <w:bookmarkEnd w:id="156"/>
    <w:bookmarkStart w:id="157" w:name="ref-gardner2018global"/>
    <w:p>
      <w:pPr>
        <w:pStyle w:val="Bibliography"/>
      </w:pPr>
      <w:r>
        <w:t xml:space="preserve">Gardner, R.C., Finlayson, C., 2018. Global wetland outlook: State of the world’s wetlands and their services to people, in: Ramsar Convention Secretariat. pp. 2020–5.</w:t>
      </w:r>
    </w:p>
    <w:bookmarkEnd w:id="157"/>
    <w:bookmarkStart w:id="158"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58"/>
    <w:bookmarkStart w:id="160"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59">
        <w:r>
          <w:rPr>
            <w:rStyle w:val="Hyperlink"/>
          </w:rPr>
          <w:t xml:space="preserve">https://doi.org/10.1002/aqc.4210</w:t>
        </w:r>
      </w:hyperlink>
    </w:p>
    <w:bookmarkEnd w:id="160"/>
    <w:bookmarkStart w:id="161"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61"/>
    <w:bookmarkStart w:id="162"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62"/>
    <w:bookmarkStart w:id="164"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63">
        <w:r>
          <w:rPr>
            <w:rStyle w:val="Hyperlink"/>
          </w:rPr>
          <w:t xml:space="preserve">https://doi.org/10.1073/pnas.0402642101</w:t>
        </w:r>
      </w:hyperlink>
    </w:p>
    <w:bookmarkEnd w:id="164"/>
    <w:bookmarkStart w:id="166" w:name="ref-ioc_sea_level_lecy"/>
    <w:p>
      <w:pPr>
        <w:pStyle w:val="Bibliography"/>
      </w:pPr>
      <w:r>
        <w:t xml:space="preserve">IOC, 2024.</w:t>
      </w:r>
      <w:r>
        <w:t xml:space="preserve"> </w:t>
      </w:r>
      <w:hyperlink r:id="rId165">
        <w:r>
          <w:rPr>
            <w:rStyle w:val="Hyperlink"/>
          </w:rPr>
          <w:t xml:space="preserve">Intergovernmental oceanographic commission ; sea level monitoring station - le conquet, france (LECY)</w:t>
        </w:r>
      </w:hyperlink>
      <w:r>
        <w:t xml:space="preserve">.</w:t>
      </w:r>
    </w:p>
    <w:bookmarkEnd w:id="166"/>
    <w:bookmarkStart w:id="167"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67"/>
    <w:bookmarkStart w:id="169"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68">
        <w:r>
          <w:rPr>
            <w:rStyle w:val="Hyperlink"/>
          </w:rPr>
          <w:t xml:space="preserve">https://doi.org/10.1016/S0304-4238(05)80016-0</w:t>
        </w:r>
      </w:hyperlink>
    </w:p>
    <w:bookmarkEnd w:id="169"/>
    <w:bookmarkStart w:id="171"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70">
        <w:r>
          <w:rPr>
            <w:rStyle w:val="Hyperlink"/>
          </w:rPr>
          <w:t xml:space="preserve">https://doi.org/10.1016/S0034-4257(70)80021-9</w:t>
        </w:r>
      </w:hyperlink>
    </w:p>
    <w:bookmarkEnd w:id="171"/>
    <w:bookmarkStart w:id="172" w:name="ref-hsdar"/>
    <w:p>
      <w:pPr>
        <w:pStyle w:val="Bibliography"/>
      </w:pPr>
      <w:r>
        <w:t xml:space="preserve">Lehnert, L.W., Meyer, H., Bendix, J., 2017. Hsdar: Manage, analyse and simulate hyperspectral data in r.</w:t>
      </w:r>
    </w:p>
    <w:bookmarkEnd w:id="172"/>
    <w:bookmarkStart w:id="173" w:name="ref-loarie2009velocity"/>
    <w:p>
      <w:pPr>
        <w:pStyle w:val="Bibliography"/>
      </w:pPr>
      <w:r>
        <w:t xml:space="preserve">Loarie, S.R., Duffy, P.B., Hamilton, H., Asner, G.P., Field, C.B., Ackerly, D.D., 2009. The velocity of climate change. Nature 462, 1052–1055.</w:t>
      </w:r>
    </w:p>
    <w:bookmarkEnd w:id="173"/>
    <w:bookmarkStart w:id="174"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74"/>
    <w:bookmarkStart w:id="176" w:name="ref-malvern_panalytical_rs3"/>
    <w:p>
      <w:pPr>
        <w:pStyle w:val="Bibliography"/>
      </w:pPr>
      <w:r>
        <w:t xml:space="preserve">Malvern Panalytical, 2023.</w:t>
      </w:r>
      <w:r>
        <w:t xml:space="preserve"> </w:t>
      </w:r>
      <w:hyperlink r:id="rId175">
        <w:r>
          <w:rPr>
            <w:rStyle w:val="Hyperlink"/>
          </w:rPr>
          <w:t xml:space="preserve">RS3 software</w:t>
        </w:r>
      </w:hyperlink>
      <w:r>
        <w:t xml:space="preserve">.</w:t>
      </w:r>
    </w:p>
    <w:bookmarkEnd w:id="176"/>
    <w:bookmarkStart w:id="177" w:name="ref-marien2019detecting"/>
    <w:p>
      <w:pPr>
        <w:pStyle w:val="Bibliography"/>
      </w:pPr>
      <w:r>
        <w:t xml:space="preserve">Mariën, B., Balzarolo, M., Dox, I., Leys, S., Lorène, M.J., Geron, C., Portillo-Estrada, M., AbdElgawad, H., Asard, H., Campioli, M., 2019. Detecting the onset of autumn leaf senescence in deciduous forest trees of the temperate zone. New Phytologist 224, 166–176.</w:t>
      </w:r>
    </w:p>
    <w:bookmarkEnd w:id="177"/>
    <w:bookmarkStart w:id="178"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78"/>
    <w:bookmarkStart w:id="180"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79">
        <w:r>
          <w:rPr>
            <w:rStyle w:val="Hyperlink"/>
          </w:rPr>
          <w:t xml:space="preserve">https://doi.org/10.1038/s41598-019-50643-w</w:t>
        </w:r>
      </w:hyperlink>
    </w:p>
    <w:bookmarkEnd w:id="180"/>
    <w:bookmarkStart w:id="181"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81"/>
    <w:bookmarkStart w:id="183" w:name="ref-rs16234383"/>
    <w:p>
      <w:pPr>
        <w:pStyle w:val="Bibliography"/>
      </w:pPr>
      <w:r>
        <w:t xml:space="preserve">Oiry, S., Davies, B.F.R., Sousa, A.I., Rosa, P., Zoffoli, M.L., Brunier, G., Gernez, P., Barillé, L., 2024. Discriminating seagrasses from green macroalgae in european intertidal areas using high-resolution multispectral drone imagery. Remote Sensing 16.</w:t>
      </w:r>
      <w:r>
        <w:t xml:space="preserve"> </w:t>
      </w:r>
      <w:hyperlink r:id="rId182">
        <w:r>
          <w:rPr>
            <w:rStyle w:val="Hyperlink"/>
          </w:rPr>
          <w:t xml:space="preserve">https://doi.org/10.3390/rs16234383</w:t>
        </w:r>
      </w:hyperlink>
    </w:p>
    <w:bookmarkEnd w:id="183"/>
    <w:bookmarkStart w:id="185"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84">
        <w:r>
          <w:rPr>
            <w:rStyle w:val="Hyperlink"/>
          </w:rPr>
          <w:t xml:space="preserve">https://doi.org/10.3389/fmars.2019.00734</w:t>
        </w:r>
      </w:hyperlink>
    </w:p>
    <w:bookmarkEnd w:id="185"/>
    <w:bookmarkStart w:id="186" w:name="ref-olmedo2020far"/>
    <w:p>
      <w:pPr>
        <w:pStyle w:val="Bibliography"/>
      </w:pPr>
      <w:r>
        <w:t xml:space="preserve">Olmedo-Masat, O.M., Raffo, M.P., Rodrı́guez-Pérez, D., Arijón, M., Sánchez-Carnero, N., 2020. How far can we classify macroalgae remotely? An example using a new spectral library of species from the south west atlantic (argentine patagonia). Remote Sensing 12, 3870.</w:t>
      </w:r>
    </w:p>
    <w:bookmarkEnd w:id="186"/>
    <w:bookmarkStart w:id="188"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87">
        <w:r>
          <w:rPr>
            <w:rStyle w:val="Hyperlink"/>
          </w:rPr>
          <w:t xml:space="preserve">https://doi.org/10.1111/gcb.14282</w:t>
        </w:r>
      </w:hyperlink>
    </w:p>
    <w:bookmarkEnd w:id="188"/>
    <w:bookmarkStart w:id="189" w:name="ref-penuelas2004leaf"/>
    <w:p>
      <w:pPr>
        <w:pStyle w:val="Bibliography"/>
      </w:pPr>
      <w:r>
        <w:t xml:space="preserve">Peñuelas, J., Munné-Bosch, S., Llusià, J., Filella, I., 2004. Leaf reflectance and photo-and antioxidant protection in field-grown summer-stressed phillyrea angustifolia. Optical signals of oxidative stress? New Phytologist 162, 115–124.</w:t>
      </w:r>
    </w:p>
    <w:bookmarkEnd w:id="189"/>
    <w:bookmarkStart w:id="190" w:name="ref-perkins2013measurement"/>
    <w:p>
      <w:pPr>
        <w:pStyle w:val="Bibliography"/>
      </w:pPr>
      <w:r>
        <w:t xml:space="preserve">Perkins, S.E., Alexander, L.V., 2013. On the measurement of heat waves. Journal of climate 26, 4500–4517.</w:t>
      </w:r>
    </w:p>
    <w:bookmarkEnd w:id="190"/>
    <w:bookmarkStart w:id="192" w:name="ref-Rbase"/>
    <w:p>
      <w:pPr>
        <w:pStyle w:val="Bibliography"/>
      </w:pPr>
      <w:r>
        <w:t xml:space="preserve">R Core Team, 2023.</w:t>
      </w:r>
      <w:r>
        <w:t xml:space="preserve"> </w:t>
      </w:r>
      <w:hyperlink r:id="rId191">
        <w:r>
          <w:rPr>
            <w:rStyle w:val="Hyperlink"/>
          </w:rPr>
          <w:t xml:space="preserve">R: A language and environment for statistical computing</w:t>
        </w:r>
      </w:hyperlink>
      <w:r>
        <w:t xml:space="preserve">. R Foundation for Statistical Computing, Vienna, Austria.</w:t>
      </w:r>
    </w:p>
    <w:bookmarkEnd w:id="192"/>
    <w:bookmarkStart w:id="193" w:name="ref-ramesh2020seagrass"/>
    <w:p>
      <w:pPr>
        <w:pStyle w:val="Bibliography"/>
      </w:pPr>
      <w:r>
        <w:t xml:space="preserve">Ramesh, C., Mohanraju, R., 2020. Seagrass ecosystems of andaman and nicobar islands: Status and future perspective. Environmental &amp; Earth Sciences Research Journal 7.</w:t>
      </w:r>
    </w:p>
    <w:bookmarkEnd w:id="193"/>
    <w:bookmarkStart w:id="195"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94">
        <w:r>
          <w:rPr>
            <w:rStyle w:val="Hyperlink"/>
          </w:rPr>
          <w:t xml:space="preserve">https://doi.org/10.1073/pnas.0500008102</w:t>
        </w:r>
      </w:hyperlink>
    </w:p>
    <w:bookmarkEnd w:id="195"/>
    <w:bookmarkStart w:id="196" w:name="ref-roman2021using"/>
    <w:p>
      <w:pPr>
        <w:pStyle w:val="Bibliography"/>
      </w:pPr>
      <w:r>
        <w:t xml:space="preserve">Román, A., Tovar-Sánchez, A., Olivé, I., Navarro, G., 2021. Using a UAV-mounted multispectral camera for the monitoring of marine macrophytes. Frontiers in Marine Science 8, 722698.</w:t>
      </w:r>
    </w:p>
    <w:bookmarkEnd w:id="196"/>
    <w:bookmarkStart w:id="197" w:name="ref-rouse1974monitoring"/>
    <w:p>
      <w:pPr>
        <w:pStyle w:val="Bibliography"/>
      </w:pPr>
      <w:r>
        <w:t xml:space="preserve">Rouse, J.W., Haas, R.H., Schell, J.A., Deering, D.W., others, 1974. Monitoring vegetation systems in the great plains with ERTS. NASA Spec. Publ 351, 309.</w:t>
      </w:r>
    </w:p>
    <w:bookmarkEnd w:id="197"/>
    <w:bookmarkStart w:id="199"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98">
        <w:r>
          <w:rPr>
            <w:rStyle w:val="Hyperlink"/>
          </w:rPr>
          <w:t xml:space="preserve">https://doi.org/10.1029/2023GL103540</w:t>
        </w:r>
      </w:hyperlink>
    </w:p>
    <w:bookmarkEnd w:id="199"/>
    <w:bookmarkStart w:id="200"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200"/>
    <w:bookmarkStart w:id="201"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201"/>
    <w:bookmarkStart w:id="203"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202">
        <w:r>
          <w:rPr>
            <w:rStyle w:val="Hyperlink"/>
          </w:rPr>
          <w:t xml:space="preserve">https://doi.org/10.21105/joss.00821</w:t>
        </w:r>
      </w:hyperlink>
    </w:p>
    <w:bookmarkEnd w:id="203"/>
    <w:bookmarkStart w:id="204"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204"/>
    <w:bookmarkStart w:id="205"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205"/>
    <w:bookmarkStart w:id="207" w:name="ref-shom_ram_2022"/>
    <w:p>
      <w:pPr>
        <w:pStyle w:val="Bibliography"/>
      </w:pPr>
      <w:r>
        <w:t xml:space="preserve">Shom, 2022.</w:t>
      </w:r>
      <w:r>
        <w:t xml:space="preserve"> </w:t>
      </w:r>
      <w:hyperlink r:id="rId206">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207"/>
    <w:bookmarkStart w:id="209" w:name="Xbef41143b4d4042e58f11cfc27e216202646012"/>
    <w:p>
      <w:pPr>
        <w:pStyle w:val="Bibliography"/>
      </w:pPr>
      <w:r>
        <w:t xml:space="preserve">SHOM, 2021.</w:t>
      </w:r>
      <w:r>
        <w:t xml:space="preserve"> </w:t>
      </w:r>
      <w:hyperlink r:id="rId208">
        <w:r>
          <w:rPr>
            <w:rStyle w:val="Hyperlink"/>
          </w:rPr>
          <w:t xml:space="preserve">Service hydrographique et océanographique de la marine ; bathymétrie Litto3D® bretagne 2018-2021</w:t>
        </w:r>
      </w:hyperlink>
      <w:r>
        <w:t xml:space="preserve">.</w:t>
      </w:r>
    </w:p>
    <w:bookmarkEnd w:id="209"/>
    <w:bookmarkStart w:id="211" w:name="ref-simolo2022quantifying"/>
    <w:p>
      <w:pPr>
        <w:pStyle w:val="Bibliography"/>
      </w:pPr>
      <w:r>
        <w:t xml:space="preserve">Simolo, C., Corti, S., 2022. Quantifying the role of variability in future intensification of heat extremes. Nature Communications 13.</w:t>
      </w:r>
      <w:r>
        <w:t xml:space="preserve"> </w:t>
      </w:r>
      <w:hyperlink r:id="rId210">
        <w:r>
          <w:rPr>
            <w:rStyle w:val="Hyperlink"/>
          </w:rPr>
          <w:t xml:space="preserve">https://doi.org/10.1038/s41467-022-35571-0</w:t>
        </w:r>
      </w:hyperlink>
    </w:p>
    <w:bookmarkEnd w:id="211"/>
    <w:bookmarkStart w:id="212" w:name="ref-skendzic2023drought"/>
    <w:p>
      <w:pPr>
        <w:pStyle w:val="Bibliography"/>
      </w:pPr>
      <w:r>
        <w:t xml:space="preserve">Skendzic, S., 2023. Drought stress in winter wheat-physiological responses and detection using remote and proximal sensing techniques, in: Smart Life Sciences and Technology for Sustainable Development. pp. 39–39.</w:t>
      </w:r>
    </w:p>
    <w:bookmarkEnd w:id="212"/>
    <w:bookmarkStart w:id="214"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213">
        <w:r>
          <w:rPr>
            <w:rStyle w:val="Hyperlink"/>
          </w:rPr>
          <w:t xml:space="preserve">https://doi.org/10.1038/s41558-019-0412-1</w:t>
        </w:r>
      </w:hyperlink>
    </w:p>
    <w:bookmarkEnd w:id="214"/>
    <w:bookmarkStart w:id="215"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215"/>
    <w:bookmarkStart w:id="216" w:name="ref-stan2020rstan"/>
    <w:p>
      <w:pPr>
        <w:pStyle w:val="Bibliography"/>
      </w:pPr>
      <w:r>
        <w:t xml:space="preserve">Stan Development Team, C., others, 2020. RStan: The r interface to stan. R package version 2.21. 2.</w:t>
      </w:r>
    </w:p>
    <w:bookmarkEnd w:id="216"/>
    <w:bookmarkStart w:id="218"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217">
        <w:r>
          <w:rPr>
            <w:rStyle w:val="Hyperlink"/>
          </w:rPr>
          <w:t xml:space="preserve">https://doi.org/10.1152/physiol.00040.2018</w:t>
        </w:r>
      </w:hyperlink>
    </w:p>
    <w:bookmarkEnd w:id="218"/>
    <w:bookmarkStart w:id="219"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219"/>
    <w:bookmarkStart w:id="220" w:name="ref-unsworth2014biodiversity"/>
    <w:p>
      <w:pPr>
        <w:pStyle w:val="Bibliography"/>
      </w:pPr>
      <w:r>
        <w:t xml:space="preserve">Unsworth, R., Cullen-Unsworth, L.C., 2014. Biodiversity, ecosystem services, and the conservation of seagrass meadows. Coast. Conserv 19, 95.</w:t>
      </w:r>
    </w:p>
    <w:bookmarkEnd w:id="220"/>
    <w:bookmarkStart w:id="221" w:name="ref-unsworth2022planetary"/>
    <w:p>
      <w:pPr>
        <w:pStyle w:val="Bibliography"/>
      </w:pPr>
      <w:r>
        <w:t xml:space="preserve">Unsworth, R.K., Cullen-Unsworth, L.C., Jones, B.L., Lilley, R.J., 2022. The planetary role of seagrass conservation. Science 377, 609–613.</w:t>
      </w:r>
    </w:p>
    <w:bookmarkEnd w:id="221"/>
    <w:bookmarkStart w:id="222" w:name="ref-ustin2020optical"/>
    <w:p>
      <w:pPr>
        <w:pStyle w:val="Bibliography"/>
      </w:pPr>
      <w:r>
        <w:t xml:space="preserve">Ustin, S.L., Jacquemoud, S., 2020. How the optical properties of leaves modify the absorption and scattering of energy and enhance leaf functionality. Remote sensing of plant biodiversity 349–384.</w:t>
      </w:r>
    </w:p>
    <w:bookmarkEnd w:id="222"/>
    <w:bookmarkStart w:id="223"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223"/>
    <w:bookmarkStart w:id="224"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224"/>
    <w:bookmarkStart w:id="225" w:name="ref-zahoor2023water"/>
    <w:p>
      <w:pPr>
        <w:pStyle w:val="Bibliography"/>
      </w:pPr>
      <w:r>
        <w:t xml:space="preserve">Zahoor, I., Mushtaq, A., 2023. Water pollution from agricultural activities: A critical global review. Int. J. Chem. Biochem. Sci 23, 164–176.</w:t>
      </w:r>
    </w:p>
    <w:bookmarkEnd w:id="225"/>
    <w:bookmarkStart w:id="226"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226"/>
    <w:bookmarkStart w:id="228"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227">
        <w:r>
          <w:rPr>
            <w:rStyle w:val="Hyperlink"/>
          </w:rPr>
          <w:t xml:space="preserve">https://doi.org/10.1002/rse2.319</w:t>
        </w:r>
      </w:hyperlink>
    </w:p>
    <w:bookmarkEnd w:id="228"/>
    <w:bookmarkEnd w:id="229"/>
    <w:bookmarkEnd w:id="230"/>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18" Target="media/rId118.png" /><Relationship Type="http://schemas.openxmlformats.org/officeDocument/2006/relationships/image" Id="rId31" Target="media/rId31.png" /><Relationship Type="http://schemas.openxmlformats.org/officeDocument/2006/relationships/image" Id="rId93" Target="media/rId93.png" /><Relationship Type="http://schemas.openxmlformats.org/officeDocument/2006/relationships/image" Id="rId25" Target="media/rId25.png" /><Relationship Type="http://schemas.openxmlformats.org/officeDocument/2006/relationships/image" Id="rId104" Target="media/rId104.png" /><Relationship Type="http://schemas.openxmlformats.org/officeDocument/2006/relationships/image" Id="rId87" Target="media/rId87.png" /><Relationship Type="http://schemas.openxmlformats.org/officeDocument/2006/relationships/image" Id="rId99" Target="media/rId99.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image" Id="rId54" Target="media/rId54.png" /><Relationship Type="http://schemas.openxmlformats.org/officeDocument/2006/relationships/image" Id="rId75" Target="media/rId75.png" /><Relationship Type="http://schemas.openxmlformats.org/officeDocument/2006/relationships/image" Id="rId69" Target="media/rId69.png" /><Relationship Type="http://schemas.openxmlformats.org/officeDocument/2006/relationships/hyperlink" Id="rId206" Target="https://diffusion.shom.fr/references-altimetriques-maritimes-ram.html" TargetMode="External" /><Relationship Type="http://schemas.openxmlformats.org/officeDocument/2006/relationships/hyperlink" Id="rId159" Target="https://doi.org/10.1002/aqc.4210" TargetMode="External" /><Relationship Type="http://schemas.openxmlformats.org/officeDocument/2006/relationships/hyperlink" Id="rId227"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0" Target="https://doi.org/10.1016/S0034-4257(70)80021-9" TargetMode="External" /><Relationship Type="http://schemas.openxmlformats.org/officeDocument/2006/relationships/hyperlink" Id="rId168"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98" Target="https://doi.org/10.1029/2023GL103540" TargetMode="External" /><Relationship Type="http://schemas.openxmlformats.org/officeDocument/2006/relationships/hyperlink" Id="rId210" Target="https://doi.org/10.1038/s41467-022-35571-0" TargetMode="External" /><Relationship Type="http://schemas.openxmlformats.org/officeDocument/2006/relationships/hyperlink" Id="rId213" Target="https://doi.org/10.1038/s41558-019-0412-1" TargetMode="External" /><Relationship Type="http://schemas.openxmlformats.org/officeDocument/2006/relationships/hyperlink" Id="rId179"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63" Target="https://doi.org/10.1073/pnas.0402642101" TargetMode="External" /><Relationship Type="http://schemas.openxmlformats.org/officeDocument/2006/relationships/hyperlink" Id="rId194" Target="https://doi.org/10.1073/pnas.0500008102" TargetMode="External" /><Relationship Type="http://schemas.openxmlformats.org/officeDocument/2006/relationships/hyperlink" Id="rId187" Target="https://doi.org/10.1111/gcb.14282" TargetMode="External" /><Relationship Type="http://schemas.openxmlformats.org/officeDocument/2006/relationships/hyperlink" Id="rId217"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9" Target="https://doi.org/10.18637/jss.v100.i05" TargetMode="External" /><Relationship Type="http://schemas.openxmlformats.org/officeDocument/2006/relationships/hyperlink" Id="rId202"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84" Target="https://doi.org/10.3389/fmars.2019.00734" TargetMode="External" /><Relationship Type="http://schemas.openxmlformats.org/officeDocument/2006/relationships/hyperlink" Id="rId182"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8" Target="https://services.data.shom.fr/geonetwork/srv/fre/catalog.search#/metadata/BATHYMETRIE_LITTO3D_BZH_2018_2021.xml" TargetMode="External" /><Relationship Type="http://schemas.openxmlformats.org/officeDocument/2006/relationships/hyperlink" Id="rId191" Target="https://www.R-project.org/" TargetMode="External" /><Relationship Type="http://schemas.openxmlformats.org/officeDocument/2006/relationships/hyperlink" Id="rId165" Target="https://www.ioc-sealevelmonitoring.org/station.php?code=lecy" TargetMode="External" /><Relationship Type="http://schemas.openxmlformats.org/officeDocument/2006/relationships/hyperlink" Id="rId175" Target="https://www.malvernpanalytical.com/en/support/product-support/software/rs3" TargetMode="External" /></Relationships>
</file>

<file path=word/_rels/footnotes.xml.rels><?xml version="1.0" encoding="UTF-8"?><Relationships xmlns="http://schemas.openxmlformats.org/package/2006/relationships"><Relationship Type="http://schemas.openxmlformats.org/officeDocument/2006/relationships/hyperlink" Id="rId206" Target="https://diffusion.shom.fr/references-altimetriques-maritimes-ram.html" TargetMode="External" /><Relationship Type="http://schemas.openxmlformats.org/officeDocument/2006/relationships/hyperlink" Id="rId159" Target="https://doi.org/10.1002/aqc.4210" TargetMode="External" /><Relationship Type="http://schemas.openxmlformats.org/officeDocument/2006/relationships/hyperlink" Id="rId227" Target="https://doi.org/10.1002/rse2.319" TargetMode="External" /><Relationship Type="http://schemas.openxmlformats.org/officeDocument/2006/relationships/hyperlink" Id="rId138" Target="https://doi.org/10.1007/s11099-007-0084-3" TargetMode="External" /><Relationship Type="http://schemas.openxmlformats.org/officeDocument/2006/relationships/hyperlink" Id="rId170" Target="https://doi.org/10.1016/S0034-4257(70)80021-9" TargetMode="External" /><Relationship Type="http://schemas.openxmlformats.org/officeDocument/2006/relationships/hyperlink" Id="rId168" Target="https://doi.org/10.1016/S0304-4238(05)80016-0" TargetMode="External" /><Relationship Type="http://schemas.openxmlformats.org/officeDocument/2006/relationships/hyperlink" Id="rId143" Target="https://doi.org/10.1016/j.rse.2024.114340" TargetMode="External" /><Relationship Type="http://schemas.openxmlformats.org/officeDocument/2006/relationships/hyperlink" Id="rId198" Target="https://doi.org/10.1029/2023GL103540" TargetMode="External" /><Relationship Type="http://schemas.openxmlformats.org/officeDocument/2006/relationships/hyperlink" Id="rId210" Target="https://doi.org/10.1038/s41467-022-35571-0" TargetMode="External" /><Relationship Type="http://schemas.openxmlformats.org/officeDocument/2006/relationships/hyperlink" Id="rId213" Target="https://doi.org/10.1038/s41558-019-0412-1" TargetMode="External" /><Relationship Type="http://schemas.openxmlformats.org/officeDocument/2006/relationships/hyperlink" Id="rId179" Target="https://doi.org/10.1038/s41598-019-50643-w" TargetMode="External" /><Relationship Type="http://schemas.openxmlformats.org/officeDocument/2006/relationships/hyperlink" Id="rId141" Target="https://doi.org/10.1038/s43247-024-01543-z" TargetMode="External" /><Relationship Type="http://schemas.openxmlformats.org/officeDocument/2006/relationships/hyperlink" Id="rId163" Target="https://doi.org/10.1073/pnas.0402642101" TargetMode="External" /><Relationship Type="http://schemas.openxmlformats.org/officeDocument/2006/relationships/hyperlink" Id="rId194" Target="https://doi.org/10.1073/pnas.0500008102" TargetMode="External" /><Relationship Type="http://schemas.openxmlformats.org/officeDocument/2006/relationships/hyperlink" Id="rId187" Target="https://doi.org/10.1111/gcb.14282" TargetMode="External" /><Relationship Type="http://schemas.openxmlformats.org/officeDocument/2006/relationships/hyperlink" Id="rId217" Target="https://doi.org/10.1152/physiol.00040.2018" TargetMode="External" /><Relationship Type="http://schemas.openxmlformats.org/officeDocument/2006/relationships/hyperlink" Id="rId134" Target="https://doi.org/10.18637/jss.v076.i01" TargetMode="External" /><Relationship Type="http://schemas.openxmlformats.org/officeDocument/2006/relationships/hyperlink" Id="rId129" Target="https://doi.org/10.18637/jss.v100.i05" TargetMode="External" /><Relationship Type="http://schemas.openxmlformats.org/officeDocument/2006/relationships/hyperlink" Id="rId202" Target="https://doi.org/10.21105/joss.00821" TargetMode="External" /><Relationship Type="http://schemas.openxmlformats.org/officeDocument/2006/relationships/hyperlink" Id="rId126" Target="https://doi.org/10.3354/meps14588" TargetMode="External" /><Relationship Type="http://schemas.openxmlformats.org/officeDocument/2006/relationships/hyperlink" Id="rId184" Target="https://doi.org/10.3389/fmars.2019.00734" TargetMode="External" /><Relationship Type="http://schemas.openxmlformats.org/officeDocument/2006/relationships/hyperlink" Id="rId182" Target="https://doi.org/10.3390/rs16234383" TargetMode="External" /><Relationship Type="http://schemas.openxmlformats.org/officeDocument/2006/relationships/hyperlink" Id="rId136" Target="https://doi.org/10.48670/moi-00311" TargetMode="External" /><Relationship Type="http://schemas.openxmlformats.org/officeDocument/2006/relationships/hyperlink" Id="rId149" Target="https://electricblue.eu/intertidal-chamber" TargetMode="External" /><Relationship Type="http://schemas.openxmlformats.org/officeDocument/2006/relationships/hyperlink" Id="rId59" Target="https://github.com/SigOiry/HeatWave_Seagrasses/blob/main/Scripts/MeteoFrance_Extraction.qmd" TargetMode="External" /><Relationship Type="http://schemas.openxmlformats.org/officeDocument/2006/relationships/hyperlink" Id="rId208" Target="https://services.data.shom.fr/geonetwork/srv/fre/catalog.search#/metadata/BATHYMETRIE_LITTO3D_BZH_2018_2021.xml" TargetMode="External" /><Relationship Type="http://schemas.openxmlformats.org/officeDocument/2006/relationships/hyperlink" Id="rId191" Target="https://www.R-project.org/" TargetMode="External" /><Relationship Type="http://schemas.openxmlformats.org/officeDocument/2006/relationships/hyperlink" Id="rId165" Target="https://www.ioc-sealevelmonitoring.org/station.php?code=lecy" TargetMode="External" /><Relationship Type="http://schemas.openxmlformats.org/officeDocument/2006/relationships/hyperlink" Id="rId175" Target="https://www.malvernpanalytical.com/en/support/product-support/software/rs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Marine and Atmospheric Heatwaves on Intertidal Seagrass: Experimental Spectroradiometry and Satellite-Based Insights</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2024-12-09T14:38:40Z</dcterms:created>
  <dcterms:modified xsi:type="dcterms:W3CDTF">2024-12-09T14:38:40Z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play a vital role in coastal ecosystems, providing habitat, stabilizing sediments, and contributing to carbon sequestration. However, climate change has increased the frequency and intensity of heatwaves, posing a significant threat to seagrass health. This study investigates the effects of marine and atmospheric heatwaves on the spectral reflectance of the intertidal seagrass Zostera noltei. Laboratory experiments were conducted under controlled heatwave conditions, where hyperspectral reflectance measurements were taken to assess the impacts over time. Heatwaves caused a substantial decline in seagrass reflectance, particularly in the green and near-infrared regions, corresponding to the browning of green leaves. Key vegetation indices, including the Normalized Difference Vegetation Index (NDVI) and Green Leaf Index (GLI), showed pronounced reductions under heatwave stress, with NDVI values decreasing by up to 34% and GLI by 57%. A novel metric, the Seagrass Heat Shock Index (SHSI), was developed to quantify the transition of seagrass leaves from green to brown, demonstrating a strong ability to capture the effects of heatwave exposure on seagrass coloration. These findings highlight the potential of spectral reflectance as a tool for detecting early signs of heatwave-induced stress in seagrasses, offering a valuable method for remote sensing-based habitat assessment. Multispectral satellite observations corroborated the laboratory results, revealing widespread browning of seagrass leaves during marine and atmospheric heatwave events in South Brittany, France. Notably, darkened seagrass patches were observed in intertidal areas exposed to temperatures exceeding 32°C for over 13.5 hours per day. This work highlights the need for continuous monitoring of seagrass meadows under the current and future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2024-12-09</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