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31.png" ContentType="image/png"/>
  <Override PartName="/word/media/rId90.png" ContentType="image/png"/>
  <Override PartName="/word/media/rId25.png" ContentType="image/png"/>
  <Override PartName="/word/media/rId101.png" ContentType="image/png"/>
  <Override PartName="/word/media/rId84.png" ContentType="image/png"/>
  <Override PartName="/word/media/rId96.png" ContentType="image/png"/>
  <Override PartName="/word/media/rId44.png" ContentType="image/png"/>
  <Override PartName="/word/media/rId77.png" ContentType="image/png"/>
  <Override PartName="/word/media/rId49.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2024-12-07</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5" w:name="material-methods"/>
    <w:p>
      <w:pPr>
        <w:pStyle w:val="Heading1"/>
      </w:pPr>
      <w:r>
        <w:t xml:space="preserve">3. Material &amp; Methods</w:t>
      </w:r>
    </w:p>
    <w:bookmarkStart w:id="43"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2"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1"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r>
        <w:rPr>
          <w:b/>
          <w:bCs/>
        </w:rPr>
        <w:t xml:space="preserve">Add a Figure</w:t>
      </w:r>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1"/>
    <w:bookmarkEnd w:id="42"/>
    <w:bookmarkEnd w:id="43"/>
    <w:bookmarkStart w:id="63" w:name="in-situ-seagrass-darkening."/>
    <w:p>
      <w:pPr>
        <w:pStyle w:val="Heading2"/>
      </w:pPr>
      <w:r>
        <w:t xml:space="preserve">3.2</w:t>
      </w:r>
      <w:r>
        <w:t xml:space="preserve"> </w:t>
      </w:r>
      <w:r>
        <w:rPr>
          <w:i/>
          <w:iCs/>
        </w:rPr>
        <w:t xml:space="preserve">In situ</w:t>
      </w:r>
      <w:r>
        <w:t xml:space="preserve"> </w:t>
      </w:r>
      <w:r>
        <w:t xml:space="preserve">seagrass darkening.</w:t>
      </w:r>
    </w:p>
    <w:bookmarkStart w:id="54" w:name="field-observation"/>
    <w:p>
      <w:pPr>
        <w:pStyle w:val="Heading3"/>
      </w:pPr>
      <w:r>
        <w:t xml:space="preserve">3.2.1 Field Observation</w:t>
      </w:r>
    </w:p>
    <w:bookmarkStart w:id="48" w:name="cell-fig-quiberonMap"/>
    <w:tbl>
      <w:tblPr>
        <w:tblStyle w:val="Table"/>
        <w:tblW w:type="pct" w:w="5000"/>
        <w:tblLayout w:type="fixed"/>
        <w:tblLook w:firstRow="0" w:lastRow="0" w:firstColumn="0" w:lastColumn="0" w:noHBand="0" w:noVBand="0" w:val="0000"/>
      </w:tblPr>
      <w:tblGrid>
        <w:gridCol w:w="7920"/>
      </w:tblGrid>
      <w:tr>
        <w:tc>
          <w:tcPr/>
          <w:bookmarkStart w:id="47" w:name="fig-quiberonMap"/>
          <w:p>
            <w:pPr>
              <w:pStyle w:val="Compact"/>
              <w:jc w:val="center"/>
            </w:pPr>
            <w:r>
              <w:drawing>
                <wp:inline>
                  <wp:extent cx="5646420" cy="5646420"/>
                  <wp:effectExtent b="0" l="0" r="0" t="0"/>
                  <wp:docPr descr="" title="" id="45" name="Picture"/>
                  <a:graphic>
                    <a:graphicData uri="http://schemas.openxmlformats.org/drawingml/2006/picture">
                      <pic:pic>
                        <pic:nvPicPr>
                          <pic:cNvPr descr="Figs/Low_res/Quiberon_map.png" id="46" name="Picture"/>
                          <pic:cNvPicPr>
                            <a:picLocks noChangeArrowheads="1" noChangeAspect="1"/>
                          </pic:cNvPicPr>
                        </pic:nvPicPr>
                        <pic:blipFill>
                          <a:blip r:embed="rId4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7"/>
        </w:tc>
      </w:tr>
    </w:tbl>
    <w:bookmarkEnd w:id="48"/>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3</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4</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3</w:t>
        </w:r>
      </w:hyperlink>
      <w:r>
        <w:t xml:space="preserve">).</w:t>
      </w:r>
    </w:p>
    <w:bookmarkStart w:id="53" w:name="cell-fig-QuiberonImg"/>
    <w:tbl>
      <w:tblPr>
        <w:tblStyle w:val="Table"/>
        <w:tblW w:type="pct" w:w="5000"/>
        <w:tblLayout w:type="fixed"/>
        <w:tblLook w:firstRow="0" w:lastRow="0" w:firstColumn="0" w:lastColumn="0" w:noHBand="0" w:noVBand="0" w:val="0000"/>
      </w:tblPr>
      <w:tblGrid>
        <w:gridCol w:w="7920"/>
      </w:tblGrid>
      <w:tr>
        <w:tc>
          <w:tcPr/>
          <w:bookmarkStart w:id="52" w:name="fig-QuiberonImg"/>
          <w:p>
            <w:pPr>
              <w:pStyle w:val="Compact"/>
              <w:jc w:val="center"/>
            </w:pPr>
            <w:r>
              <w:drawing>
                <wp:inline>
                  <wp:extent cx="5646420" cy="3733115"/>
                  <wp:effectExtent b="0" l="0" r="0" t="0"/>
                  <wp:docPr descr="" title="" id="50" name="Picture"/>
                  <a:graphic>
                    <a:graphicData uri="http://schemas.openxmlformats.org/drawingml/2006/picture">
                      <pic:pic>
                        <pic:nvPicPr>
                          <pic:cNvPr descr="Figs/Low_res/img_Quiberon.png" id="51" name="Picture"/>
                          <pic:cNvPicPr>
                            <a:picLocks noChangeArrowheads="1" noChangeAspect="1"/>
                          </pic:cNvPicPr>
                        </pic:nvPicPr>
                        <pic:blipFill>
                          <a:blip r:embed="rId49"/>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52"/>
        </w:tc>
      </w:tr>
    </w:tbl>
    <w:bookmarkEnd w:id="53"/>
    <w:bookmarkEnd w:id="54"/>
    <w:bookmarkStart w:id="59" w:name="Xf8a39f1f3d5cbc00f14159fcb612e83e416b551"/>
    <w:p>
      <w:pPr>
        <w:pStyle w:val="Heading3"/>
      </w:pPr>
      <w:r>
        <w:t xml:space="preserve">3.2.2 Temperature Data and identification of heatwaves</w:t>
      </w:r>
    </w:p>
    <w:bookmarkStart w:id="56" w:name="air-temperature"/>
    <w:p>
      <w:pPr>
        <w:pStyle w:val="Heading4"/>
      </w:pPr>
      <w:r>
        <w:t xml:space="preserve">3.2.2.1 Air temperature</w:t>
      </w:r>
    </w:p>
    <w:p>
      <w:pPr>
        <w:pStyle w:val="FirstParagraph"/>
      </w:pPr>
      <w:r>
        <w:t xml:space="preserve">Since January 1, 2024, Meteo France weather data has been freely and openly accessible. Hourly air temperature data (°C) was retrieved using a</w:t>
      </w:r>
      <w:r>
        <w:t xml:space="preserve"> </w:t>
      </w:r>
      <w:hyperlink r:id="rId55">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6"/>
    <w:bookmarkStart w:id="57" w:name="water-temperature"/>
    <w:p>
      <w:pPr>
        <w:pStyle w:val="Heading4"/>
      </w:pPr>
      <w:r>
        <w:t xml:space="preserve">3.2.2.2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7"/>
    <w:bookmarkStart w:id="58" w:name="heatwave-detection-and-characterization"/>
    <w:p>
      <w:pPr>
        <w:pStyle w:val="Heading4"/>
      </w:pPr>
      <w:r>
        <w:t xml:space="preserve">3.2.2.3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8"/>
    <w:bookmarkEnd w:id="59"/>
    <w:bookmarkStart w:id="61" w:name="satellite-observation"/>
    <w:p>
      <w:pPr>
        <w:pStyle w:val="Heading3"/>
      </w:pPr>
      <w:r>
        <w:t xml:space="preserve">3.2.3 Satellite Observation</w:t>
      </w:r>
    </w:p>
    <w:p>
      <w:pPr>
        <w:pStyle w:val="FirstParagraph"/>
      </w:pPr>
      <w:r>
        <w:t xml:space="preserve">Three Sentinel-2 images covering the field campaign site (</w:t>
      </w:r>
      <w:hyperlink w:anchor="fig-quiberonMap">
        <w:r>
          <w:rPr>
            <w:rStyle w:val="Hyperlink"/>
          </w:rPr>
          <w:t xml:space="preserve">Figure 3</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3</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60"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60"/>
    </w:p>
    <w:bookmarkEnd w:id="61"/>
    <w:bookmarkStart w:id="62" w:name="emersion-time-of-seagrasses"/>
    <w:p>
      <w:pPr>
        <w:pStyle w:val="Heading3"/>
      </w:pPr>
      <w:r>
        <w:t xml:space="preserve">3.2.4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2"/>
    <w:bookmarkEnd w:id="63"/>
    <w:bookmarkStart w:id="64"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4"/>
    <w:bookmarkEnd w:id="65"/>
    <w:bookmarkStart w:id="108" w:name="results"/>
    <w:p>
      <w:pPr>
        <w:pStyle w:val="Heading1"/>
      </w:pPr>
      <w:r>
        <w:t xml:space="preserve">4. Results</w:t>
      </w:r>
    </w:p>
    <w:bookmarkStart w:id="83" w:name="laboratory-experiment-1"/>
    <w:p>
      <w:pPr>
        <w:pStyle w:val="Heading2"/>
      </w:pPr>
      <w:r>
        <w:t xml:space="preserve">4.1 Laboratory Experiment</w:t>
      </w:r>
    </w:p>
    <w:bookmarkStart w:id="71" w:name="spectral-inspection"/>
    <w:p>
      <w:pPr>
        <w:pStyle w:val="Heading3"/>
      </w:pPr>
      <w:r>
        <w:t xml:space="preserve">4.1.1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5</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5</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5</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9"/>
        </w:tc>
      </w:tr>
    </w:tbl>
    <w:bookmarkEnd w:id="70"/>
    <w:bookmarkEnd w:id="71"/>
    <w:bookmarkStart w:id="82" w:name="evolution-of-spectral-metrics"/>
    <w:p>
      <w:pPr>
        <w:pStyle w:val="Heading3"/>
      </w:pPr>
      <w:r>
        <w:t xml:space="preserve">4.1.2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6</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6</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6</w:t>
        </w:r>
      </w:hyperlink>
      <w:r>
        <w:t xml:space="preserve"> </w:t>
      </w:r>
      <w:r>
        <w:t xml:space="preserve">E).</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6970888"/>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75"/>
        </w:tc>
      </w:tr>
    </w:tbl>
    <w:bookmarkEnd w:id="76"/>
    <w:p>
      <w:pPr>
        <w:pStyle w:val="BodyText"/>
      </w:pPr>
      <w:r>
        <w:t xml:space="preserve">The SDI revealed clear distinctions between the Control and Treatment groups (</w:t>
      </w:r>
      <w:hyperlink w:anchor="fig-SDI_over_Time">
        <w:r>
          <w:rPr>
            <w:rStyle w:val="Hyperlink"/>
          </w:rPr>
          <w:t xml:space="preserve">Figure 7</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D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and standard deviation of the Seagrass Darkening Index (SDI) across expimental runs, at each day of the experiment. Tge green line shows values of the Control group while the golden line indicates values of the Treatment group.</w:t>
            </w:r>
          </w:p>
          <w:bookmarkEnd w:id="80"/>
        </w:tc>
      </w:tr>
    </w:tbl>
    <w:bookmarkEnd w:id="81"/>
    <w:bookmarkEnd w:id="82"/>
    <w:bookmarkEnd w:id="83"/>
    <w:bookmarkStart w:id="107" w:name="heatwaves-of-quiberon"/>
    <w:p>
      <w:pPr>
        <w:pStyle w:val="Heading2"/>
      </w:pPr>
      <w:r>
        <w:t xml:space="preserve">4.2 Heatwaves of Quiberon</w:t>
      </w:r>
    </w:p>
    <w:bookmarkStart w:id="89" w:name="spectral-inspection-1"/>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8</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7"/>
        </w:tc>
      </w:tr>
    </w:tbl>
    <w:bookmarkEnd w:id="88"/>
    <w:bookmarkEnd w:id="89"/>
    <w:bookmarkStart w:id="95"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9</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4</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9</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5646420"/>
                  <wp:effectExtent b="0" l="0" r="0" t="0"/>
                  <wp:docPr descr="" title="" id="91" name="Picture"/>
                  <a:graphic>
                    <a:graphicData uri="http://schemas.openxmlformats.org/drawingml/2006/picture">
                      <pic:pic>
                        <pic:nvPicPr>
                          <pic:cNvPr descr="Figs/Low_res/Compares_Indices_S2.png" id="92" name="Picture"/>
                          <pic:cNvPicPr>
                            <a:picLocks noChangeArrowheads="1" noChangeAspect="1"/>
                          </pic:cNvPicPr>
                        </pic:nvPicPr>
                        <pic:blipFill>
                          <a:blip r:embed="rId9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3"/>
        </w:tc>
      </w:tr>
    </w:tbl>
    <w:bookmarkEnd w:id="94"/>
    <w:bookmarkEnd w:id="95"/>
    <w:bookmarkStart w:id="106"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10</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10</w:t>
        </w:r>
      </w:hyperlink>
      <w:r>
        <w:t xml:space="preserve">, A and B). One month later, on October 8th, areas that were previously darkened had regained their green color (</w:t>
      </w:r>
      <w:hyperlink w:anchor="fig-Map_darkening_Bathy">
        <w:r>
          <w:rPr>
            <w:rStyle w:val="Hyperlink"/>
          </w:rPr>
          <w:t xml:space="preserve">Figure 10</w:t>
        </w:r>
      </w:hyperlink>
      <w:r>
        <w:t xml:space="preserve">, 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3500780"/>
                  <wp:effectExtent b="0" l="0" r="0" t="0"/>
                  <wp:docPr descr="" title="" id="97" name="Picture"/>
                  <a:graphic>
                    <a:graphicData uri="http://schemas.openxmlformats.org/drawingml/2006/picture">
                      <pic:pic>
                        <pic:nvPicPr>
                          <pic:cNvPr descr="Figs/Low_res/Map_darkening_Bathy.png" id="98" name="Picture"/>
                          <pic:cNvPicPr>
                            <a:picLocks noChangeArrowheads="1" noChangeAspect="1"/>
                          </pic:cNvPicPr>
                        </pic:nvPicPr>
                        <pic:blipFill>
                          <a:blip r:embed="rId96"/>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9"/>
        </w:tc>
      </w:tr>
    </w:tbl>
    <w:bookmarkEnd w:id="100"/>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11</w:t>
        </w:r>
      </w:hyperlink>
      <w:r>
        <w:t xml:space="preserve">). During the heatwave, no significant darkening occurred with daily exposure less than 13 hours. However, above 13 hours, seagrasses began to darken, reaching peak darkening at around 14.5 hours of daily exposure.</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4"/>
        </w:tc>
      </w:tr>
    </w:tbl>
    <w:bookmarkEnd w:id="105"/>
    <w:bookmarkEnd w:id="106"/>
    <w:bookmarkEnd w:id="107"/>
    <w:bookmarkEnd w:id="108"/>
    <w:bookmarkStart w:id="113" w:name="discussion"/>
    <w:p>
      <w:pPr>
        <w:pStyle w:val="Heading1"/>
      </w:pPr>
      <w:r>
        <w:t xml:space="preserve">5. Discussion</w:t>
      </w:r>
    </w:p>
    <w:bookmarkStart w:id="109"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6</w:t>
        </w:r>
      </w:hyperlink>
      <w:r>
        <w:t xml:space="preserve">). The second derivative at 665 nm (R’’665), NDVI, and GLI (</w:t>
      </w:r>
      <w:hyperlink w:anchor="fig-Exp_Spectral_indices">
        <w:r>
          <w:rPr>
            <w:rStyle w:val="Hyperlink"/>
          </w:rPr>
          <w:t xml:space="preserve">Figure 6</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6</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11</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9"/>
    <w:bookmarkStart w:id="110"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0"/>
    <w:bookmarkStart w:id="111"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9</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4</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9</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1"/>
    <w:bookmarkStart w:id="112"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8" w:name="references"/>
    <w:p>
      <w:pPr>
        <w:pStyle w:val="Heading1"/>
      </w:pPr>
      <w:r>
        <w:t xml:space="preserve">8. References</w:t>
      </w:r>
    </w:p>
    <w:bookmarkStart w:id="227" w:name="refs"/>
    <w:bookmarkStart w:id="120"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2"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1">
        <w:r>
          <w:rPr>
            <w:rStyle w:val="Hyperlink"/>
          </w:rPr>
          <w:t xml:space="preserve">https://doi.org/10.18637/jss.v076.i01</w:t>
        </w:r>
      </w:hyperlink>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7"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7"/>
    <w:bookmarkStart w:id="139"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8">
        <w:r>
          <w:rPr>
            <w:rStyle w:val="Hyperlink"/>
          </w:rPr>
          <w:t xml:space="preserve">https://doi.org/10.1038/s43247-024-01543-z</w:t>
        </w:r>
      </w:hyperlink>
    </w:p>
    <w:bookmarkEnd w:id="139"/>
    <w:bookmarkStart w:id="141"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0">
        <w:r>
          <w:rPr>
            <w:rStyle w:val="Hyperlink"/>
          </w:rPr>
          <w:t xml:space="preserve">https://doi.org/10.1016/j.rse.2024.114340</w:t>
        </w:r>
      </w:hyperlink>
    </w:p>
    <w:bookmarkEnd w:id="141"/>
    <w:bookmarkStart w:id="142"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2"/>
    <w:bookmarkStart w:id="143" w:name="ref-deguette2022physiological"/>
    <w:p>
      <w:pPr>
        <w:pStyle w:val="Bibliography"/>
      </w:pPr>
      <w:r>
        <w:t xml:space="preserve">Deguette, A., Barrote, I., Silva, J., 2022. Physiological and morphological effects of a marine heatwave on the seagrass cymodocea nodosa. Scientific Reports 12, 7950.</w:t>
      </w:r>
    </w:p>
    <w:bookmarkEnd w:id="143"/>
    <w:bookmarkStart w:id="144" w:name="ref-devi2024intensity"/>
    <w:p>
      <w:pPr>
        <w:pStyle w:val="Bibliography"/>
      </w:pPr>
      <w:r>
        <w:t xml:space="preserve">Devi, R., Gouda, K., Lenka, S., 2024. Intensity duration and frequency of heat wave in different phases of MJO over india. Atmospheric Research 300, 107250.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5"/>
    <w:bookmarkStart w:id="15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6">
        <w:r>
          <w:rPr>
            <w:rStyle w:val="Hyperlink"/>
          </w:rPr>
          <w:t xml:space="preserve">https://doi.org/10.1002/aqc.4210</w:t>
        </w:r>
      </w:hyperlink>
    </w:p>
    <w:bookmarkEnd w:id="157"/>
    <w:bookmarkStart w:id="15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8"/>
    <w:bookmarkStart w:id="15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9"/>
    <w:bookmarkStart w:id="161"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0">
        <w:r>
          <w:rPr>
            <w:rStyle w:val="Hyperlink"/>
          </w:rPr>
          <w:t xml:space="preserve">https://doi.org/10.1073/pnas.0402642101</w:t>
        </w:r>
      </w:hyperlink>
    </w:p>
    <w:bookmarkEnd w:id="161"/>
    <w:bookmarkStart w:id="163" w:name="ref-ioc_sea_level_lecy"/>
    <w:p>
      <w:pPr>
        <w:pStyle w:val="Bibliography"/>
      </w:pPr>
      <w:r>
        <w:t xml:space="preserve">IOC, 2024.</w:t>
      </w:r>
      <w:r>
        <w:t xml:space="preserve"> </w:t>
      </w:r>
      <w:hyperlink r:id="rId162">
        <w:r>
          <w:rPr>
            <w:rStyle w:val="Hyperlink"/>
          </w:rPr>
          <w:t xml:space="preserve">Intergovernmental oceanographic commission ; sea level monitoring station - le conquet, france (LECY)</w:t>
        </w:r>
      </w:hyperlink>
      <w:r>
        <w:t xml:space="preserve">.</w:t>
      </w:r>
    </w:p>
    <w:bookmarkEnd w:id="163"/>
    <w:bookmarkStart w:id="164"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4"/>
    <w:bookmarkStart w:id="166"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5">
        <w:r>
          <w:rPr>
            <w:rStyle w:val="Hyperlink"/>
          </w:rPr>
          <w:t xml:space="preserve">https://doi.org/10.1016/S0304-4238(05)80016-0</w:t>
        </w:r>
      </w:hyperlink>
    </w:p>
    <w:bookmarkEnd w:id="166"/>
    <w:bookmarkStart w:id="168"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7">
        <w:r>
          <w:rPr>
            <w:rStyle w:val="Hyperlink"/>
          </w:rPr>
          <w:t xml:space="preserve">https://doi.org/10.1016/S0034-4257(70)80021-9</w:t>
        </w:r>
      </w:hyperlink>
    </w:p>
    <w:bookmarkEnd w:id="168"/>
    <w:bookmarkStart w:id="169" w:name="ref-hsdar"/>
    <w:p>
      <w:pPr>
        <w:pStyle w:val="Bibliography"/>
      </w:pPr>
      <w:r>
        <w:t xml:space="preserve">Lehnert, L.W., Meyer, H., Bendix, J., 2017. Hsdar: Manage, analyse and simulate hyperspectral data in r.</w:t>
      </w:r>
    </w:p>
    <w:bookmarkEnd w:id="169"/>
    <w:bookmarkStart w:id="170" w:name="ref-loarie2009velocity"/>
    <w:p>
      <w:pPr>
        <w:pStyle w:val="Bibliography"/>
      </w:pPr>
      <w:r>
        <w:t xml:space="preserve">Loarie, S.R., Duffy, P.B., Hamilton, H., Asner, G.P., Field, C.B., Ackerly, D.D., 2009. The velocity of climate change. Nature 462, 1052–1055.</w:t>
      </w:r>
    </w:p>
    <w:bookmarkEnd w:id="170"/>
    <w:bookmarkStart w:id="17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1"/>
    <w:bookmarkStart w:id="173" w:name="ref-malvern_panalytical_rs3"/>
    <w:p>
      <w:pPr>
        <w:pStyle w:val="Bibliography"/>
      </w:pPr>
      <w:r>
        <w:t xml:space="preserve">Malvern Panalytical, 2023.</w:t>
      </w:r>
      <w:r>
        <w:t xml:space="preserve"> </w:t>
      </w:r>
      <w:hyperlink r:id="rId172">
        <w:r>
          <w:rPr>
            <w:rStyle w:val="Hyperlink"/>
          </w:rPr>
          <w:t xml:space="preserve">RS3 software</w:t>
        </w:r>
      </w:hyperlink>
      <w:r>
        <w:t xml:space="preserve">.</w:t>
      </w:r>
    </w:p>
    <w:bookmarkEnd w:id="173"/>
    <w:bookmarkStart w:id="174"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4"/>
    <w:bookmarkStart w:id="175"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5"/>
    <w:bookmarkStart w:id="177"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6">
        <w:r>
          <w:rPr>
            <w:rStyle w:val="Hyperlink"/>
          </w:rPr>
          <w:t xml:space="preserve">https://doi.org/10.1038/s41598-019-50643-w</w:t>
        </w:r>
      </w:hyperlink>
    </w:p>
    <w:bookmarkEnd w:id="177"/>
    <w:bookmarkStart w:id="17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8"/>
    <w:bookmarkStart w:id="180"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79">
        <w:r>
          <w:rPr>
            <w:rStyle w:val="Hyperlink"/>
          </w:rPr>
          <w:t xml:space="preserve">https://doi.org/10.3390/rs16234383</w:t>
        </w:r>
      </w:hyperlink>
    </w:p>
    <w:bookmarkEnd w:id="180"/>
    <w:bookmarkStart w:id="18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1">
        <w:r>
          <w:rPr>
            <w:rStyle w:val="Hyperlink"/>
          </w:rPr>
          <w:t xml:space="preserve">https://doi.org/10.3389/fmars.2019.00734</w:t>
        </w:r>
      </w:hyperlink>
    </w:p>
    <w:bookmarkEnd w:id="182"/>
    <w:bookmarkStart w:id="183"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3"/>
    <w:bookmarkStart w:id="18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4">
        <w:r>
          <w:rPr>
            <w:rStyle w:val="Hyperlink"/>
          </w:rPr>
          <w:t xml:space="preserve">https://doi.org/10.1111/gcb.14282</w:t>
        </w:r>
      </w:hyperlink>
    </w:p>
    <w:bookmarkEnd w:id="185"/>
    <w:bookmarkStart w:id="186"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6"/>
    <w:bookmarkStart w:id="187" w:name="ref-perkins2013measurement"/>
    <w:p>
      <w:pPr>
        <w:pStyle w:val="Bibliography"/>
      </w:pPr>
      <w:r>
        <w:t xml:space="preserve">Perkins, S.E., Alexander, L.V., 2013. On the measurement of heat waves. Journal of climate 26, 4500–4517.</w:t>
      </w:r>
    </w:p>
    <w:bookmarkEnd w:id="187"/>
    <w:bookmarkStart w:id="189" w:name="ref-Rbase"/>
    <w:p>
      <w:pPr>
        <w:pStyle w:val="Bibliography"/>
      </w:pPr>
      <w:r>
        <w:t xml:space="preserve">R Core Team, 2023.</w:t>
      </w:r>
      <w:r>
        <w:t xml:space="preserve"> </w:t>
      </w:r>
      <w:hyperlink r:id="rId188">
        <w:r>
          <w:rPr>
            <w:rStyle w:val="Hyperlink"/>
          </w:rPr>
          <w:t xml:space="preserve">R: A language and environment for statistical computing</w:t>
        </w:r>
      </w:hyperlink>
      <w:r>
        <w:t xml:space="preserve">. R Foundation for Statistical Computing, Vienna, Austria.</w:t>
      </w:r>
    </w:p>
    <w:bookmarkEnd w:id="189"/>
    <w:bookmarkStart w:id="190" w:name="ref-ramesh2020seagrass"/>
    <w:p>
      <w:pPr>
        <w:pStyle w:val="Bibliography"/>
      </w:pPr>
      <w:r>
        <w:t xml:space="preserve">Ramesh, C., Mohanraju, R., 2020. Seagrass ecosystems of andaman and nicobar islands: Status and future perspective. Environmental &amp; Earth Sciences Research Journal 7.</w:t>
      </w:r>
    </w:p>
    <w:bookmarkEnd w:id="190"/>
    <w:bookmarkStart w:id="19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1">
        <w:r>
          <w:rPr>
            <w:rStyle w:val="Hyperlink"/>
          </w:rPr>
          <w:t xml:space="preserve">https://doi.org/10.1073/pnas.0500008102</w:t>
        </w:r>
      </w:hyperlink>
    </w:p>
    <w:bookmarkEnd w:id="192"/>
    <w:bookmarkStart w:id="193" w:name="ref-roman2021using"/>
    <w:p>
      <w:pPr>
        <w:pStyle w:val="Bibliography"/>
      </w:pPr>
      <w:r>
        <w:t xml:space="preserve">Román, A., Tovar-Sánchez, A., Olivé, I., Navarro, G., 2021. Using a UAV-mounted multispectral camera for the monitoring of marine macrophytes. Frontiers in Marine Science 8, 722698.</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6"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5">
        <w:r>
          <w:rPr>
            <w:rStyle w:val="Hyperlink"/>
          </w:rPr>
          <w:t xml:space="preserve">https://doi.org/10.1029/2023GL103540</w:t>
        </w:r>
      </w:hyperlink>
    </w:p>
    <w:bookmarkEnd w:id="196"/>
    <w:bookmarkStart w:id="197"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7"/>
    <w:bookmarkStart w:id="19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8"/>
    <w:bookmarkStart w:id="20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9">
        <w:r>
          <w:rPr>
            <w:rStyle w:val="Hyperlink"/>
          </w:rPr>
          <w:t xml:space="preserve">https://doi.org/10.21105/joss.00821</w:t>
        </w:r>
      </w:hyperlink>
    </w:p>
    <w:bookmarkEnd w:id="200"/>
    <w:bookmarkStart w:id="20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1"/>
    <w:bookmarkStart w:id="20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2"/>
    <w:bookmarkStart w:id="204" w:name="ref-shom_ram_2022"/>
    <w:p>
      <w:pPr>
        <w:pStyle w:val="Bibliography"/>
      </w:pPr>
      <w:r>
        <w:t xml:space="preserve">Shom, 2022.</w:t>
      </w:r>
      <w:r>
        <w:t xml:space="preserve"> </w:t>
      </w:r>
      <w:hyperlink r:id="rId20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4"/>
    <w:bookmarkStart w:id="206" w:name="Xbef41143b4d4042e58f11cfc27e216202646012"/>
    <w:p>
      <w:pPr>
        <w:pStyle w:val="Bibliography"/>
      </w:pPr>
      <w:r>
        <w:t xml:space="preserve">SHOM, 2021.</w:t>
      </w:r>
      <w:r>
        <w:t xml:space="preserve"> </w:t>
      </w:r>
      <w:hyperlink r:id="rId205">
        <w:r>
          <w:rPr>
            <w:rStyle w:val="Hyperlink"/>
          </w:rPr>
          <w:t xml:space="preserve">Service hydrographique et océanographique de la marine ; bathymétrie Litto3D® bretagne 2018-2021</w:t>
        </w:r>
      </w:hyperlink>
      <w:r>
        <w:t xml:space="preserve">.</w:t>
      </w:r>
    </w:p>
    <w:bookmarkEnd w:id="206"/>
    <w:bookmarkStart w:id="208" w:name="ref-simolo2022quantifying"/>
    <w:p>
      <w:pPr>
        <w:pStyle w:val="Bibliography"/>
      </w:pPr>
      <w:r>
        <w:t xml:space="preserve">Simolo, C., Corti, S., 2022. Quantifying the role of variability in future intensification of heat extremes. Nature Communications 13.</w:t>
      </w:r>
      <w:r>
        <w:t xml:space="preserve"> </w:t>
      </w:r>
      <w:hyperlink r:id="rId207">
        <w:r>
          <w:rPr>
            <w:rStyle w:val="Hyperlink"/>
          </w:rPr>
          <w:t xml:space="preserve">https://doi.org/10.1038/s41467-022-35571-0</w:t>
        </w:r>
      </w:hyperlink>
    </w:p>
    <w:bookmarkEnd w:id="208"/>
    <w:bookmarkStart w:id="20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9"/>
    <w:bookmarkStart w:id="211"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0">
        <w:r>
          <w:rPr>
            <w:rStyle w:val="Hyperlink"/>
          </w:rPr>
          <w:t xml:space="preserve">https://doi.org/10.1038/s41558-019-0412-1</w:t>
        </w:r>
      </w:hyperlink>
    </w:p>
    <w:bookmarkEnd w:id="211"/>
    <w:bookmarkStart w:id="212"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2"/>
    <w:bookmarkStart w:id="213" w:name="ref-stan2020rstan"/>
    <w:p>
      <w:pPr>
        <w:pStyle w:val="Bibliography"/>
      </w:pPr>
      <w:r>
        <w:t xml:space="preserve">Stan Development Team, C., others, 2020. RStan: The r interface to stan. R package version 2.21. 2.</w:t>
      </w:r>
    </w:p>
    <w:bookmarkEnd w:id="213"/>
    <w:bookmarkStart w:id="215"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4">
        <w:r>
          <w:rPr>
            <w:rStyle w:val="Hyperlink"/>
          </w:rPr>
          <w:t xml:space="preserve">https://doi.org/10.1152/physiol.00040.2018</w:t>
        </w:r>
      </w:hyperlink>
    </w:p>
    <w:bookmarkEnd w:id="215"/>
    <w:bookmarkStart w:id="21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6"/>
    <w:bookmarkStart w:id="217" w:name="ref-unsworth2014biodiversity"/>
    <w:p>
      <w:pPr>
        <w:pStyle w:val="Bibliography"/>
      </w:pPr>
      <w:r>
        <w:t xml:space="preserve">Unsworth, R., Cullen-Unsworth, L.C., 2014. Biodiversity, ecosystem services, and the conservation of seagrass meadows. Coast. Conserv 19, 95.</w:t>
      </w:r>
    </w:p>
    <w:bookmarkEnd w:id="217"/>
    <w:bookmarkStart w:id="218" w:name="ref-unsworth2022planetary"/>
    <w:p>
      <w:pPr>
        <w:pStyle w:val="Bibliography"/>
      </w:pPr>
      <w:r>
        <w:t xml:space="preserve">Unsworth, R.K., Cullen-Unsworth, L.C., Jones, B.L., Lilley, R.J., 2022. The planetary role of seagrass conservation. Science 377, 609–613.</w:t>
      </w:r>
    </w:p>
    <w:bookmarkEnd w:id="218"/>
    <w:bookmarkStart w:id="21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9"/>
    <w:bookmarkStart w:id="22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0"/>
    <w:bookmarkStart w:id="22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1"/>
    <w:bookmarkStart w:id="222" w:name="ref-zahoor2023water"/>
    <w:p>
      <w:pPr>
        <w:pStyle w:val="Bibliography"/>
      </w:pPr>
      <w:r>
        <w:t xml:space="preserve">Zahoor, I., Mushtaq, A., 2023. Water pollution from agricultural activities: A critical global review. Int. J. Chem. Biochem. Sci 23, 164–176.</w:t>
      </w:r>
    </w:p>
    <w:bookmarkEnd w:id="222"/>
    <w:bookmarkStart w:id="22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3"/>
    <w:bookmarkStart w:id="22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4">
        <w:r>
          <w:rPr>
            <w:rStyle w:val="Hyperlink"/>
          </w:rPr>
          <w:t xml:space="preserve">https://doi.org/10.1002/rse2.319</w:t>
        </w:r>
      </w:hyperlink>
    </w:p>
    <w:bookmarkEnd w:id="225"/>
    <w:bookmarkStart w:id="22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6"/>
    <w:bookmarkEnd w:id="227"/>
    <w:bookmarkEnd w:id="22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90" Target="media/rId90.png" /><Relationship Type="http://schemas.openxmlformats.org/officeDocument/2006/relationships/image" Id="rId25" Target="media/rId25.png" /><Relationship Type="http://schemas.openxmlformats.org/officeDocument/2006/relationships/image" Id="rId101" Target="media/rId10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2024-12-07T19:59:12Z</dcterms:created>
  <dcterms:modified xsi:type="dcterms:W3CDTF">2024-12-07T19:59:12Z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2024-12-07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