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Figures</w:t>
      </w:r>
      <w:r>
        <w:t xml:space="preserve"> </w:t>
      </w:r>
      <w:r>
        <w:t xml:space="preserve">of</w:t>
      </w:r>
      <w:r>
        <w:t xml:space="preserve"> </w:t>
      </w:r>
      <w:r>
        <w:t xml:space="preserve">the</w:t>
      </w:r>
      <w:r>
        <w:t xml:space="preserve"> </w:t>
      </w:r>
      <w:r>
        <w:t xml:space="preserve">Heatwave</w:t>
      </w:r>
      <w:r>
        <w:t xml:space="preserve"> </w:t>
      </w:r>
      <w:r>
        <w:t xml:space="preserve">Paper</w:t>
      </w:r>
    </w:p>
    <w:tbl>
      <w:tblPr>
        <w:tblStyle w:val="Table"/>
        <w:tblW w:type="pct" w:w="5000"/>
        <w:tblLayout w:type="fixed"/>
        <w:tblLook w:firstRow="0" w:lastRow="0" w:firstColumn="0" w:lastColumn="0" w:noHBand="0" w:noVBand="0" w:val="0000"/>
      </w:tblPr>
      <w:tblGrid>
        <w:gridCol w:w="7920"/>
      </w:tblGrid>
      <w:tr>
        <w:tc>
          <w:tcPr/>
          <w:bookmarkStart w:id="23" w:name="fig-quiberonMap"/>
          <w:p>
            <w:pPr>
              <w:pStyle w:val="Compact"/>
              <w:jc w:val="center"/>
            </w:pPr>
            <w:r>
              <w:drawing>
                <wp:inline>
                  <wp:extent cx="5334000" cy="5334000"/>
                  <wp:effectExtent b="0" l="0" r="0" t="0"/>
                  <wp:docPr descr="" title="" id="21" name="Picture"/>
                  <a:graphic>
                    <a:graphicData uri="http://schemas.openxmlformats.org/drawingml/2006/picture">
                      <pic:pic>
                        <pic:nvPicPr>
                          <pic:cNvPr descr="Figs/Low_res/Quiberon_map.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the field campaign that occured on the 10th of September 2021. The red line surround the intertidal zone (Zone between High tide and low tide, that is totally emerged at low tide) and the dark green polygon indicates the extent of the seagrass meadow. Green dots indicate location of quadrat images of unimpacted seagrasses (i.e. showing a green color on the field) while red circles indicate location of quadrat images of impacted seagrasses (i.e. showing a dark color on the field).</w:t>
            </w:r>
          </w:p>
          <w:bookmarkEnd w:id="23"/>
        </w:tc>
      </w:tr>
    </w:tbl>
    <w:tbl>
      <w:tblPr>
        <w:tblStyle w:val="Table"/>
        <w:tblW w:type="pct" w:w="5000"/>
        <w:tblLayout w:type="fixed"/>
        <w:tblLook w:firstRow="0" w:lastRow="0" w:firstColumn="0" w:lastColumn="0" w:noHBand="0" w:noVBand="0" w:val="0000"/>
      </w:tblPr>
      <w:tblGrid>
        <w:gridCol w:w="7920"/>
      </w:tblGrid>
      <w:tr>
        <w:tc>
          <w:tcPr/>
          <w:bookmarkStart w:id="27" w:name="fig-QuiberonImg"/>
          <w:p>
            <w:pPr>
              <w:pStyle w:val="Compact"/>
              <w:jc w:val="center"/>
            </w:pPr>
            <w:r>
              <w:drawing>
                <wp:inline>
                  <wp:extent cx="5334000" cy="3526559"/>
                  <wp:effectExtent b="0" l="0" r="0" t="0"/>
                  <wp:docPr descr="" title="" id="25" name="Picture"/>
                  <a:graphic>
                    <a:graphicData uri="http://schemas.openxmlformats.org/drawingml/2006/picture">
                      <pic:pic>
                        <pic:nvPicPr>
                          <pic:cNvPr descr="Figs/Low_res/img_Quiberon.png" id="26" name="Picture"/>
                          <pic:cNvPicPr>
                            <a:picLocks noChangeArrowheads="1" noChangeAspect="1"/>
                          </pic:cNvPicPr>
                        </pic:nvPicPr>
                        <pic:blipFill>
                          <a:blip r:embed="rId24"/>
                          <a:stretch>
                            <a:fillRect/>
                          </a:stretch>
                        </pic:blipFill>
                        <pic:spPr bwMode="auto">
                          <a:xfrm>
                            <a:off x="0" y="0"/>
                            <a:ext cx="5334000" cy="35265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Illustrations of the two coloration of seagrasses observed in the field. A: View of a green green meadow; B: Quadrat images of green seagrasses; C: Quadrat images of darkened seagrasses; D: View of darkened area of themeadow. All images were taken on September 10th, 2021, in Quiberon.</w:t>
            </w:r>
          </w:p>
          <w:bookmarkEnd w:id="27"/>
        </w:tc>
      </w:tr>
    </w:tbl>
    <w:tbl>
      <w:tblPr>
        <w:tblStyle w:val="Table"/>
        <w:tblW w:type="pct" w:w="5000"/>
        <w:tblLayout w:type="fixed"/>
        <w:tblLook w:firstRow="0" w:lastRow="0" w:firstColumn="0" w:lastColumn="0" w:noHBand="0" w:noVBand="0" w:val="0000"/>
      </w:tblPr>
      <w:tblGrid>
        <w:gridCol w:w="7920"/>
      </w:tblGrid>
      <w:tr>
        <w:tc>
          <w:tcPr/>
          <w:bookmarkStart w:id="31" w:name="fig-Exp_Spectra"/>
          <w:p>
            <w:pPr>
              <w:pStyle w:val="Compact"/>
              <w:jc w:val="center"/>
            </w:pPr>
            <w:r>
              <w:drawing>
                <wp:inline>
                  <wp:extent cx="5334000" cy="2667000"/>
                  <wp:effectExtent b="0" l="0" r="0" t="0"/>
                  <wp:docPr descr="" title="" id="29" name="Picture"/>
                  <a:graphic>
                    <a:graphicData uri="http://schemas.openxmlformats.org/drawingml/2006/picture">
                      <pic:pic>
                        <pic:nvPicPr>
                          <pic:cNvPr descr="Figs/Low_res/plot_Spectra_exp.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Standardized Hyperspectral Reflectance signature collected during the experiment for both the Control (Left) and the Treatment (Right). Color denotes the progression along the experiment from the beginning (Day 1: green), middle (Day 2: Yellow) and end (Day 3: Brown).</w:t>
            </w:r>
          </w:p>
          <w:bookmarkEnd w:id="31"/>
        </w:tc>
      </w:tr>
    </w:tbl>
    <w:tbl>
      <w:tblPr>
        <w:tblStyle w:val="Table"/>
        <w:tblW w:type="pct" w:w="5000"/>
        <w:tblLayout w:type="fixed"/>
        <w:tblLook w:firstRow="0" w:lastRow="0" w:firstColumn="0" w:lastColumn="0" w:noHBand="0" w:noVBand="0" w:val="0000"/>
      </w:tblPr>
      <w:tblGrid>
        <w:gridCol w:w="7920"/>
      </w:tblGrid>
      <w:tr>
        <w:tc>
          <w:tcPr/>
          <w:bookmarkStart w:id="35" w:name="fig-Exp_Spectral_indices"/>
          <w:p>
            <w:pPr>
              <w:pStyle w:val="Compact"/>
              <w:jc w:val="center"/>
            </w:pPr>
            <w:r>
              <w:drawing>
                <wp:inline>
                  <wp:extent cx="5334000" cy="6585185"/>
                  <wp:effectExtent b="0" l="0" r="0" t="0"/>
                  <wp:docPr descr="" title="" id="33" name="Picture"/>
                  <a:graphic>
                    <a:graphicData uri="http://schemas.openxmlformats.org/drawingml/2006/picture">
                      <pic:pic>
                        <pic:nvPicPr>
                          <pic:cNvPr descr="Figs/Low_res/merged_indices.png" id="34" name="Picture"/>
                          <pic:cNvPicPr>
                            <a:picLocks noChangeArrowheads="1" noChangeAspect="1"/>
                          </pic:cNvPicPr>
                        </pic:nvPicPr>
                        <pic:blipFill>
                          <a:blip r:embed="rId32"/>
                          <a:stretch>
                            <a:fillRect/>
                          </a:stretch>
                        </pic:blipFill>
                        <pic:spPr bwMode="auto">
                          <a:xfrm>
                            <a:off x="0" y="0"/>
                            <a:ext cx="5334000" cy="65851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Change in second Derivative (A) the second derivative at 665 nm (B), the NDVI (C), the GLI (D) and the SDI over Time. A: Mean difference and standard deviation of the second derivative of the Control and the Treatment on the final day of the experiment; B: Relative evolution of the second derivative at 665 nm between Treatment and Control groups over time across three replicates; C: Relative evolution of NDVI for the Treatment group compared to the Control group over time across three replicates; D: Relative evolution of GLI for the Treatment group relative to the Control group over time across three replicates; E: Relative evolution of SDI for the Treatment group relative to the Control group over time across three replicates. Points indicate raw data, the line represents a generalized linear model, and the shaded area the model’s standard error.</w:t>
            </w:r>
          </w:p>
          <w:bookmarkEnd w:id="35"/>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Figures of the Heatwave Paper</dc:title>
  <dc:creator/>
  <cp:keywords/>
  <dcterms:created xsi:type="dcterms:W3CDTF">2024-11-06T15:05:37Z</dcterms:created>
  <dcterms:modified xsi:type="dcterms:W3CDTF">2024-11-06T15:05:37Z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utput-dir">
    <vt:lpwstr>../docs</vt:lpwstr>
  </property>
  <property fmtid="{D5CDD505-2E9C-101B-9397-08002B2CF9AE}" pid="10" name="resources">
    <vt:lpwstr/>
  </property>
  <property fmtid="{D5CDD505-2E9C-101B-9397-08002B2CF9AE}" pid="11" name="toc-title">
    <vt:lpwstr>Table of contents</vt:lpwstr>
  </property>
</Properties>
</file>