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3.png" ContentType="image/png"/>
  <Override PartName="/word/media/rId86.png" ContentType="image/png"/>
  <Override PartName="/word/media/rId22.png" ContentType="image/png"/>
  <Override PartName="/word/media/rId97.png" ContentType="image/png"/>
  <Override PartName="/word/media/rId80.png" ContentType="image/png"/>
  <Override PartName="/word/media/rId92.png" ContentType="image/png"/>
  <Override PartName="/word/media/rId50.png" ContentType="image/png"/>
  <Override PartName="/word/media/rId55.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w:t>
      </w:r>
      <w:r>
        <w:t xml:space="preserve"> </w:t>
      </w:r>
      <w:r>
        <w:t xml:space="preserve">–</w:t>
      </w:r>
      <w:r>
        <w:t xml:space="preserve"> </w:t>
      </w:r>
      <w:r>
        <w:t xml:space="preserve">Effect</w:t>
      </w:r>
      <w:r>
        <w:t xml:space="preserve"> </w:t>
      </w:r>
      <w:r>
        <w:t xml:space="preserve">of</w:t>
      </w:r>
      <w:r>
        <w:t xml:space="preserve"> </w:t>
      </w:r>
      <w:r>
        <w:t xml:space="preserve">Atmospheric</w:t>
      </w:r>
      <w:r>
        <w:t xml:space="preserve"> </w:t>
      </w:r>
      <w:r>
        <w:t xml:space="preserve">Heatwaves</w:t>
      </w:r>
      <w:r>
        <w:t xml:space="preserve"> </w:t>
      </w:r>
      <w:r>
        <w:t xml:space="preserve">on</w:t>
      </w:r>
      <w:r>
        <w:t xml:space="preserve"> </w:t>
      </w:r>
      <w:r>
        <w:t xml:space="preserve">Reflectance</w:t>
      </w:r>
      <w:r>
        <w:t xml:space="preserve"> </w:t>
      </w:r>
      <w:r>
        <w:t xml:space="preserve">and</w:t>
      </w:r>
      <w:r>
        <w:t xml:space="preserve"> </w:t>
      </w:r>
      <w:r>
        <w:t xml:space="preserve">Pigment</w:t>
      </w:r>
      <w:r>
        <w:t xml:space="preserve"> </w:t>
      </w:r>
      <w:r>
        <w:t xml:space="preserve">Composition</w:t>
      </w:r>
      <w:r>
        <w:t xml:space="preserve"> </w:t>
      </w:r>
      <w:r>
        <w:t xml:space="preserve">of</w:t>
      </w:r>
      <w:r>
        <w:t xml:space="preserve"> </w:t>
      </w:r>
      <w:r>
        <w:t xml:space="preserve">Intertidal</w:t>
      </w:r>
      <w:r>
        <w:t xml:space="preserve"> </w:t>
      </w:r>
      <w:r>
        <w:rPr>
          <w:i/>
          <w:iCs/>
        </w:rPr>
        <w:t xml:space="preserve">Nanozostera</w:t>
      </w:r>
      <w:r>
        <w:rPr>
          <w:i/>
          <w:iCs/>
        </w:rPr>
        <w:t xml:space="preserve"> </w:t>
      </w:r>
      <w:r>
        <w:rPr>
          <w:i/>
          <w:iCs/>
        </w:rPr>
        <w:t xml:space="preserve">noltei</w:t>
      </w:r>
      <w:r>
        <w:t xml:space="preserve"> </w:t>
      </w:r>
      <w:r>
        <w:t xml:space="preserve">–</w:t>
      </w:r>
      <w:r>
        <w:t xml:space="preserve"> </w:t>
      </w:r>
      <w:r>
        <w:t xml:space="preserve">Draft</w:t>
      </w:r>
    </w:p>
    <w:p>
      <w:pPr>
        <w:pStyle w:val="Author"/>
      </w:pPr>
      <w:r>
        <w:t xml:space="preserve">Simon</w:t>
      </w:r>
      <w:r>
        <w:t xml:space="preserve"> </w:t>
      </w:r>
      <w:r>
        <w:t xml:space="preserve">Oiry</w:t>
      </w:r>
    </w:p>
    <w:p>
      <w:pPr>
        <w:pStyle w:val="Author"/>
      </w:pPr>
      <w:r>
        <w:t xml:space="preserve">Bede</w:t>
      </w:r>
      <w:r>
        <w:t xml:space="preserve"> </w:t>
      </w:r>
      <w:r>
        <w:t xml:space="preserve">Ffinian</w:t>
      </w:r>
      <w:r>
        <w:t xml:space="preserve"> </w:t>
      </w:r>
      <w:r>
        <w:t xml:space="preserve">Rowe</w:t>
      </w:r>
      <w:r>
        <w:t xml:space="preserve"> </w:t>
      </w:r>
      <w:r>
        <w:t xml:space="preserve">Davies</w:t>
      </w:r>
    </w:p>
    <w:p>
      <w:pPr>
        <w:pStyle w:val="Author"/>
      </w:pPr>
      <w:r>
        <w:t xml:space="preserve">Philippe</w:t>
      </w:r>
      <w:r>
        <w:t xml:space="preserve"> </w:t>
      </w:r>
      <w:r>
        <w:t xml:space="preserve">Rosa</w:t>
      </w:r>
    </w:p>
    <w:p>
      <w:pPr>
        <w:pStyle w:val="Author"/>
      </w:pPr>
      <w:r>
        <w:t xml:space="preserve">Augustin</w:t>
      </w:r>
      <w:r>
        <w:t xml:space="preserve"> </w:t>
      </w:r>
      <w:r>
        <w:t xml:space="preserve">Debly</w:t>
      </w:r>
    </w:p>
    <w:p>
      <w:pPr>
        <w:pStyle w:val="Author"/>
      </w:pPr>
      <w:r>
        <w:t xml:space="preserve">Maria</w:t>
      </w:r>
      <w:r>
        <w:t xml:space="preserve"> </w:t>
      </w:r>
      <w:r>
        <w:t xml:space="preserve">Laura</w:t>
      </w:r>
      <w:r>
        <w:t xml:space="preserve"> </w:t>
      </w:r>
      <w:r>
        <w:t xml:space="preserve">Zoffoli</w:t>
      </w:r>
    </w:p>
    <w:p>
      <w:pPr>
        <w:pStyle w:val="Author"/>
      </w:pPr>
      <w:r>
        <w:t xml:space="preserve">Anne-Laure</w:t>
      </w:r>
      <w:r>
        <w:t xml:space="preserve"> </w:t>
      </w:r>
      <w:r>
        <w:t xml:space="preserve">Barillé</w:t>
      </w:r>
    </w:p>
    <w:p>
      <w:pPr>
        <w:pStyle w:val="Author"/>
      </w:pPr>
      <w:r>
        <w:t xml:space="preserve">Nicolas</w:t>
      </w:r>
      <w:r>
        <w:t xml:space="preserve"> </w:t>
      </w:r>
      <w:r>
        <w:t xml:space="preserve">Harin</w:t>
      </w:r>
    </w:p>
    <w:p>
      <w:pPr>
        <w:pStyle w:val="Author"/>
      </w:pPr>
      <w:r>
        <w:t xml:space="preserve">Pierre</w:t>
      </w:r>
      <w:r>
        <w:t xml:space="preserve"> </w:t>
      </w:r>
      <w:r>
        <w:t xml:space="preserve">Gernez</w:t>
      </w:r>
    </w:p>
    <w:p>
      <w:pPr>
        <w:pStyle w:val="Author"/>
      </w:pPr>
      <w:r>
        <w:t xml:space="preserve">Laurent</w:t>
      </w:r>
      <w:r>
        <w:t xml:space="preserve"> </w:t>
      </w:r>
      <w:r>
        <w:t xml:space="preserve">Barillé</w:t>
      </w:r>
    </w:p>
    <w:p>
      <w:pPr>
        <w:pStyle w:val="Date"/>
      </w:pPr>
      <w:r>
        <w:t xml:space="preserve">2024-10-25</w:t>
      </w:r>
    </w:p>
    <w:p>
      <w:pPr>
        <w:pStyle w:val="AbstractTitle"/>
      </w:pPr>
      <w:r>
        <w:t xml:space="preserve">Abstract</w:t>
      </w:r>
    </w:p>
    <w:p>
      <w:pPr>
        <w:pStyle w:val="Abstract"/>
      </w:pPr>
      <w:r>
        <w:t xml:space="preserve">To</w:t>
      </w:r>
      <w:r>
        <w:t xml:space="preserve"> </w:t>
      </w:r>
      <w:r>
        <w:t xml:space="preserve">be</w:t>
      </w:r>
      <w:r>
        <w:t xml:space="preserve"> </w:t>
      </w:r>
      <w:r>
        <w:t xml:space="preserve">written</w:t>
      </w:r>
    </w:p>
    <w:bookmarkStart w:id="20"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(Waycott et al., 2009)</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(Sevgi and Leblebici, 2022)</w:t>
      </w:r>
      <w:r>
        <w:t xml:space="preserve"> </w:t>
      </w:r>
      <w:r>
        <w:t xml:space="preserve">Additionally, invasive species can out compete native seagrasses for resources, altering community structure and function</w:t>
      </w:r>
      <w:r>
        <w:t xml:space="preserve"> </w:t>
      </w:r>
      <w:r>
        <w:t xml:space="preserve">(Simpson et al., 2016)</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sexual recruitment</w:t>
      </w:r>
      <w:r>
        <w:t xml:space="preserve"> </w:t>
      </w:r>
      <w:r>
        <w:t xml:space="preserve">(Guerrero-Meseguer et al., 2020)</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0"/>
    <w:bookmarkStart w:id="72" w:name="material-methods"/>
    <w:p>
      <w:pPr>
        <w:pStyle w:val="Heading1"/>
      </w:pPr>
      <w:r>
        <w:t xml:space="preserve">2. Material &amp; Methods</w:t>
      </w:r>
    </w:p>
    <w:bookmarkStart w:id="49" w:name="laboratory-experiment"/>
    <w:p>
      <w:pPr>
        <w:pStyle w:val="Heading2"/>
      </w:pPr>
      <w:r>
        <w:t xml:space="preserve">2.1 Laboratory Experiment</w:t>
      </w:r>
    </w:p>
    <w:bookmarkStart w:id="21"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in a mesocosm setup, which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(Akbar et al., 2020)</w:t>
      </w:r>
      <w:r>
        <w:t xml:space="preserve">. A wave generator was used in the tank to circulate and reoxygenate the water.</w:t>
      </w:r>
    </w:p>
    <w:bookmarkEnd w:id="21"/>
    <w:bookmarkStart w:id="38" w:name="experimental-design"/>
    <w:p>
      <w:pPr>
        <w:pStyle w:val="Heading3"/>
      </w:pPr>
      <w:r>
        <w:t xml:space="preserve">2.1.2 Experimental design</w:t>
      </w:r>
    </w:p>
    <w:bookmarkStart w:id="26" w:name="cell-fig-design"/>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334000" cy="5246716"/>
                  <wp:effectExtent b="0" l="0" r="0" t="0"/>
                  <wp:docPr descr="" title="" id="23" name="Picture"/>
                  <a:graphic>
                    <a:graphicData uri="http://schemas.openxmlformats.org/drawingml/2006/picture">
                      <pic:pic>
                        <pic:nvPicPr>
                          <pic:cNvPr descr="Figs/Low_res/Experimental_design.png" id="24" name="Picture"/>
                          <pic:cNvPicPr>
                            <a:picLocks noChangeArrowheads="1" noChangeAspect="1"/>
                          </pic:cNvPicPr>
                        </pic:nvPicPr>
                        <pic:blipFill>
                          <a:blip r:embed="rId22"/>
                          <a:stretch>
                            <a:fillRect/>
                          </a:stretch>
                        </pic:blipFill>
                        <pic:spPr bwMode="auto">
                          <a:xfrm>
                            <a:off x="0" y="0"/>
                            <a:ext cx="5334000" cy="52467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5"/>
        </w:tc>
      </w:tr>
    </w:tbl>
    <w:bookmarkEnd w:id="26"/>
    <w:p>
      <w:pPr>
        <w:pStyle w:val="BodyText"/>
      </w:pPr>
      <w:r>
        <w:t xml:space="preserve">Two intertidal chambers from</w:t>
      </w:r>
      <w:r>
        <w:t xml:space="preserve"> </w:t>
      </w:r>
      <w:hyperlink r:id="rId27">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2" w:name="cell-fig-Temperature_Bourgneuf"/>
    <w:tbl>
      <w:tblPr>
        <w:tblStyle w:val="Table"/>
        <w:tblW w:type="pct" w:w="5000"/>
        <w:tblLayout w:type="fixed"/>
        <w:tblLook w:firstRow="0" w:lastRow="0" w:firstColumn="0" w:lastColumn="0" w:noHBand="0" w:noVBand="0" w:val="0000"/>
      </w:tblPr>
      <w:tblGrid>
        <w:gridCol w:w="7920"/>
      </w:tblGrid>
      <w:tr>
        <w:tc>
          <w:tcPr/>
          <w:bookmarkStart w:id="31" w:name="fig-Temperature_Bourgneuf"/>
          <w:p>
            <w:pPr>
              <w:pStyle w:val="Compact"/>
              <w:jc w:val="center"/>
            </w:pPr>
            <w:r>
              <w:drawing>
                <wp:inline>
                  <wp:extent cx="4267200" cy="4267200"/>
                  <wp:effectExtent b="0" l="0" r="0" t="0"/>
                  <wp:docPr descr="" title="" id="29" name="Picture"/>
                  <a:graphic>
                    <a:graphicData uri="http://schemas.openxmlformats.org/drawingml/2006/picture">
                      <pic:pic>
                        <pic:nvPicPr>
                          <pic:cNvPr descr="Figs/High_res/Temperature_compare.png" id="30" name="Picture"/>
                          <pic:cNvPicPr>
                            <a:picLocks noChangeArrowheads="1" noChangeAspect="1"/>
                          </pic:cNvPicPr>
                        </pic:nvPicPr>
                        <pic:blipFill>
                          <a:blip r:embed="rId28"/>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bookmarkEnd w:id="31"/>
        </w:tc>
      </w:tr>
    </w:tbl>
    <w:bookmarkEnd w:id="32"/>
    <w:p>
      <w:pPr>
        <w:pStyle w:val="BodyText"/>
      </w:pPr>
      <w:r>
        <w:t xml:space="preserve">To experimentally apply temperatures that closely mimic those experienced by seagrasses in the field,</w:t>
      </w:r>
      <w:r>
        <w:t xml:space="preserve"> </w:t>
      </w:r>
      <w:r>
        <w:rPr>
          <w:i/>
          <w:iCs/>
        </w:rPr>
        <w:t xml:space="preserve">in situ</w:t>
      </w:r>
      <w:r>
        <w:t xml:space="preserve"> </w:t>
      </w:r>
      <w:r>
        <w:t xml:space="preserve">temperature sensors were placed at the sampling site in Bourgneuf Bay during August 2024. The daily maximum temperatures recorded by the</w:t>
      </w:r>
      <w:r>
        <w:t xml:space="preserve"> </w:t>
      </w:r>
      <w:r>
        <w:rPr>
          <w:i/>
          <w:iCs/>
        </w:rPr>
        <w:t xml:space="preserve">in situ</w:t>
      </w:r>
      <w:r>
        <w:t xml:space="preserve"> </w:t>
      </w:r>
      <w:r>
        <w:t xml:space="preserve">sensors were compared to those measured by the nearest weather station operated by Meteo France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Meteo France temperatures were more stable compared to those from the</w:t>
      </w:r>
      <w:r>
        <w:t xml:space="preserve"> </w:t>
      </w:r>
      <w:r>
        <w:rPr>
          <w:i/>
          <w:iCs/>
        </w:rPr>
        <w:t xml:space="preserve">in situ</w:t>
      </w:r>
      <w:r>
        <w:t xml:space="preserve"> </w:t>
      </w:r>
      <w:r>
        <w:t xml:space="preserve">sensor. This stability is explained by the fact that Meteo France temperatures are measured in a sheltered, shaded location . This offset was used to adjust heatwave temperatures measured by Meteo France to reflect the conditions experienced by the seagrasses.</w:t>
      </w:r>
    </w:p>
    <w:p>
      <w:pPr>
        <w:pStyle w:val="BodyText"/>
      </w:pPr>
      <w:r>
        <w:t xml:space="preserve">The control chamber was maintained at temperatures representative of the typical seasonal conditions: water temperatures between 18°C and 19°C and air temperatures between 18°C and 23°C, following circadian temperature variability (</w:t>
      </w:r>
      <w:hyperlink w:anchor="fig-Profile">
        <w:r>
          <w:rPr>
            <w:rStyle w:val="Hyperlink"/>
          </w:rPr>
          <w:t xml:space="preserve">Figure 3</w:t>
        </w:r>
      </w:hyperlink>
      <w:r>
        <w:t xml:space="preserve"> </w:t>
      </w:r>
      <w:r>
        <w:t xml:space="preserve">left). For the experimental treatment, the air temperature was set to mimic an atmospheric heatwave that occurred over the seagrass meadow of Quiberon, France (47°35’40.0”N, 3°07’30.0”W) from September 2, 2021, to September 6, 2021. On the first day of the experiment, air temperatures in the experimental chamber were set to range from 23°C at night to 35°C during the day, with a daily increase of 1°C. The water temperature in the experimental chamber was similarly adjusted to reflect the heatwave conditions, starting from the normal seasonal range (18°C) and gradually increasing to simulate the rising temperatures experienced during the heatwave (+0.5°C daily).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stops only when no changes in the reflectance of the treatment are observed for 2 consecutive days.</w:t>
      </w:r>
    </w:p>
    <w:bookmarkStart w:id="37" w:name="cell-fig-Profile"/>
    <w:tbl>
      <w:tblPr>
        <w:tblStyle w:val="Table"/>
        <w:tblW w:type="pct" w:w="5000"/>
        <w:tblLayout w:type="fixed"/>
        <w:tblLook w:firstRow="0" w:lastRow="0" w:firstColumn="0" w:lastColumn="0" w:noHBand="0" w:noVBand="0" w:val="0000"/>
      </w:tblPr>
      <w:tblGrid>
        <w:gridCol w:w="7920"/>
      </w:tblGrid>
      <w:tr>
        <w:tc>
          <w:tcPr/>
          <w:bookmarkStart w:id="36" w:name="fig-Profile"/>
          <w:p>
            <w:pPr>
              <w:pStyle w:val="Compact"/>
              <w:jc w:val="center"/>
            </w:pPr>
            <w:r>
              <w:drawing>
                <wp:inline>
                  <wp:extent cx="5334000" cy="2439728"/>
                  <wp:effectExtent b="0" l="0" r="0" t="0"/>
                  <wp:docPr descr="" title="" id="34" name="Picture"/>
                  <a:graphic>
                    <a:graphicData uri="http://schemas.openxmlformats.org/drawingml/2006/picture">
                      <pic:pic>
                        <pic:nvPicPr>
                          <pic:cNvPr descr="Figs/Low_res/Chamber_Profils.png" id="35" name="Picture"/>
                          <pic:cNvPicPr>
                            <a:picLocks noChangeArrowheads="1" noChangeAspect="1"/>
                          </pic:cNvPicPr>
                        </pic:nvPicPr>
                        <pic:blipFill>
                          <a:blip r:embed="rId33"/>
                          <a:stretch>
                            <a:fillRect/>
                          </a:stretch>
                        </pic:blipFill>
                        <pic:spPr bwMode="auto">
                          <a:xfrm>
                            <a:off x="0" y="0"/>
                            <a:ext cx="5334000" cy="2439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6"/>
        </w:tc>
      </w:tr>
    </w:tbl>
    <w:bookmarkEnd w:id="37"/>
    <w:bookmarkEnd w:id="38"/>
    <w:bookmarkStart w:id="48" w:name="Xace924ada36ed3f851fe125e1fb1311c1764a5d"/>
    <w:p>
      <w:pPr>
        <w:pStyle w:val="Heading3"/>
      </w:pPr>
      <w:r>
        <w:t xml:space="preserve">2.1.3 Bio-optical measurmenents over seagrass leaves</w:t>
      </w:r>
    </w:p>
    <w:bookmarkStart w:id="46"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39">
        <w:r>
          <w:rPr>
            <w:rStyle w:val="Hyperlink"/>
          </w:rPr>
          <w:t xml:space="preserve">RS3 softaware</w:t>
        </w:r>
      </w:hyperlink>
      <w:r>
        <w:t xml:space="preserve"> </w:t>
      </w:r>
      <w:r>
        <w:t xml:space="preserve">developed by the intrument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(1974)</w:t>
      </w:r>
      <w:r>
        <w:t xml:space="preserve">), as a proxy of the concentration of chlorophyll-a (</w:t>
      </w:r>
      <w:hyperlink w:anchor="eq-ndvi">
        <w:r>
          <w:rPr>
            <w:rStyle w:val="Hyperlink"/>
          </w:rPr>
          <w:t xml:space="preserve">Equation 1</w:t>
        </w:r>
      </w:hyperlink>
      <w:r>
        <w:t xml:space="preserve">)</w:t>
      </w:r>
    </w:p>
    <w:p>
      <w:pPr>
        <w:pStyle w:val="FirstParagraph"/>
      </w:pPr>
      <w:bookmarkStart w:id="40"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0"/>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(2020)</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1"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1"/>
    </w:p>
    <w:p>
      <w:pPr>
        <w:pStyle w:val="Compact"/>
        <w:numPr>
          <w:ilvl w:val="0"/>
          <w:numId w:val="1003"/>
        </w:numPr>
      </w:pPr>
      <w:r>
        <w:t xml:space="preserve">The Green Leaf Index (GLI,</w:t>
      </w:r>
      <w:r>
        <w:t xml:space="preserve"> </w:t>
      </w:r>
      <w:r>
        <w:t xml:space="preserve">Louhaichi et al. (2001)</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2"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2"/>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Compact"/>
        <w:numPr>
          <w:ilvl w:val="0"/>
          <w:numId w:val="1004"/>
        </w:numPr>
      </w:pPr>
      <w:r>
        <w:t xml:space="preserve">The Mid-Infrared Water Absorption Index (MIWAI), proposed here and designed to measure water absorption at 970 nm (</w:t>
      </w:r>
      <w:r>
        <w:rPr>
          <w:b/>
          <w:bCs/>
        </w:rPr>
        <w:t xml:space="preserve">REF</w:t>
      </w:r>
      <w:r>
        <w:t xml:space="preserve">), estimates the difference between the reflectance at 970 nm and a linear interpolation of the reflectance values at 950 and 990 nm. This interpolation represents the expected reflectance value in the absence of water.</w:t>
      </w:r>
    </w:p>
    <w:p>
      <w:pPr>
        <w:pStyle w:val="FirstParagraph"/>
      </w:pPr>
      <w:bookmarkStart w:id="43" w:name="eq-MIWAI"/>
      <m:oMathPara>
        <m:oMathParaPr>
          <m:jc m:val="center"/>
        </m:oMathParaPr>
        <m:oMath>
          <m:r>
            <m:t>M</m:t>
          </m:r>
          <m:r>
            <m:t>I</m:t>
          </m:r>
          <m:r>
            <m:t>W</m:t>
          </m:r>
          <m:r>
            <m:t>A</m:t>
          </m:r>
          <m:r>
            <m:t>I</m:t>
          </m:r>
          <m:r>
            <m:rPr>
              <m:sty m:val="p"/>
            </m:rPr>
            <m:t>=</m:t>
          </m:r>
          <m:r>
            <m:t>0.5</m:t>
          </m:r>
          <m:r>
            <m:rPr>
              <m:sty m:val="p"/>
            </m:rPr>
            <m:t>×</m:t>
          </m:r>
          <m:d>
            <m:dPr>
              <m:begChr m:val="["/>
              <m:endChr m:val="]"/>
              <m:sepChr m:val=""/>
              <m:grow/>
            </m:dPr>
            <m:e>
              <m:r>
                <m:t>R</m:t>
              </m:r>
              <m:d>
                <m:dPr>
                  <m:begChr m:val="("/>
                  <m:endChr m:val=")"/>
                  <m:sepChr m:val=""/>
                  <m:grow/>
                </m:dPr>
                <m:e>
                  <m:r>
                    <m:t>990</m:t>
                  </m:r>
                </m:e>
              </m:d>
              <m:r>
                <m:rPr>
                  <m:sty m:val="p"/>
                </m:rPr>
                <m:t>+</m:t>
              </m:r>
              <m:r>
                <m:t>R</m:t>
              </m:r>
              <m:d>
                <m:dPr>
                  <m:begChr m:val="("/>
                  <m:endChr m:val=")"/>
                  <m:sepChr m:val=""/>
                  <m:grow/>
                </m:dPr>
                <m:e>
                  <m:r>
                    <m:t>950</m:t>
                  </m:r>
                </m:e>
              </m:d>
            </m:e>
          </m:d>
          <m:r>
            <m:rPr>
              <m:sty m:val="p"/>
            </m:rPr>
            <m:t>−</m:t>
          </m:r>
          <m:r>
            <m:t>R</m:t>
          </m:r>
          <m:d>
            <m:dPr>
              <m:begChr m:val="("/>
              <m:endChr m:val=")"/>
              <m:sepChr m:val=""/>
              <m:grow/>
            </m:dPr>
            <m:e>
              <m:r>
                <m:t>970</m:t>
              </m:r>
            </m:e>
          </m:d>
          <m:r>
            <m:t>  </m:t>
          </m:r>
          <m:d>
            <m:dPr>
              <m:begChr m:val="("/>
              <m:endChr m:val=")"/>
              <m:sepChr m:val=""/>
              <m:grow/>
            </m:dPr>
            <m:e>
              <m:r>
                <m:t>4</m:t>
              </m:r>
            </m:e>
          </m:d>
        </m:oMath>
      </m:oMathPara>
      <w:bookmarkEnd w:id="43"/>
    </w:p>
    <w:p>
      <w:pPr>
        <w:pStyle w:val="FirstParagraph"/>
      </w:pPr>
      <w:r>
        <w:t xml:space="preserve">where</w:t>
      </w:r>
      <w:r>
        <w:t xml:space="preserve"> </w:t>
      </w:r>
      <m:oMath>
        <m:r>
          <m:t>R</m:t>
        </m:r>
        <m:d>
          <m:dPr>
            <m:begChr m:val="("/>
            <m:endChr m:val=")"/>
            <m:sepChr m:val=""/>
            <m:grow/>
          </m:dPr>
          <m:e>
            <m:r>
              <m:t>990</m:t>
            </m:r>
          </m:e>
        </m:d>
      </m:oMath>
      <w:r>
        <w:t xml:space="preserve">,</w:t>
      </w:r>
      <w:r>
        <w:t xml:space="preserve"> </w:t>
      </w:r>
      <m:oMath>
        <m:r>
          <m:t>R</m:t>
        </m:r>
        <m:d>
          <m:dPr>
            <m:begChr m:val="("/>
            <m:endChr m:val=")"/>
            <m:sepChr m:val=""/>
            <m:grow/>
          </m:dPr>
          <m:e>
            <m:r>
              <m:t>970</m:t>
            </m:r>
          </m:e>
        </m:d>
      </m:oMath>
      <w:r>
        <w:t xml:space="preserve"> </w:t>
      </w:r>
      <w:r>
        <w:t xml:space="preserve">and</w:t>
      </w:r>
      <w:r>
        <w:t xml:space="preserve"> </w:t>
      </w:r>
      <m:oMath>
        <m:r>
          <m:t>R</m:t>
        </m:r>
        <m:d>
          <m:dPr>
            <m:begChr m:val="("/>
            <m:endChr m:val=")"/>
            <m:sepChr m:val=""/>
            <m:grow/>
          </m:dPr>
          <m:e>
            <m:r>
              <m:t>950</m:t>
            </m:r>
          </m:e>
        </m:d>
      </m:oMath>
      <w:r>
        <w:t xml:space="preserve"> </w:t>
      </w:r>
      <w:r>
        <w:t xml:space="preserve">are the reflectance in the infrared at 990, 970 and 950 nm, respectively.</w:t>
      </w:r>
    </w:p>
    <w:p>
      <w:pPr>
        <w:pStyle w:val="Heading4"/>
      </w:pPr>
      <w:bookmarkStart w:id="44" w:name="X3a31938bf86539c795284ace62579f9561da96a"/>
      <w:r>
        <w:t xml:space="preserve">2.1.3.2 WILL BE REMOVED - Multispectral imagery measurement</w:t>
      </w:r>
      <w:bookmarkEnd w:id="44"/>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5">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bookmarkEnd w:id="46"/>
    <w:bookmarkStart w:id="47" w:name="pigment-concentration-measurements"/>
    <w:p>
      <w:pPr>
        <w:pStyle w:val="Heading4"/>
      </w:pPr>
      <w:r>
        <w:t xml:space="preserve">2.1.3.3 Pigment concentration measurements</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7"/>
    <w:bookmarkEnd w:id="48"/>
    <w:bookmarkEnd w:id="49"/>
    <w:bookmarkStart w:id="71"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tbl>
      <w:tblPr>
        <w:tblStyle w:val="Table"/>
        <w:tblW w:type="pct" w:w="5000"/>
        <w:tblLayout w:type="fixed"/>
        <w:tblLook w:firstRow="0" w:lastRow="0" w:firstColumn="0" w:lastColumn="0" w:noHBand="0" w:noVBand="0" w:val="0000"/>
      </w:tblPr>
      <w:tblGrid>
        <w:gridCol w:w="7920"/>
      </w:tblGrid>
      <w:tr>
        <w:tc>
          <w:tcPr/>
          <w:bookmarkStart w:id="53" w:name="fig-quiberonMap"/>
          <w:p>
            <w:pPr>
              <w:pStyle w:val="Compact"/>
              <w:jc w:val="center"/>
            </w:pPr>
            <w:r>
              <w:drawing>
                <wp:inline>
                  <wp:extent cx="5334000" cy="5456777"/>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334000" cy="5456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bookmarkEnd w:id="53"/>
        </w:tc>
      </w:tr>
    </w:tbl>
    <w:bookmarkEnd w:id="54"/>
    <w:p>
      <w:pPr>
        <w:pStyle w:val="BodyText"/>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darkening of seagrasses have been observed, resulting in the darkening of seagrass leaves over large area of the meadow (</w:t>
      </w:r>
      <w:hyperlink w:anchor="fig-QuiberonImg">
        <w:r>
          <w:rPr>
            <w:rStyle w:val="Hyperlink"/>
          </w:rPr>
          <w:t xml:space="preserve">Figure 5</w:t>
        </w:r>
      </w:hyperlink>
      <w:r>
        <w:t xml:space="preserve"> </w:t>
      </w:r>
      <w:r>
        <w:t xml:space="preserve">C &amp; D). During this field trip, drone flights were conducted over two areas of the seagrass meadow using a DJI Matrice 200 equipped with a Sequoia Multispectral camera. The Sequoia captures four spectral bands: Green (550 ± 40 nm), Red (660 ± 40 nm), RedEdge (735 ± 10 nm), and Near Infrared (790 ± 40 nm). A total of 122 Ground Control Points (GCPs) were collected in the form of georeferenced quadrat images across the meadow .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tbl>
      <w:tblPr>
        <w:tblStyle w:val="Table"/>
        <w:tblW w:type="pct" w:w="5000"/>
        <w:tblLayout w:type="fixed"/>
        <w:tblLook w:firstRow="0" w:lastRow="0" w:firstColumn="0" w:lastColumn="0" w:noHBand="0" w:noVBand="0" w:val="0000"/>
      </w:tblPr>
      <w:tblGrid>
        <w:gridCol w:w="7920"/>
      </w:tblGrid>
      <w:tr>
        <w:tc>
          <w:tcPr/>
          <w:bookmarkStart w:id="58" w:name="fig-QuiberonImg"/>
          <w:p>
            <w:pPr>
              <w:pStyle w:val="Compact"/>
              <w:jc w:val="center"/>
            </w:pPr>
            <w:r>
              <w:drawing>
                <wp:inline>
                  <wp:extent cx="5334000" cy="3526559"/>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334000" cy="35265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bookmarkEnd w:id="58"/>
        </w:tc>
      </w:tr>
    </w:tbl>
    <w:bookmarkEnd w:id="59"/>
    <w:bookmarkEnd w:id="60"/>
    <w:bookmarkStart w:id="64" w:name="X73fb4b6725bb43bdc3c17946b41d73eba45f33b"/>
    <w:p>
      <w:pPr>
        <w:pStyle w:val="Heading3"/>
      </w:pPr>
      <w:r>
        <w:t xml:space="preserve">2.2.2 Temparature Data and identification of heatwaves</w:t>
      </w:r>
    </w:p>
    <w:bookmarkStart w:id="62"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 Following the methodology of</w:t>
      </w:r>
      <w:r>
        <w:t xml:space="preserve"> </w:t>
      </w:r>
      <w:r>
        <w:t xml:space="preserve">Schlegel et al. (2017)</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bookmarkEnd w:id="62"/>
    <w:bookmarkStart w:id="63"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the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63"/>
    <w:bookmarkEnd w:id="64"/>
    <w:bookmarkStart w:id="65"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5"/>
    <w:bookmarkStart w:id="70" w:name="emersion-time-of-seagrasses"/>
    <w:p>
      <w:pPr>
        <w:pStyle w:val="Heading3"/>
      </w:pPr>
      <w:r>
        <w:t xml:space="preserve">2.2.4 Emersion Time of Seagrasses</w:t>
      </w:r>
    </w:p>
    <w:p>
      <w:pPr>
        <w:pStyle w:val="FirstParagraph"/>
      </w:pPr>
      <w:r>
        <w:t xml:space="preserve">To estimate the emersion time of seagrasses during low tide, both bathymetric and tidal data are required.</w:t>
      </w:r>
    </w:p>
    <w:bookmarkStart w:id="66" w:name="bathymetry"/>
    <w:p>
      <w:pPr>
        <w:pStyle w:val="Heading4"/>
      </w:pPr>
      <w:r>
        <w:t xml:space="preserve">2.2.4.1 Bathymetry</w:t>
      </w:r>
    </w:p>
    <w:p>
      <w:pPr>
        <w:pStyle w:val="FirstParagraph"/>
      </w:pPr>
      <w:r>
        <w:t xml:space="preserve">Bathymetry data for the study site were obtained from the</w:t>
      </w:r>
      <w:r>
        <w:t xml:space="preserve"> </w:t>
      </w:r>
      <w:r>
        <w:t xml:space="preserve">“</w:t>
      </w:r>
      <w:r>
        <w:t xml:space="preserve">Service Hydrographique et Océanographique de la Marine</w:t>
      </w:r>
      <w:r>
        <w:t xml:space="preserve">”</w:t>
      </w:r>
      <w:r>
        <w:t xml:space="preserve"> </w:t>
      </w:r>
      <w:r>
        <w:t xml:space="preserve">(SHOM, 2021)</w:t>
      </w:r>
      <w:r>
        <w:t xml:space="preserve">. Litto3D® is a continuous land-sea elevation database providing a three-dimensional representation of ground shape and position along the coastal fringe of French territory, acquired through airborne bathymetric lidar over the sea and airborne topographic lidar up to 2 km inland, and is available as a gridded digital terrain model. This dataset is The reference</w:t>
      </w:r>
      <w:r>
        <w:t xml:space="preserve"> </w:t>
      </w:r>
      <w:r>
        <w:t xml:space="preserve">“</w:t>
      </w:r>
      <w:r>
        <w:t xml:space="preserve">zero</w:t>
      </w:r>
      <w:r>
        <w:t xml:space="preserve">”</w:t>
      </w:r>
      <w:r>
        <w:t xml:space="preserve"> </w:t>
      </w:r>
      <w:r>
        <w:t xml:space="preserve">of this product is based on the NGF/IGN69, which refers to the mean sea level recorded at the Marseille tide gauge between 1885 and 1897. This reference is known as the Terrestrial Altimetric Zero.</w:t>
      </w:r>
    </w:p>
    <w:bookmarkEnd w:id="66"/>
    <w:bookmarkStart w:id="67" w:name="tides"/>
    <w:p>
      <w:pPr>
        <w:pStyle w:val="Heading4"/>
      </w:pPr>
      <w:r>
        <w:t xml:space="preserve">2.2.4.2 Tides</w:t>
      </w:r>
    </w:p>
    <w:p>
      <w:pPr>
        <w:pStyle w:val="FirstParagraph"/>
      </w:pPr>
      <w:r>
        <w:t xml:space="preserve">Tidal data for the heatwave events at the study site were downloaded from the Intergovernmental Oceanographic Commission data portal</w:t>
      </w:r>
      <w:r>
        <w:t xml:space="preserve"> </w:t>
      </w:r>
      <w:r>
        <w:t xml:space="preserve">(IOC, 2024)</w:t>
      </w:r>
      <w:r>
        <w:t xml:space="preserve">, for the nearest tide gauge located at Le Conquet. The</w:t>
      </w:r>
      <w:r>
        <w:t xml:space="preserve"> </w:t>
      </w:r>
      <w:r>
        <w:t xml:space="preserve">“</w:t>
      </w:r>
      <w:r>
        <w:t xml:space="preserve">zero</w:t>
      </w:r>
      <w:r>
        <w:t xml:space="preserve">”</w:t>
      </w:r>
      <w:r>
        <w:t xml:space="preserve"> </w:t>
      </w:r>
      <w:r>
        <w:t xml:space="preserve">for this dataset corresponds to the lowest astronomical tide, also known as the Hydrographic Zero.</w:t>
      </w:r>
    </w:p>
    <w:bookmarkEnd w:id="67"/>
    <w:bookmarkStart w:id="68" w:name="Xbf264478f974180ffb3bdd3c25bd1d9918635ab"/>
    <w:p>
      <w:pPr>
        <w:pStyle w:val="Heading4"/>
      </w:pPr>
      <w:r>
        <w:t xml:space="preserve">2.2.4.3 Reference intercalibration of both dataset</w:t>
      </w:r>
    </w:p>
    <w:p>
      <w:pPr>
        <w:pStyle w:val="FirstParagraph"/>
      </w:pPr>
      <w:r>
        <w:t xml:space="preserve">Since the altitude references of these two datasets differ, a correction factor must be applied to adjust the reference of one dataset to match the other. The SHOM annually provides a document called</w:t>
      </w:r>
      <w:r>
        <w:t xml:space="preserve"> </w:t>
      </w:r>
      <w:r>
        <w:t xml:space="preserve">“</w:t>
      </w:r>
      <w:r>
        <w:t xml:space="preserve">Références Altimétriques Marines</w:t>
      </w:r>
      <w:r>
        <w:t xml:space="preserve">”</w:t>
      </w:r>
      <w:r>
        <w:t xml:space="preserve"> </w:t>
      </w:r>
      <w:r>
        <w:t xml:space="preserve">(RAM, Shom, 2022)</w:t>
      </w:r>
      <w:r>
        <w:t xml:space="preserve">, which includes correction factors for each seaport along the French coastline. These factors allow, among other things, the conversion of the Terrestrial Altimetric Zero to the Hydrographic Zero. For Le Conquet, the correction factor is 2.850 meters.</w:t>
      </w:r>
    </w:p>
    <w:bookmarkEnd w:id="68"/>
    <w:bookmarkStart w:id="69" w:name="Xa3b522ab30594bb5e4b015ea8aec7ba7e451579"/>
    <w:p>
      <w:pPr>
        <w:pStyle w:val="Heading4"/>
      </w:pPr>
      <w:r>
        <w:t xml:space="preserve">2.2.4.4 Emersion time of each pixels of the Digital Elevation Model</w:t>
      </w:r>
    </w:p>
    <w:p>
      <w:pPr>
        <w:pStyle w:val="FirstParagraph"/>
      </w:pPr>
      <w:r>
        <w:t xml:space="preserve">Once the tidal and bathymetric datasets are aligned to the same reference, water height can be directly compared to ground elevation. For each pixel in the DEM, the elevation was compared to water height across all time points during the heatwave event. Instances when the water level fell below the pixel’s elevation were summed to calculate the total emergence time for each pixel.</w:t>
      </w:r>
    </w:p>
    <w:bookmarkEnd w:id="69"/>
    <w:bookmarkEnd w:id="70"/>
    <w:bookmarkEnd w:id="71"/>
    <w:bookmarkEnd w:id="72"/>
    <w:bookmarkStart w:id="104" w:name="results"/>
    <w:p>
      <w:pPr>
        <w:pStyle w:val="Heading1"/>
      </w:pPr>
      <w:r>
        <w:t xml:space="preserve">3. Results</w:t>
      </w:r>
    </w:p>
    <w:bookmarkStart w:id="79" w:name="laboratory-experiment-1"/>
    <w:p>
      <w:pPr>
        <w:pStyle w:val="Heading2"/>
      </w:pPr>
      <w:r>
        <w:t xml:space="preserve">3.1 Laboratory Experiment</w:t>
      </w:r>
    </w:p>
    <w:bookmarkStart w:id="78"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minimal changes in intensity and shape. The slight variations in spectral shape observed in this group are due to water evaporation during each low tide. Initially, the sample is very wet at the start of low tide but dries progressively, reaching peak dryness just before the tide rises again. This variation in water content induces variations in the reflectance spectra. Overall, the reflectance spectra for the Control group displayed a peak at 560 nm (in the green region), low values at 665 nm (indicative of strong chlorophyll-a absorption), and a high infrared plateau (&gt;705 nm)</w:t>
      </w:r>
      <w:r>
        <w:t xml:space="preserve"> </w:t>
      </w:r>
      <w:hyperlink w:anchor="fig-Exp_Spectra">
        <w:r>
          <w:rPr>
            <w:rStyle w:val="Hyperlink"/>
          </w:rPr>
          <w:t xml:space="preserve">Figure 6</w:t>
        </w:r>
      </w:hyperlink>
      <w:r>
        <w:t xml:space="preserve">.</w:t>
      </w:r>
      <w:r>
        <w:t xml:space="preserve"> </w:t>
      </w:r>
      <w:r>
        <w:t xml:space="preserve">In contrast to the Control group, the Treatment group shows more pronounced changes in reflectance over time. Initially, at the start of the experiment (T0), reflectance values are comparable to those measured in the Control group, particularly in the visible region, with a notable peak around 560 nm (green region) and a distinct trough at 665 nm, indicating chlorophyll-a absorption. From T24 onward, reflectance tends to decrease across all wavelengths, especially in the green (560 nm) and near-infrared regions (&gt;705 nm). By T48, the near-infrared reflectance stabilizes at levels similar to those observed at T24. However, in the green region, the drop in reflectance continues slightly. Additionally, there is a slight increase in reflectance in the red region (665 nm) between T24 and T48, which may be associated with a reduction in chlorophyll-a concentration</w:t>
      </w:r>
      <w:r>
        <w:t xml:space="preserve"> </w:t>
      </w:r>
      <w:hyperlink w:anchor="fig-Exp_Spectra">
        <w:r>
          <w:rPr>
            <w:rStyle w:val="Hyperlink"/>
          </w:rPr>
          <w:t xml:space="preserve">Figure 6</w:t>
        </w:r>
      </w:hyperlink>
      <w:r>
        <w:t xml:space="preserve">.</w:t>
      </w:r>
    </w:p>
    <w:bookmarkStart w:id="77" w:name="cell-fig-Exp_Spectra"/>
    <w:tbl>
      <w:tblPr>
        <w:tblStyle w:val="Table"/>
        <w:tblW w:type="pct" w:w="5000"/>
        <w:tblLayout w:type="fixed"/>
        <w:tblLook w:firstRow="0" w:lastRow="0" w:firstColumn="0" w:lastColumn="0" w:noHBand="0" w:noVBand="0" w:val="0000"/>
      </w:tblPr>
      <w:tblGrid>
        <w:gridCol w:w="7920"/>
      </w:tblGrid>
      <w:tr>
        <w:tc>
          <w:tcPr/>
          <w:bookmarkStart w:id="76" w:name="fig-Exp_Spectra"/>
          <w:p>
            <w:pPr>
              <w:pStyle w:val="Compact"/>
              <w:jc w:val="center"/>
            </w:pPr>
            <w:r>
              <w:drawing>
                <wp:inline>
                  <wp:extent cx="5334000" cy="2667000"/>
                  <wp:effectExtent b="0" l="0" r="0" t="0"/>
                  <wp:docPr descr="" title="" id="74" name="Picture"/>
                  <a:graphic>
                    <a:graphicData uri="http://schemas.openxmlformats.org/drawingml/2006/picture">
                      <pic:pic>
                        <pic:nvPicPr>
                          <pic:cNvPr descr="Figs/Low_res/plot_Spectra_exp.png" id="75" name="Picture"/>
                          <pic:cNvPicPr>
                            <a:picLocks noChangeArrowheads="1" noChangeAspect="1"/>
                          </pic:cNvPicPr>
                        </pic:nvPicPr>
                        <pic:blipFill>
                          <a:blip r:embed="rId7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bookmarkEnd w:id="76"/>
        </w:tc>
      </w:tr>
    </w:tbl>
    <w:bookmarkEnd w:id="77"/>
    <w:bookmarkEnd w:id="78"/>
    <w:bookmarkEnd w:id="79"/>
    <w:bookmarkStart w:id="103" w:name="heatwaves-of-quiberon"/>
    <w:p>
      <w:pPr>
        <w:pStyle w:val="Heading2"/>
      </w:pPr>
      <w:r>
        <w:t xml:space="preserve">3.2 Heatwaves of Quiberon</w:t>
      </w:r>
    </w:p>
    <w:bookmarkStart w:id="85"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7</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7</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7</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7</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7</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7</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84" w:name="cell-fig-S2_comparison"/>
    <w:tbl>
      <w:tblPr>
        <w:tblStyle w:val="Table"/>
        <w:tblW w:type="pct" w:w="5000"/>
        <w:tblLayout w:type="fixed"/>
        <w:tblLook w:firstRow="0" w:lastRow="0" w:firstColumn="0" w:lastColumn="0" w:noHBand="0" w:noVBand="0" w:val="0000"/>
      </w:tblPr>
      <w:tblGrid>
        <w:gridCol w:w="7920"/>
      </w:tblGrid>
      <w:tr>
        <w:tc>
          <w:tcPr/>
          <w:bookmarkStart w:id="83" w:name="fig-S2_comparison"/>
          <w:p>
            <w:pPr>
              <w:pStyle w:val="Compact"/>
              <w:jc w:val="center"/>
            </w:pPr>
            <w:r>
              <w:drawing>
                <wp:inline>
                  <wp:extent cx="5334000" cy="4536179"/>
                  <wp:effectExtent b="0" l="0" r="0" t="0"/>
                  <wp:docPr descr="" title="" id="81" name="Picture"/>
                  <a:graphic>
                    <a:graphicData uri="http://schemas.openxmlformats.org/drawingml/2006/picture">
                      <pic:pic>
                        <pic:nvPicPr>
                          <pic:cNvPr descr="Figs/Low_res/Heatwaves_S2_plot.png" id="82" name="Picture"/>
                          <pic:cNvPicPr>
                            <a:picLocks noChangeArrowheads="1" noChangeAspect="1"/>
                          </pic:cNvPicPr>
                        </pic:nvPicPr>
                        <pic:blipFill>
                          <a:blip r:embed="rId80"/>
                          <a:stretch>
                            <a:fillRect/>
                          </a:stretch>
                        </pic:blipFill>
                        <pic:spPr bwMode="auto">
                          <a:xfrm>
                            <a:off x="0" y="0"/>
                            <a:ext cx="5334000" cy="4536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bookmarkEnd w:id="83"/>
        </w:tc>
      </w:tr>
    </w:tbl>
    <w:bookmarkEnd w:id="84"/>
    <w:bookmarkEnd w:id="85"/>
    <w:bookmarkStart w:id="91" w:name="radiometric-indices-comparison"/>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8</w:t>
        </w:r>
      </w:hyperlink>
      <w:r>
        <w:t xml:space="preserve">, left column) In contrast, seagrass darkened by the heatwave exhibited a significant decrease in both index values and SPC (</w:t>
      </w:r>
      <w:hyperlink w:anchor="fig-NDVI_GLI_SPC">
        <w:r>
          <w:rPr>
            <w:rStyle w:val="Hyperlink"/>
          </w:rPr>
          <w:t xml:space="preserve">Figure 8</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8</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8</w:t>
        </w:r>
      </w:hyperlink>
      <w:r>
        <w:t xml:space="preserve"> </w:t>
      </w:r>
      <w:r>
        <w:t xml:space="preserve">D). The GLI, the index that reflects the greenness of leaves, was the most affected by the event, with an important reduction from a median of 0.15 to 0.02 during the event (</w:t>
      </w:r>
      <w:hyperlink w:anchor="fig-NDVI_GLI_SPC">
        <w:r>
          <w:rPr>
            <w:rStyle w:val="Hyperlink"/>
          </w:rPr>
          <w:t xml:space="preserve">Figure 8</w:t>
        </w:r>
      </w:hyperlink>
      <w:r>
        <w:t xml:space="preserve"> </w:t>
      </w:r>
      <w:r>
        <w:t xml:space="preserve">F). Interestingly, when comparing the initial seagrass density of both targets (i.e., seagrass density before the event) pixels affected by the heatwave (median SPC = 65%; [</w:t>
      </w:r>
      <w:hyperlink w:anchor="fig-NDVI_GLI_SPC">
        <w:r>
          <w:rPr>
            <w:rStyle w:val="Hyperlink"/>
          </w:rPr>
          <w:t xml:space="preserve">Figure 8</w:t>
        </w:r>
      </w:hyperlink>
      <w:r>
        <w:t xml:space="preserve"> </w:t>
      </w:r>
      <w:r>
        <w:t xml:space="preserve">C green) were denser than the those remained unchanged (median SPC = 85%; [</w:t>
      </w:r>
      <w:hyperlink w:anchor="fig-NDVI_GLI_SPC">
        <w:r>
          <w:rPr>
            <w:rStyle w:val="Hyperlink"/>
          </w:rPr>
          <w:t xml:space="preserve">Figure 8</w:t>
        </w:r>
      </w:hyperlink>
      <w:r>
        <w:t xml:space="preserve"> </w:t>
      </w:r>
      <w:r>
        <w:t xml:space="preserve">D green).</w:t>
      </w:r>
    </w:p>
    <w:bookmarkStart w:id="90" w:name="cell-fig-NDVI_GLI_SPC"/>
    <w:tbl>
      <w:tblPr>
        <w:tblStyle w:val="Table"/>
        <w:tblW w:type="pct" w:w="5000"/>
        <w:tblLayout w:type="fixed"/>
        <w:tblLook w:firstRow="0" w:lastRow="0" w:firstColumn="0" w:lastColumn="0" w:noHBand="0" w:noVBand="0" w:val="0000"/>
      </w:tblPr>
      <w:tblGrid>
        <w:gridCol w:w="7920"/>
      </w:tblGrid>
      <w:tr>
        <w:tc>
          <w:tcPr/>
          <w:bookmarkStart w:id="89" w:name="fig-NDVI_GLI_SPC"/>
          <w:p>
            <w:pPr>
              <w:pStyle w:val="Compact"/>
              <w:jc w:val="center"/>
            </w:pPr>
            <w:r>
              <w:drawing>
                <wp:inline>
                  <wp:extent cx="4267200" cy="6096000"/>
                  <wp:effectExtent b="0" l="0" r="0" t="0"/>
                  <wp:docPr descr="" title="" id="87" name="Picture"/>
                  <a:graphic>
                    <a:graphicData uri="http://schemas.openxmlformats.org/drawingml/2006/picture">
                      <pic:pic>
                        <pic:nvPicPr>
                          <pic:cNvPr descr="Figs/Low_res/Compares_Indices_S2.png" id="88" name="Picture"/>
                          <pic:cNvPicPr>
                            <a:picLocks noChangeArrowheads="1" noChangeAspect="1"/>
                          </pic:cNvPicPr>
                        </pic:nvPicPr>
                        <pic:blipFill>
                          <a:blip r:embed="rId86"/>
                          <a:stretch>
                            <a:fillRect/>
                          </a:stretch>
                        </pic:blipFill>
                        <pic:spPr bwMode="auto">
                          <a:xfrm>
                            <a:off x="0" y="0"/>
                            <a:ext cx="42672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bookmarkEnd w:id="89"/>
        </w:tc>
      </w:tr>
    </w:tbl>
    <w:bookmarkEnd w:id="90"/>
    <w:bookmarkEnd w:id="91"/>
    <w:bookmarkStart w:id="102" w:name="mapping-of-the-seagrass-darkening"/>
    <w:p>
      <w:pPr>
        <w:pStyle w:val="Heading3"/>
      </w:pPr>
      <w:r>
        <w:t xml:space="preserve">3.2.3 Mapping of the seagrass darkening</w:t>
      </w:r>
    </w:p>
    <w:p>
      <w:pPr>
        <w:pStyle w:val="FirstParagraph"/>
      </w:pPr>
      <w:r>
        <w:t xml:space="preserve">Using the</w:t>
      </w:r>
      <w:r>
        <w:t xml:space="preserve"> </w:t>
      </w:r>
      <w:r>
        <w:rPr>
          <w:b/>
          <w:bCs/>
        </w:rPr>
        <w:t xml:space="preserve">EquationExperimental</w:t>
      </w:r>
      <w:r>
        <w:t xml:space="preserve">, we can detect seagrass patches that have darkened. Following the heatwave events, a total of 20.64 hectares of seagrass darkened, with the largest affected patch covering nearly 3 hectares. Overall, 19 % of the total seagrass meadow area showed signs of darkening between the 1st and 6th of September 2021. Comparing the spatial distribution of darkened patches with the site’s bathymetry reveals that 97.3 % of darkened areas are located at above 3.9 meters of bathymetry</w:t>
      </w:r>
      <w:r>
        <w:t xml:space="preserve"> </w:t>
      </w:r>
      <w:hyperlink w:anchor="fig-Map_darkening_Bathy">
        <w:r>
          <w:rPr>
            <w:rStyle w:val="Hyperlink"/>
          </w:rPr>
          <w:t xml:space="preserve">Figure 9</w:t>
        </w:r>
      </w:hyperlink>
      <w:r>
        <w:t xml:space="preserve">.</w:t>
      </w:r>
    </w:p>
    <w:bookmarkStart w:id="96" w:name="cell-fig-Map_darkening_Bathy"/>
    <w:tbl>
      <w:tblPr>
        <w:tblStyle w:val="Table"/>
        <w:tblW w:type="pct" w:w="5000"/>
        <w:tblLayout w:type="fixed"/>
        <w:tblLook w:firstRow="0" w:lastRow="0" w:firstColumn="0" w:lastColumn="0" w:noHBand="0" w:noVBand="0" w:val="0000"/>
      </w:tblPr>
      <w:tblGrid>
        <w:gridCol w:w="7920"/>
      </w:tblGrid>
      <w:tr>
        <w:tc>
          <w:tcPr/>
          <w:bookmarkStart w:id="95" w:name="fig-Map_darkening_Bathy"/>
          <w:p>
            <w:pPr>
              <w:pStyle w:val="Compact"/>
              <w:jc w:val="center"/>
            </w:pPr>
            <w:r>
              <w:drawing>
                <wp:inline>
                  <wp:extent cx="5334000" cy="4987290"/>
                  <wp:effectExtent b="0" l="0" r="0" t="0"/>
                  <wp:docPr descr="" title="" id="93" name="Picture"/>
                  <a:graphic>
                    <a:graphicData uri="http://schemas.openxmlformats.org/drawingml/2006/picture">
                      <pic:pic>
                        <pic:nvPicPr>
                          <pic:cNvPr descr="Figs/Low_res/Map_darkening_Bathy.png" id="94" name="Picture"/>
                          <pic:cNvPicPr>
                            <a:picLocks noChangeArrowheads="1" noChangeAspect="1"/>
                          </pic:cNvPicPr>
                        </pic:nvPicPr>
                        <pic:blipFill>
                          <a:blip r:embed="rId92"/>
                          <a:stretch>
                            <a:fillRect/>
                          </a:stretch>
                        </pic:blipFill>
                        <pic:spPr bwMode="auto">
                          <a:xfrm>
                            <a:off x="0" y="0"/>
                            <a:ext cx="5334000" cy="49872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Map of the Darkening of seagrasses during the heatwave events of September 2021 in Quiberon. A: 1m bathymetry isobar (golden line); B: Result of the detection of darkened seagrass patches (Blue plolygons)</w:t>
            </w:r>
          </w:p>
          <w:bookmarkEnd w:id="95"/>
        </w:tc>
      </w:tr>
    </w:tbl>
    <w:bookmarkEnd w:id="96"/>
    <w:p>
      <w:pPr>
        <w:pStyle w:val="BodyText"/>
      </w:pPr>
      <w:r>
        <w:t xml:space="preserve">Additionally, analysis of bathymetry data to determine seagrass emersion time shows a clear relationship between the time seagrass is exposed to air and its darkening. During the heatwave, no significant darkening occurred with daily exposure below 13 hours. However, when exposure reached 13 hours or more per day, seagrasses began to darken, peaking at around 14.5 hours of daily exposure</w:t>
      </w:r>
      <w:r>
        <w:t xml:space="preserve"> </w:t>
      </w:r>
      <w:hyperlink w:anchor="fig-GAM_Emersion">
        <w:r>
          <w:rPr>
            <w:rStyle w:val="Hyperlink"/>
          </w:rPr>
          <w:t xml:space="preserve">Figure 10</w:t>
        </w:r>
      </w:hyperlink>
      <w:r>
        <w:t xml:space="preserve">.</w:t>
      </w:r>
    </w:p>
    <w:bookmarkStart w:id="101" w:name="cell-fig-GAM_Emersion"/>
    <w:tbl>
      <w:tblPr>
        <w:tblStyle w:val="Table"/>
        <w:tblW w:type="pct" w:w="5000"/>
        <w:tblLayout w:type="fixed"/>
        <w:tblLook w:firstRow="0" w:lastRow="0" w:firstColumn="0" w:lastColumn="0" w:noHBand="0" w:noVBand="0" w:val="0000"/>
      </w:tblPr>
      <w:tblGrid>
        <w:gridCol w:w="7920"/>
      </w:tblGrid>
      <w:tr>
        <w:tc>
          <w:tcPr/>
          <w:bookmarkStart w:id="100" w:name="fig-GAM_Emersion"/>
          <w:p>
            <w:pPr>
              <w:pStyle w:val="Compact"/>
              <w:jc w:val="center"/>
            </w:pPr>
            <w:r>
              <w:drawing>
                <wp:inline>
                  <wp:extent cx="5334000" cy="2667000"/>
                  <wp:effectExtent b="0" l="0" r="0" t="0"/>
                  <wp:docPr descr="" title="" id="98" name="Picture"/>
                  <a:graphic>
                    <a:graphicData uri="http://schemas.openxmlformats.org/drawingml/2006/picture">
                      <pic:pic>
                        <pic:nvPicPr>
                          <pic:cNvPr descr="Figs/Low_res/GAM_emersion.png" id="99" name="Picture"/>
                          <pic:cNvPicPr>
                            <a:picLocks noChangeArrowheads="1" noChangeAspect="1"/>
                          </pic:cNvPicPr>
                        </pic:nvPicPr>
                        <pic:blipFill>
                          <a:blip r:embed="rId9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Relative change in the Green Leaf Index (GLI) before and during heatwave events as a function of the daily emergence time of seagrasses. The line represents a Generalized Linear Model (GLM) prediction, and the shaded area indicates the standard error. Shaded points represent raw data, with each point corresponding to a single pixel.</w:t>
            </w:r>
          </w:p>
          <w:bookmarkEnd w:id="100"/>
        </w:tc>
      </w:tr>
    </w:tbl>
    <w:bookmarkEnd w:id="101"/>
    <w:bookmarkEnd w:id="102"/>
    <w:bookmarkEnd w:id="103"/>
    <w:bookmarkEnd w:id="104"/>
    <w:bookmarkStart w:id="146" w:name="bibliography"/>
    <w:p>
      <w:pPr>
        <w:pStyle w:val="Heading1"/>
      </w:pPr>
      <w:r>
        <w:t xml:space="preserve">4. Bibliography</w:t>
      </w:r>
    </w:p>
    <w:bookmarkStart w:id="145" w:name="refs"/>
    <w:bookmarkStart w:id="10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05"/>
    <w:bookmarkStart w:id="106"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06"/>
    <w:bookmarkStart w:id="108"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07">
        <w:r>
          <w:rPr>
            <w:rStyle w:val="Hyperlink"/>
          </w:rPr>
          <w:t xml:space="preserve">https://doi.org/10.48670/moi-00311</w:t>
        </w:r>
      </w:hyperlink>
    </w:p>
    <w:bookmarkEnd w:id="108"/>
    <w:bookmarkStart w:id="109" w:name="ref-deguette2022physiological"/>
    <w:p>
      <w:pPr>
        <w:pStyle w:val="Bibliography"/>
      </w:pPr>
      <w:r>
        <w:t xml:space="preserve">Deguette, A., Barrote, I., Silva, J., 2022. Physiological and morphological effects of a marine heatwave on the seagrass cymodocea nodosa. Scientific Reports 12, 7950.</w:t>
      </w:r>
    </w:p>
    <w:bookmarkEnd w:id="109"/>
    <w:bookmarkStart w:id="110" w:name="ref-sen2cor"/>
    <w:p>
      <w:pPr>
        <w:pStyle w:val="Bibliography"/>
      </w:pPr>
      <w:r>
        <w:t xml:space="preserve">European Space Agency, 2024b. Sen2Cor: Sentinel-2 atmospheric correction processor.</w:t>
      </w:r>
    </w:p>
    <w:bookmarkEnd w:id="110"/>
    <w:bookmarkStart w:id="111" w:name="ref-copernicus_sentinel2"/>
    <w:p>
      <w:pPr>
        <w:pStyle w:val="Bibliography"/>
      </w:pPr>
      <w:r>
        <w:t xml:space="preserve">European Space Agency, 2024a. Copernicus open access hub.</w:t>
      </w:r>
    </w:p>
    <w:bookmarkEnd w:id="111"/>
    <w:bookmarkStart w:id="112" w:name="ref-gardner2018global"/>
    <w:p>
      <w:pPr>
        <w:pStyle w:val="Bibliography"/>
      </w:pPr>
      <w:r>
        <w:t xml:space="preserve">Gardner, R.C., Finlayson, C., 2018. Global wetland outlook: State of the world’s wetlands and their services to people, in: Ramsar Convention Secretariat. pp. 2020–5.</w:t>
      </w:r>
    </w:p>
    <w:bookmarkEnd w:id="112"/>
    <w:bookmarkStart w:id="113"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13"/>
    <w:bookmarkStart w:id="114"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14"/>
    <w:bookmarkStart w:id="115"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15"/>
    <w:bookmarkStart w:id="116" w:name="ref-huete2012vegetation"/>
    <w:p>
      <w:pPr>
        <w:pStyle w:val="Bibliography"/>
      </w:pPr>
      <w:r>
        <w:t xml:space="preserve">Huete, A.R., 2012. Vegetation indices, remote sensing and forest monitoring. Geography Compass 6, 513–532.</w:t>
      </w:r>
    </w:p>
    <w:bookmarkEnd w:id="116"/>
    <w:bookmarkStart w:id="118" w:name="ref-ioc_sea_level_lecy"/>
    <w:p>
      <w:pPr>
        <w:pStyle w:val="Bibliography"/>
      </w:pPr>
      <w:r>
        <w:t xml:space="preserve">IOC, 2024.</w:t>
      </w:r>
      <w:r>
        <w:t xml:space="preserve"> </w:t>
      </w:r>
      <w:hyperlink r:id="rId117">
        <w:r>
          <w:rPr>
            <w:rStyle w:val="Hyperlink"/>
          </w:rPr>
          <w:t xml:space="preserve">Intergovernmental oceanographic commission ; sea level monitoring station - le conquet, france (LECY)</w:t>
        </w:r>
      </w:hyperlink>
      <w:r>
        <w:t xml:space="preserve">.</w:t>
      </w:r>
    </w:p>
    <w:bookmarkEnd w:id="118"/>
    <w:bookmarkStart w:id="119"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19"/>
    <w:bookmarkStart w:id="120" w:name="ref-kloos2021agricultural"/>
    <w:p>
      <w:pPr>
        <w:pStyle w:val="Bibliography"/>
      </w:pPr>
      <w:r>
        <w:t xml:space="preserve">Kloos, S., Yuan, Y., Castelli, M., Menzel, A., 2021. Agricultural drought detection with MODIS based vegetation health indices in southeast germany. Remote Sensing 13, 3907.</w:t>
      </w:r>
    </w:p>
    <w:bookmarkEnd w:id="120"/>
    <w:bookmarkStart w:id="121"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21"/>
    <w:bookmarkStart w:id="122"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22"/>
    <w:bookmarkStart w:id="123" w:name="ref-perkins2013measurement"/>
    <w:p>
      <w:pPr>
        <w:pStyle w:val="Bibliography"/>
      </w:pPr>
      <w:r>
        <w:t xml:space="preserve">Perkins, S.E., Alexander, L.V., 2013. On the measurement of heat waves. Journal of climate 26, 4500–4517.</w:t>
      </w:r>
    </w:p>
    <w:bookmarkEnd w:id="123"/>
    <w:bookmarkStart w:id="124" w:name="ref-ramesh2020seagrass"/>
    <w:p>
      <w:pPr>
        <w:pStyle w:val="Bibliography"/>
      </w:pPr>
      <w:r>
        <w:t xml:space="preserve">Ramesh, C., Mohanraju, R., 2020. Seagrass ecosystems of andaman and nicobar islands: Status and future perspective. Environmental &amp; Earth Sciences Research Journal 7.</w:t>
      </w:r>
    </w:p>
    <w:bookmarkEnd w:id="124"/>
    <w:bookmarkStart w:id="125" w:name="ref-rouse1974monitoring"/>
    <w:p>
      <w:pPr>
        <w:pStyle w:val="Bibliography"/>
      </w:pPr>
      <w:r>
        <w:t xml:space="preserve">Rouse, J.W., Haas, R.H., Schell, J.A., Deering, D.W., others, 1974. Monitoring vegetation systems in the great plains with ERTS. NASA Spec. Publ 351, 309.</w:t>
      </w:r>
    </w:p>
    <w:bookmarkEnd w:id="125"/>
    <w:bookmarkStart w:id="126"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26"/>
    <w:bookmarkStart w:id="127" w:name="ref-schlegel2017nearshore"/>
    <w:p>
      <w:pPr>
        <w:pStyle w:val="Bibliography"/>
      </w:pPr>
      <w:r>
        <w:t xml:space="preserve">Schlegel, R.W., Oliver, E.C., Wernberg, T., Smit, A.J., 2017. Nearshore and offshore co-occurrence of marine heatwaves and cold-spells. Progress in Oceanography 151, 189–205.</w:t>
      </w:r>
    </w:p>
    <w:bookmarkEnd w:id="127"/>
    <w:bookmarkStart w:id="129"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28">
        <w:r>
          <w:rPr>
            <w:rStyle w:val="Hyperlink"/>
          </w:rPr>
          <w:t xml:space="preserve">https://doi.org/10.21105/joss.00821</w:t>
        </w:r>
      </w:hyperlink>
    </w:p>
    <w:bookmarkEnd w:id="129"/>
    <w:bookmarkStart w:id="130"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30"/>
    <w:bookmarkStart w:id="131"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31"/>
    <w:bookmarkStart w:id="133" w:name="ref-shom_ram_2022"/>
    <w:p>
      <w:pPr>
        <w:pStyle w:val="Bibliography"/>
      </w:pPr>
      <w:r>
        <w:t xml:space="preserve">Shom, 2022.</w:t>
      </w:r>
      <w:r>
        <w:t xml:space="preserve"> </w:t>
      </w:r>
      <w:hyperlink r:id="rId132">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33"/>
    <w:bookmarkStart w:id="135" w:name="Xbef41143b4d4042e58f11cfc27e216202646012"/>
    <w:p>
      <w:pPr>
        <w:pStyle w:val="Bibliography"/>
      </w:pPr>
      <w:r>
        <w:t xml:space="preserve">SHOM, 2021.</w:t>
      </w:r>
      <w:r>
        <w:t xml:space="preserve"> </w:t>
      </w:r>
      <w:hyperlink r:id="rId134">
        <w:r>
          <w:rPr>
            <w:rStyle w:val="Hyperlink"/>
          </w:rPr>
          <w:t xml:space="preserve">Service hydrographique et océanographique de la marine ; bathymétrie Litto3D® bretagne 2018-2021</w:t>
        </w:r>
      </w:hyperlink>
      <w:r>
        <w:t xml:space="preserve">.</w:t>
      </w:r>
    </w:p>
    <w:bookmarkEnd w:id="135"/>
    <w:bookmarkStart w:id="136"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36"/>
    <w:bookmarkStart w:id="137"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37"/>
    <w:bookmarkStart w:id="138"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38"/>
    <w:bookmarkStart w:id="139" w:name="ref-unsworth2022planetary"/>
    <w:p>
      <w:pPr>
        <w:pStyle w:val="Bibliography"/>
      </w:pPr>
      <w:r>
        <w:t xml:space="preserve">Unsworth, R.K., Cullen-Unsworth, L.C., Jones, B.L., Lilley, R.J., 2022. The planetary role of seagrass conservation. Science 377, 609–613.</w:t>
      </w:r>
    </w:p>
    <w:bookmarkEnd w:id="139"/>
    <w:bookmarkStart w:id="140"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40"/>
    <w:bookmarkStart w:id="141"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41"/>
    <w:bookmarkStart w:id="142"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42"/>
    <w:bookmarkStart w:id="143"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43"/>
    <w:bookmarkStart w:id="144"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86" Target="media/rId86.png" /><Relationship Type="http://schemas.openxmlformats.org/officeDocument/2006/relationships/image" Id="rId22" Target="media/rId22.png" /><Relationship Type="http://schemas.openxmlformats.org/officeDocument/2006/relationships/image" Id="rId97" Target="media/rId97.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hyperlink" Id="rId132" Target="https://diffusion.shom.fr/references-altimetriques-maritimes-ram.html" TargetMode="External" /><Relationship Type="http://schemas.openxmlformats.org/officeDocument/2006/relationships/hyperlink" Id="rId128" Target="https://doi.org/10.21105/joss.00821" TargetMode="External" /><Relationship Type="http://schemas.openxmlformats.org/officeDocument/2006/relationships/hyperlink" Id="rId107"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34"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17"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32" Target="https://diffusion.shom.fr/references-altimetriques-maritimes-ram.html" TargetMode="External" /><Relationship Type="http://schemas.openxmlformats.org/officeDocument/2006/relationships/hyperlink" Id="rId128" Target="https://doi.org/10.21105/joss.00821" TargetMode="External" /><Relationship Type="http://schemas.openxmlformats.org/officeDocument/2006/relationships/hyperlink" Id="rId107"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34"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17"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 Effect of Atmospheric Heatwaves on Reflectance and Pigment Composition of Intertidal Nanozostera noltei – Draft</dc:title>
  <dc:creator>Simon Oiry; Bede Ffinian Rowe Davies; Philippe Rosa; Augustin Debly; Maria Laura Zoffoli; Anne-Laure Barillé; Nicolas Harin; Pierre Gernez; Laurent Barillé</dc:creator>
  <cp:keywords>Remote Sensing, Pigment Composition, Seagrass, Coastal Ecosystems, Heatwaves</cp:keywords>
  <dcterms:created xsi:type="dcterms:W3CDTF">2024-10-25T17:33:19Z</dcterms:created>
  <dcterms:modified xsi:type="dcterms:W3CDTF">2024-10-25T17:33:19Z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2024-10-25</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