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94.png" ContentType="image/png"/>
  <Override PartName="/word/media/rId25.png" ContentType="image/png"/>
  <Override PartName="/word/media/rId105.png" ContentType="image/png"/>
  <Override PartName="/word/media/rId88.png" ContentType="image/png"/>
  <Override PartName="/word/media/rId100.png" ContentType="image/png"/>
  <Override PartName="/word/media/rId80.png" ContentType="image/png"/>
  <Override PartName="/word/media/rId50.png" ContentType="image/png"/>
  <Override PartName="/word/media/rId55.png" ContentType="image/png"/>
  <Override PartName="/word/media/rId73.png" ContentType="image/png"/>
  <Override PartName="/word/media/rId113.png" ContentType="image/png"/>
  <Override PartName="/word/media/rId67.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Effect of Marine and Atmospheric Heatwaves on Reflectance and Pigment Composition of Intertidal</w:t>
      </w:r>
      <w:r>
        <w:t xml:space="preserve"> </w:t>
      </w:r>
      <w:r>
        <w:rPr>
          <w:i/>
          <w:iCs/>
        </w:rPr>
        <w:t xml:space="preserve">Zostera noltei</w:t>
      </w:r>
    </w:p>
    <w:p>
      <w:pPr>
        <w:pStyle w:val="Author"/>
      </w:pPr>
      <w:r>
        <w:t xml:space="preserve"> </w:t>
      </w:r>
    </w:p>
    <w:p>
      <w:pPr>
        <w:pStyle w:val="Author"/>
      </w:pPr>
      <w:r>
        <w:t xml:space="preserve">Simon Oiry</w:t>
      </w:r>
      <w:r>
        <w:rPr>
          <w:vertAlign w:val="superscript"/>
        </w:rPr>
        <w:t xml:space="preserve">1</w:t>
      </w:r>
      <w:r>
        <w:t xml:space="preserve">, Bede Ffinian Rowe Davies</w:t>
      </w:r>
      <w:r>
        <w:rPr>
          <w:vertAlign w:val="superscript"/>
        </w:rPr>
        <w:t xml:space="preserve">1</w:t>
      </w:r>
      <w:r>
        <w:t xml:space="preserve">, Philippe Rosa</w:t>
      </w:r>
      <w:r>
        <w:rPr>
          <w:vertAlign w:val="superscript"/>
        </w:rPr>
        <w:t xml:space="preserve">1</w:t>
      </w:r>
      <w:r>
        <w:t xml:space="preserve">, Augustin Debly</w:t>
      </w:r>
      <w:r>
        <w:rPr>
          <w:vertAlign w:val="superscript"/>
        </w:rPr>
        <w:t xml:space="preserve">1</w:t>
      </w:r>
      <w:r>
        <w:t xml:space="preserve">, Maria Laura Zoffoli</w:t>
      </w:r>
      <w:r>
        <w:rPr>
          <w:vertAlign w:val="superscript"/>
        </w:rPr>
        <w:t xml:space="preserve">2</w:t>
      </w:r>
      <w:r>
        <w:t xml:space="preserve">, Anne-Laure Barillé</w:t>
      </w:r>
      <w:r>
        <w:rPr>
          <w:vertAlign w:val="superscript"/>
        </w:rPr>
        <w:t xml:space="preserve">3</w:t>
      </w:r>
      <w:r>
        <w:t xml:space="preserve">, Nicolas Harin</w:t>
      </w:r>
      <w:r>
        <w:rPr>
          <w:vertAlign w:val="superscript"/>
        </w:rPr>
        <w:t xml:space="preserve">3</w:t>
      </w:r>
      <w:r>
        <w:t xml:space="preserve">, Pierre Gernez</w:t>
      </w:r>
      <w:r>
        <w:rPr>
          <w:vertAlign w:val="superscript"/>
        </w:rPr>
        <w:t xml:space="preserve">1</w:t>
      </w:r>
      <w:r>
        <w:t xml:space="preserve">, and Laurent Barillé</w:t>
      </w:r>
      <w:r>
        <w:rPr>
          <w:vertAlign w:val="superscript"/>
        </w:rPr>
        <w:t xml:space="preserve">1</w:t>
      </w:r>
    </w:p>
    <w:p>
      <w:pPr>
        <w:pStyle w:val="Author"/>
      </w:pPr>
      <w:r>
        <w:rPr>
          <w:vertAlign w:val="superscript"/>
        </w:rPr>
        <w:t xml:space="preserve">1</w:t>
      </w:r>
      <w:r>
        <w:t xml:space="preserve">Institut des Substances et Organismes de la Mer, ISOMer, Nantes Université, UR 2160, F-44000 Nantes, France</w:t>
      </w:r>
    </w:p>
    <w:p>
      <w:pPr>
        <w:pStyle w:val="Author"/>
      </w:pPr>
      <w:r>
        <w:rPr>
          <w:vertAlign w:val="superscript"/>
        </w:rPr>
        <w:t xml:space="preserve">2</w:t>
      </w:r>
      <w:r>
        <w:t xml:space="preserve">Consiglio Nazionale delle Ricerche, Istituto di Scienze Marine (CNR-ISMAR), 00133 Rome, Italy</w:t>
      </w:r>
    </w:p>
    <w:p>
      <w:pPr>
        <w:pStyle w:val="Author"/>
      </w:pPr>
      <w:r>
        <w:rPr>
          <w:vertAlign w:val="superscript"/>
        </w:rPr>
        <w:t xml:space="preserve">3</w:t>
      </w:r>
      <w:r>
        <w:t xml:space="preserve">Bio-littoral, Immeuble Le Nevada, 2 Rue du Château de l’Eraudière, 44300 Nantes, France</w:t>
      </w:r>
    </w:p>
    <w:bookmarkEnd w:id="20"/>
    <w:bookmarkStart w:id="21" w:name="author-note"/>
    <w:p>
      <w:pPr>
        <w:pStyle w:val="Heading1"/>
      </w:pPr>
      <w:r>
        <w:t xml:space="preserve">Author Note</w:t>
      </w:r>
    </w:p>
    <w:p>
      <w:r>
        <w:br w:type="page"/>
      </w:r>
    </w:p>
    <w:bookmarkEnd w:id="21"/>
    <w:bookmarkStart w:id="22" w:name="abstract"/>
    <w:p>
      <w:pPr>
        <w:pStyle w:val="Heading1"/>
      </w:pPr>
      <w:r>
        <w:t xml:space="preserve">Abstract</w:t>
      </w:r>
    </w:p>
    <w:p>
      <w:pPr>
        <w:pStyle w:val="AbstractFirstParagraph"/>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w:t>
      </w:r>
    </w:p>
    <w:p>
      <w:pPr>
        <w:pStyle w:val="BodyText"/>
      </w:pPr>
      <w:r>
        <w:rPr>
          <w:i/>
          <w:iCs/>
        </w:rPr>
        <w:t xml:space="preserve">Keywords</w:t>
      </w:r>
      <w:r>
        <w:t xml:space="preserve">: Remote Sensing, Pigment Composition, Seagrass, Coastal Ecosystems, Heatwaves</w:t>
      </w:r>
    </w:p>
    <w:p>
      <w:r>
        <w:br w:type="page"/>
      </w:r>
    </w:p>
    <w:bookmarkEnd w:id="22"/>
    <w:bookmarkStart w:id="23" w:name="firstheader"/>
    <w:p>
      <w:pPr>
        <w:pStyle w:val="Heading1"/>
      </w:pPr>
      <w:r>
        <w:t xml:space="preserve">Effect of Marine and Atmospheric Heatwaves on Reflectance and Pigment Composition of Intertidal</w:t>
      </w:r>
      <w:r>
        <w:t xml:space="preserve"> </w:t>
      </w:r>
      <w:r>
        <w:rPr>
          <w:i/>
          <w:iCs/>
        </w:rPr>
        <w:t xml:space="preserve">Zostera noltei</w:t>
      </w:r>
    </w:p>
    <w:bookmarkEnd w:id="23"/>
    <w:bookmarkStart w:id="24"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w:t>
      </w:r>
      <w:hyperlink w:anchor="ref-sousa2019blue">
        <w:r>
          <w:rPr>
            <w:rStyle w:val="Hyperlink"/>
          </w:rPr>
          <w:t xml:space="preserve">Sousa et al., 2019</w:t>
        </w:r>
      </w:hyperlink>
      <w:r>
        <w:t xml:space="preserve">;</w:t>
      </w:r>
      <w:r>
        <w:t xml:space="preserve"> </w:t>
      </w:r>
      <w:hyperlink w:anchor="ref-unsworth2022planetary">
        <w:r>
          <w:rPr>
            <w:rStyle w:val="Hyperlink"/>
          </w:rPr>
          <w:t xml:space="preserve">Unsworth et al., 2022</w:t>
        </w:r>
      </w:hyperlink>
      <w:r>
        <w:t xml:space="preserve">)</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w:t>
      </w:r>
      <w:hyperlink w:anchor="ref-zoffoli2021decadal">
        <w:r>
          <w:rPr>
            <w:rStyle w:val="Hyperlink"/>
          </w:rPr>
          <w:t xml:space="preserve">Zoffoli et al., 2021</w:t>
        </w:r>
      </w:hyperlink>
      <w:r>
        <w:t xml:space="preserve">)</w:t>
      </w:r>
      <w:r>
        <w:t xml:space="preserve">. The interactions between seagrass meadows and their associated herbivores further enhance the delivery of ecosystem services, including coastal protection and fisheries support</w:t>
      </w:r>
      <w:r>
        <w:t xml:space="preserve"> </w:t>
      </w:r>
      <w:r>
        <w:t xml:space="preserve">(</w:t>
      </w:r>
      <w:hyperlink w:anchor="ref-gardner2018global">
        <w:r>
          <w:rPr>
            <w:rStyle w:val="Hyperlink"/>
          </w:rPr>
          <w:t xml:space="preserve">Gardner and Finlayson, 2018</w:t>
        </w:r>
      </w:hyperlink>
      <w:r>
        <w:t xml:space="preserve">;</w:t>
      </w:r>
      <w:r>
        <w:t xml:space="preserve"> </w:t>
      </w:r>
      <w:hyperlink w:anchor="ref-jankowska2019stabilizing">
        <w:r>
          <w:rPr>
            <w:rStyle w:val="Hyperlink"/>
          </w:rPr>
          <w:t xml:space="preserve">Jankowska et al., 2019</w:t>
        </w:r>
      </w:hyperlink>
      <w:r>
        <w:t xml:space="preserve">;</w:t>
      </w:r>
      <w:r>
        <w:t xml:space="preserve"> </w:t>
      </w:r>
      <w:hyperlink w:anchor="ref-zoffoli2023remote">
        <w:r>
          <w:rPr>
            <w:rStyle w:val="Hyperlink"/>
          </w:rPr>
          <w:t xml:space="preserve">Zoffoli et al., 2023a</w:t>
        </w:r>
      </w:hyperlink>
      <w:r>
        <w:t xml:space="preserve">)</w:t>
      </w:r>
      <w:r>
        <w:t xml:space="preserve">. Understanding and preserving these ecosystems are vital for maintaining the biodiversity and productivity of coastal regions</w:t>
      </w:r>
      <w:r>
        <w:t xml:space="preserve"> </w:t>
      </w:r>
      <w:r>
        <w:t xml:space="preserve">(</w:t>
      </w:r>
      <w:hyperlink w:anchor="ref-ramesh2020seagrass">
        <w:r>
          <w:rPr>
            <w:rStyle w:val="Hyperlink"/>
          </w:rPr>
          <w:t xml:space="preserve">Ramesh and Mohanraju, 2020</w:t>
        </w:r>
      </w:hyperlink>
      <w:r>
        <w:t xml:space="preserve">;</w:t>
      </w:r>
      <w:r>
        <w:t xml:space="preserve"> </w:t>
      </w:r>
      <w:hyperlink w:anchor="ref-scott2018role">
        <w:r>
          <w:rPr>
            <w:rStyle w:val="Hyperlink"/>
          </w:rPr>
          <w:t xml:space="preserve">Scott et al., 2018</w:t>
        </w:r>
      </w:hyperlink>
      <w:r>
        <w:t xml:space="preserve">)</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t>
      </w:r>
      <w:hyperlink w:anchor="ref-waycott2009accelerating">
        <w:r>
          <w:rPr>
            <w:rStyle w:val="Hyperlink"/>
          </w:rPr>
          <w:t xml:space="preserve">Waycott et al., 2009</w:t>
        </w:r>
      </w:hyperlink>
      <w:r>
        <w:t xml:space="preserve">)</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w:t>
      </w:r>
      <w:hyperlink w:anchor="ref-thomsen2023meadow">
        <w:r>
          <w:rPr>
            <w:rStyle w:val="Hyperlink"/>
          </w:rPr>
          <w:t xml:space="preserve">Thomsen et al., 2023</w:t>
        </w:r>
      </w:hyperlink>
      <w:r>
        <w:t xml:space="preserve">)</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w:t>
      </w:r>
      <w:hyperlink w:anchor="ref-sevgi2022bitkilerde">
        <w:r>
          <w:rPr>
            <w:rStyle w:val="Hyperlink"/>
          </w:rPr>
          <w:t xml:space="preserve">Sevgi and Leblebici, 2022</w:t>
        </w:r>
      </w:hyperlink>
      <w:r>
        <w:t xml:space="preserve">)</w:t>
      </w:r>
      <w:r>
        <w:t xml:space="preserve"> </w:t>
      </w:r>
      <w:r>
        <w:t xml:space="preserve">Additionally, invasive species can out compete native seagrasses for resources, altering community structure and function</w:t>
      </w:r>
      <w:r>
        <w:t xml:space="preserve"> </w:t>
      </w:r>
      <w:r>
        <w:t xml:space="preserve">(</w:t>
      </w:r>
      <w:hyperlink w:anchor="ref-simpson2016distribution">
        <w:r>
          <w:rPr>
            <w:rStyle w:val="Hyperlink"/>
          </w:rPr>
          <w:t xml:space="preserve">Simpson et al., 2016</w:t>
        </w:r>
      </w:hyperlink>
      <w:r>
        <w:t xml:space="preserve">)</w:t>
      </w:r>
      <w:r>
        <w:t xml:space="preserve">.</w:t>
      </w:r>
    </w:p>
    <w:p>
      <w:pPr>
        <w:pStyle w:val="BodyText"/>
      </w:pPr>
      <w:r>
        <w:t xml:space="preserve">Heatwaves, exacerbated by climate change, pose a growing threat to seagrasses. Marine Heatwaves (MHW), defined by</w:t>
      </w:r>
      <w:r>
        <w:t xml:space="preserve"> </w:t>
      </w:r>
      <w:r>
        <w:t xml:space="preserve">Hobday et al. (</w:t>
      </w:r>
      <w:hyperlink w:anchor="ref-hobday2016hierarchical">
        <w:r>
          <w:rPr>
            <w:rStyle w:val="Hyperlink"/>
          </w:rPr>
          <w:t xml:space="preserve">2016</w:t>
        </w:r>
      </w:hyperlink>
      <w:r>
        <w:t xml:space="preserve">)</w:t>
      </w:r>
      <w:r>
        <w:t xml:space="preserve"> </w:t>
      </w:r>
      <w:r>
        <w:t xml:space="preserve">as prolonged discrete anomalously warm water events, and Atmospheric Heatwaves (AHW), defined by</w:t>
      </w:r>
      <w:r>
        <w:t xml:space="preserve"> </w:t>
      </w:r>
      <w:r>
        <w:t xml:space="preserve">Perkins and Alexander (</w:t>
      </w:r>
      <w:hyperlink w:anchor="ref-perkins2013measurement">
        <w:r>
          <w:rPr>
            <w:rStyle w:val="Hyperlink"/>
          </w:rPr>
          <w:t xml:space="preserve">2013</w:t>
        </w:r>
      </w:hyperlink>
      <w:r>
        <w:t xml:space="preserve">)</w:t>
      </w:r>
      <w:r>
        <w:t xml:space="preserve"> </w:t>
      </w:r>
      <w:r>
        <w:t xml:space="preserve">as periods of at least three consecutive days with temperatures exceeding the 90th percentile, cause severe physiological stress on seagrasses</w:t>
      </w:r>
      <w:r>
        <w:t xml:space="preserve"> </w:t>
      </w:r>
      <w:r>
        <w:t xml:space="preserve">(</w:t>
      </w:r>
      <w:hyperlink w:anchor="ref-deguette2022physiological">
        <w:r>
          <w:rPr>
            <w:rStyle w:val="Hyperlink"/>
          </w:rPr>
          <w:t xml:space="preserve">Deguette et al., 2022</w:t>
        </w:r>
      </w:hyperlink>
      <w:r>
        <w:t xml:space="preserve">;</w:t>
      </w:r>
      <w:r>
        <w:t xml:space="preserve"> </w:t>
      </w:r>
      <w:hyperlink w:anchor="ref-sawall2021chronically">
        <w:r>
          <w:rPr>
            <w:rStyle w:val="Hyperlink"/>
          </w:rPr>
          <w:t xml:space="preserve">Sawall et al., 2021</w:t>
        </w:r>
      </w:hyperlink>
      <w:r>
        <w:t xml:space="preserve">)</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w:t>
      </w:r>
      <w:hyperlink w:anchor="ref-sawall2021chronically">
        <w:r>
          <w:rPr>
            <w:rStyle w:val="Hyperlink"/>
          </w:rPr>
          <w:t xml:space="preserve">Sawall et al., 2021</w:t>
        </w:r>
      </w:hyperlink>
      <w:r>
        <w:t xml:space="preserve">)</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w:t>
      </w:r>
      <w:hyperlink w:anchor="ref-deguette2022physiological">
        <w:r>
          <w:rPr>
            <w:rStyle w:val="Hyperlink"/>
          </w:rPr>
          <w:t xml:space="preserve">Deguette et al., 2022</w:t>
        </w:r>
      </w:hyperlink>
      <w:r>
        <w:t xml:space="preserve">)</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t>
      </w:r>
      <w:hyperlink w:anchor="ref-winters2011effects">
        <w:r>
          <w:rPr>
            <w:rStyle w:val="Hyperlink"/>
          </w:rPr>
          <w:t xml:space="preserve">Winters et al., 2011</w:t>
        </w:r>
      </w:hyperlink>
      <w:r>
        <w:t xml:space="preserve">)</w:t>
      </w:r>
      <w:r>
        <w:t xml:space="preserve">. These events intensify other stressors, such as overgrazing and seed burial, compromising sexual recruitment</w:t>
      </w:r>
      <w:r>
        <w:t xml:space="preserve"> </w:t>
      </w:r>
      <w:r>
        <w:t xml:space="preserve">(</w:t>
      </w:r>
      <w:hyperlink w:anchor="ref-guerrero2020heat">
        <w:r>
          <w:rPr>
            <w:rStyle w:val="Hyperlink"/>
          </w:rPr>
          <w:t xml:space="preserve">Guerrero-Meseguer et al., 2020</w:t>
        </w:r>
      </w:hyperlink>
      <w:r>
        <w:t xml:space="preserve">)</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w:t>
      </w:r>
      <w:hyperlink w:anchor="ref-akbar2020mangrove">
        <w:r>
          <w:rPr>
            <w:rStyle w:val="Hyperlink"/>
          </w:rPr>
          <w:t xml:space="preserve">Akbar et al., 2020</w:t>
        </w:r>
      </w:hyperlink>
      <w:r>
        <w:t xml:space="preserve">;</w:t>
      </w:r>
      <w:r>
        <w:t xml:space="preserve"> </w:t>
      </w:r>
      <w:hyperlink w:anchor="ref-carlan2020identifying">
        <w:r>
          <w:rPr>
            <w:rStyle w:val="Hyperlink"/>
          </w:rPr>
          <w:t xml:space="preserve">Cârlan et al., 2020</w:t>
        </w:r>
      </w:hyperlink>
      <w:r>
        <w:t xml:space="preserve">;</w:t>
      </w:r>
      <w:r>
        <w:t xml:space="preserve"> </w:t>
      </w:r>
      <w:hyperlink w:anchor="ref-huete2012vegetation">
        <w:r>
          <w:rPr>
            <w:rStyle w:val="Hyperlink"/>
          </w:rPr>
          <w:t xml:space="preserve">Huete, 2012</w:t>
        </w:r>
      </w:hyperlink>
      <w:r>
        <w:t xml:space="preserve">;</w:t>
      </w:r>
      <w:r>
        <w:t xml:space="preserve"> </w:t>
      </w:r>
      <w:hyperlink w:anchor="ref-kloos2021agricultural">
        <w:r>
          <w:rPr>
            <w:rStyle w:val="Hyperlink"/>
          </w:rPr>
          <w:t xml:space="preserve">Kloos et al., 2021</w:t>
        </w:r>
      </w:hyperlink>
      <w:r>
        <w:t xml:space="preserve">)</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w:t>
      </w:r>
      <w:hyperlink w:anchor="ref-papathanasopoulou2019satellite">
        <w:r>
          <w:rPr>
            <w:rStyle w:val="Hyperlink"/>
          </w:rPr>
          <w:t xml:space="preserve">Papathanasopoulou et al., 2019</w:t>
        </w:r>
      </w:hyperlink>
      <w:r>
        <w:t xml:space="preserve">)</w:t>
      </w:r>
      <w:r>
        <w:t xml:space="preserve">.</w:t>
      </w:r>
    </w:p>
    <w:p>
      <w:pPr>
        <w:pStyle w:val="BodyText"/>
      </w:pPr>
      <w:r>
        <w:t xml:space="preserve">This study aims to experimentally test the hypothesis that warm events, such as atmospheric heatwaves, alter the pigment composition and reflectance of the intertidal seagrass Zostera noltei. By linking these changes with satellite remote sensing data, the study seeks to provide insights into how heatwaves affect seagrass meadows and to assess the potential of remote sensing in monitoring these impacts</w:t>
      </w:r>
    </w:p>
    <w:bookmarkEnd w:id="24"/>
    <w:bookmarkStart w:id="66" w:name="material-methods"/>
    <w:p>
      <w:pPr>
        <w:pStyle w:val="Heading1"/>
      </w:pPr>
      <w:r>
        <w:t xml:space="preserve">2. Material &amp; Methods</w:t>
      </w:r>
    </w:p>
    <w:bookmarkStart w:id="49" w:name="laboratory-experiment"/>
    <w:p>
      <w:pPr>
        <w:pStyle w:val="Heading2"/>
      </w:pPr>
      <w:r>
        <w:t xml:space="preserve">2.1 Laboratory Experiment</w:t>
      </w:r>
    </w:p>
    <w:bookmarkStart w:id="30"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Zostera noltei</w:t>
      </w:r>
      <w:r>
        <w:t xml:space="preserve"> </w:t>
      </w:r>
      <w:r>
        <w:t xml:space="preserve">(dwarf eelgrass)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Keeping the entire mesocosm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w:t>
      </w:r>
      <w:hyperlink w:anchor="ref-akbar2020mangrove">
        <w:r>
          <w:rPr>
            <w:rStyle w:val="Hyperlink"/>
          </w:rPr>
          <w:t xml:space="preserve">Akbar et al., 2020</w:t>
        </w:r>
      </w:hyperlink>
      <w:r>
        <w:t xml:space="preserve">)</w:t>
      </w:r>
      <w:r>
        <w:t xml:space="preserve">. A wave generator was used in the tank to circulate and reoxygenate the water.</w:t>
      </w:r>
    </w:p>
    <w:bookmarkStart w:id="29" w:name="cell-fig-design"/>
    <w:bookmarkStart w:id="28" w:name="fig-design"/>
    <w:p>
      <w:pPr>
        <w:pStyle w:val="FigureTitle"/>
      </w:pPr>
      <w:r>
        <w:t xml:space="preserve">Figure 1</w:t>
      </w:r>
    </w:p>
    <w:p>
      <w:pPr>
        <w:pStyle w:val="Caption"/>
      </w:pPr>
      <w:r>
        <w:t xml:space="preserve">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p>
      <w:pPr>
        <w:pStyle w:val="FigureWithoutNote"/>
      </w:pPr>
      <w:r>
        <w:drawing>
          <wp:inline>
            <wp:extent cx="5943600" cy="5846341"/>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943600" cy="5846341"/>
                    </a:xfrm>
                    <a:prstGeom prst="rect">
                      <a:avLst/>
                    </a:prstGeom>
                    <a:noFill/>
                    <a:ln w="9525">
                      <a:noFill/>
                      <a:headEnd/>
                      <a:tailEnd/>
                    </a:ln>
                  </pic:spPr>
                </pic:pic>
              </a:graphicData>
            </a:graphic>
          </wp:inline>
        </w:drawing>
      </w:r>
    </w:p>
    <w:bookmarkEnd w:id="28"/>
    <w:bookmarkEnd w:id="29"/>
    <w:bookmarkEnd w:id="30"/>
    <w:bookmarkStart w:id="42" w:name="experimental-design"/>
    <w:p>
      <w:pPr>
        <w:pStyle w:val="Heading3"/>
      </w:pPr>
      <w:r>
        <w:t xml:space="preserve">2.1.2 Experimental design</w:t>
      </w:r>
    </w:p>
    <w:p>
      <w:pPr>
        <w:pStyle w:val="FirstParagraph"/>
      </w:pPr>
      <w:r>
        <w:t xml:space="preserve">Two intertidal chambers from</w:t>
      </w:r>
      <w:r>
        <w:t xml:space="preserve"> </w:t>
      </w:r>
      <w:hyperlink r:id="rId31">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6" w:name="cell-fig-Temperature_Bourgneuf"/>
    <w:bookmarkStart w:id="35" w:name="fig-Temperature_Bourgneuf"/>
    <w:p>
      <w:pPr>
        <w:pStyle w:val="FigureTitle"/>
      </w:pPr>
      <w:r>
        <w:t xml:space="preserve">Figure 2</w:t>
      </w:r>
    </w:p>
    <w:p>
      <w:pPr>
        <w:pStyle w:val="Caption"/>
      </w:pPr>
      <w:r>
        <w:t xml:space="preserve">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FigureWithoutNote"/>
      </w:pPr>
      <w:r>
        <w:drawing>
          <wp:inline>
            <wp:extent cx="4754880" cy="4754880"/>
            <wp:effectExtent b="0" l="0" r="0" t="0"/>
            <wp:docPr descr="" title="" id="33" name="Picture"/>
            <a:graphic>
              <a:graphicData uri="http://schemas.openxmlformats.org/drawingml/2006/picture">
                <pic:pic>
                  <pic:nvPicPr>
                    <pic:cNvPr descr="Figs/High_res/Temperature_compare.png" id="34" name="Picture"/>
                    <pic:cNvPicPr>
                      <a:picLocks noChangeArrowheads="1" noChangeAspect="1"/>
                    </pic:cNvPicPr>
                  </pic:nvPicPr>
                  <pic:blipFill>
                    <a:blip r:embed="rId32"/>
                    <a:stretch>
                      <a:fillRect/>
                    </a:stretch>
                  </pic:blipFill>
                  <pic:spPr bwMode="auto">
                    <a:xfrm>
                      <a:off x="0" y="0"/>
                      <a:ext cx="4754880" cy="4754880"/>
                    </a:xfrm>
                    <a:prstGeom prst="rect">
                      <a:avLst/>
                    </a:prstGeom>
                    <a:noFill/>
                    <a:ln w="9525">
                      <a:noFill/>
                      <a:headEnd/>
                      <a:tailEnd/>
                    </a:ln>
                  </pic:spPr>
                </pic:pic>
              </a:graphicData>
            </a:graphic>
          </wp:inline>
        </w:drawing>
      </w:r>
    </w:p>
    <w:bookmarkEnd w:id="35"/>
    <w:bookmarkEnd w:id="36"/>
    <w:p>
      <w:pPr>
        <w:pStyle w:val="AfterWithoutNote"/>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BodyText"/>
      </w:pPr>
      <w:r>
        <w:t xml:space="preserve">The control chamber was kept at temperatures representing typical seasonal conditions, with water temperatures ranging from 18°C to 19°C and air temperatures from 18°C to 23°C, following natural circadian temperature fluctuations (</w:t>
      </w:r>
      <w:hyperlink w:anchor="fig-Profile">
        <w:r>
          <w:rPr>
            <w:rStyle w:val="Hyperlink"/>
          </w:rPr>
          <w:t xml:space="preserve">Figure 3</w:t>
        </w:r>
      </w:hyperlink>
      <w:r>
        <w:t xml:space="preserve"> </w:t>
      </w:r>
      <w:r>
        <w:t xml:space="preserve">left).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concluded only when no changes in the reflectance of the treatment were observed for two consecutive days.</w:t>
      </w:r>
    </w:p>
    <w:bookmarkStart w:id="41" w:name="cell-fig-Profile"/>
    <w:bookmarkStart w:id="40" w:name="fig-Profile"/>
    <w:p>
      <w:pPr>
        <w:pStyle w:val="FigureTitle"/>
      </w:pPr>
      <w:r>
        <w:t xml:space="preserve">Figure 3</w:t>
      </w:r>
    </w:p>
    <w:p>
      <w:pPr>
        <w:pStyle w:val="Caption"/>
      </w:pPr>
      <w:r>
        <w:t xml:space="preserve">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p>
      <w:pPr>
        <w:pStyle w:val="FigureWithoutNote"/>
      </w:pPr>
      <w:r>
        <w:drawing>
          <wp:inline>
            <wp:extent cx="5943600" cy="2718555"/>
            <wp:effectExtent b="0" l="0" r="0" t="0"/>
            <wp:docPr descr="" title="" id="38" name="Picture"/>
            <a:graphic>
              <a:graphicData uri="http://schemas.openxmlformats.org/drawingml/2006/picture">
                <pic:pic>
                  <pic:nvPicPr>
                    <pic:cNvPr descr="Figs/Low_res/Chamber_Profils.png" id="39" name="Picture"/>
                    <pic:cNvPicPr>
                      <a:picLocks noChangeArrowheads="1" noChangeAspect="1"/>
                    </pic:cNvPicPr>
                  </pic:nvPicPr>
                  <pic:blipFill>
                    <a:blip r:embed="rId37"/>
                    <a:stretch>
                      <a:fillRect/>
                    </a:stretch>
                  </pic:blipFill>
                  <pic:spPr bwMode="auto">
                    <a:xfrm>
                      <a:off x="0" y="0"/>
                      <a:ext cx="5943600" cy="2718555"/>
                    </a:xfrm>
                    <a:prstGeom prst="rect">
                      <a:avLst/>
                    </a:prstGeom>
                    <a:noFill/>
                    <a:ln w="9525">
                      <a:noFill/>
                      <a:headEnd/>
                      <a:tailEnd/>
                    </a:ln>
                  </pic:spPr>
                </pic:pic>
              </a:graphicData>
            </a:graphic>
          </wp:inline>
        </w:drawing>
      </w:r>
    </w:p>
    <w:bookmarkEnd w:id="40"/>
    <w:bookmarkEnd w:id="41"/>
    <w:bookmarkEnd w:id="42"/>
    <w:bookmarkStart w:id="48" w:name="Xace924ada36ed3f851fe125e1fb1311c1764a5d"/>
    <w:p>
      <w:pPr>
        <w:pStyle w:val="Heading3"/>
      </w:pPr>
      <w:r>
        <w:t xml:space="preserve">2.1.3 Bio-optical measurmenents over seagrass leaves</w:t>
      </w:r>
    </w:p>
    <w:p>
      <w:pPr>
        <w:pStyle w:val="Heading4"/>
        <w:rPr>
          <w:vanish/>
          <w:specVanish/>
        </w:rPr>
      </w:pPr>
      <w:r>
        <w:t>Hyperspectral measurements.</w:t>
      </w:r>
      <w:r>
        <w:t xml:space="preserve"> </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43">
        <w:r>
          <w:rPr>
            <w:rStyle w:val="Hyperlink"/>
          </w:rPr>
          <w:t xml:space="preserve">RS3 softaware</w:t>
        </w:r>
      </w:hyperlink>
      <w:r>
        <w:t xml:space="preserve"> </w:t>
      </w:r>
      <w:r>
        <w:t xml:space="preserve">developed by the instrument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w:t>
      </w:r>
      <w:hyperlink w:anchor="ref-rouse1974monitoring">
        <w:r>
          <w:rPr>
            <w:rStyle w:val="Hyperlink"/>
          </w:rPr>
          <w:t xml:space="preserve">1974</w:t>
        </w:r>
      </w:hyperlink>
      <w:r>
        <w:t xml:space="preserve">)</w:t>
      </w:r>
      <w:r>
        <w:t xml:space="preserve">), as a proxy of the concentration of chlorophyll-a (</w:t>
      </w:r>
      <w:hyperlink w:anchor="eq-ndvi">
        <w:r>
          <w:rPr>
            <w:rStyle w:val="Hyperlink"/>
          </w:rPr>
          <w:t xml:space="preserve">Equation 1</w:t>
        </w:r>
      </w:hyperlink>
      <w:r>
        <w:t xml:space="preserve">)</w:t>
      </w:r>
    </w:p>
    <w:p>
      <w:pPr>
        <w:pStyle w:val="FirstParagraph"/>
      </w:pPr>
      <w:bookmarkStart w:id="44"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4"/>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w:t>
      </w:r>
      <w:hyperlink w:anchor="ref-zoffoli2020sentinel">
        <w:r>
          <w:rPr>
            <w:rStyle w:val="Hyperlink"/>
          </w:rPr>
          <w:t xml:space="preserve">2020</w:t>
        </w:r>
      </w:hyperlink>
      <w:r>
        <w:t xml:space="preserve">)</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5"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5"/>
    </w:p>
    <w:p>
      <w:pPr>
        <w:pStyle w:val="Compact"/>
        <w:numPr>
          <w:ilvl w:val="0"/>
          <w:numId w:val="1003"/>
        </w:numPr>
      </w:pPr>
      <w:r>
        <w:t xml:space="preserve">The Green Leaf Index (GLI,</w:t>
      </w:r>
      <w:r>
        <w:t xml:space="preserve"> </w:t>
      </w:r>
      <w:r>
        <w:t xml:space="preserve">Louhaichi et al. (</w:t>
      </w:r>
      <w:hyperlink w:anchor="ref-louhaichi2001spatially">
        <w:r>
          <w:rPr>
            <w:rStyle w:val="Hyperlink"/>
          </w:rPr>
          <w:t xml:space="preserve">2001</w:t>
        </w:r>
      </w:hyperlink>
      <w:r>
        <w:t xml:space="preserve">)</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6"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6"/>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Heading4"/>
        <w:rPr>
          <w:vanish/>
          <w:specVanish/>
        </w:rPr>
      </w:pPr>
      <w:r>
        <w:t>WILL BE REMOVED - Multispectral imagery measurement.</w:t>
      </w:r>
      <w:r>
        <w:t xml:space="preserve"> </w:t>
      </w:r>
    </w:p>
    <w:p>
      <w:pPr>
        <w:pStyle w:val="BlockText"/>
      </w:pPr>
      <w:r>
        <w:t xml:space="preserve">Parallel to hyperspectral measurements, multispectral images were taken at the beginning and end of each diurnal low tide (09:00 am and 03:00 pm). A Micasense RedEdge-MX Dual multispectral camera, originally designed to be mounted on a drone, was modified for use without a drone. A 3D-printed mount was designed to attach the camera to the intertidal chamber and ensure that each picture was captured under the same conditions. At each time step (09:00 am and 03:00 pm), a first picture of the Spectralon was taken to allow for image correction in reflectance, followed by a second picture of the target.</w:t>
      </w:r>
      <w:r>
        <w:t xml:space="preserve"> </w:t>
      </w:r>
      <w:hyperlink r:id="rId47">
        <w:r>
          <w:rPr>
            <w:rStyle w:val="Hyperlink"/>
          </w:rPr>
          <w:t xml:space="preserve">DISCOV</w:t>
        </w:r>
      </w:hyperlink>
      <w:r>
        <w:t xml:space="preserve">, a Neural Network classification model previously developed to map intertidal vegetation using drone imagery, has been applied to each image taken inside the intertidal chambers. To understand the behavior of the model on seagrasses affected by heatwaves, classification images from before and after the heatwave have been compared.</w:t>
      </w:r>
    </w:p>
    <w:p>
      <w:pPr>
        <w:pStyle w:val="Heading4"/>
        <w:rPr>
          <w:vanish/>
          <w:specVanish/>
        </w:rPr>
      </w:pPr>
      <w:r>
        <w:t>Pigment concentration measurements.</w:t>
      </w:r>
      <w:r>
        <w:t xml:space="preserve"> </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8"/>
    <w:bookmarkEnd w:id="49"/>
    <w:bookmarkStart w:id="65" w:name="X27a1969d5b72398d0a273597903fb82da79178c"/>
    <w:p>
      <w:pPr>
        <w:pStyle w:val="Heading2"/>
      </w:pPr>
      <w:r>
        <w:t xml:space="preserve">2.2 Observation of seagrass leaves darkening.</w:t>
      </w:r>
    </w:p>
    <w:bookmarkStart w:id="60" w:name="field-observation"/>
    <w:p>
      <w:pPr>
        <w:pStyle w:val="Heading3"/>
      </w:pPr>
      <w:r>
        <w:t xml:space="preserve">2.2.1 Field Observation</w:t>
      </w:r>
    </w:p>
    <w:bookmarkStart w:id="54" w:name="cell-fig-quiberonMap"/>
    <w:bookmarkStart w:id="53" w:name="fig-quiberonMap"/>
    <w:p>
      <w:pPr>
        <w:pStyle w:val="FigureTitle"/>
      </w:pPr>
      <w:r>
        <w:t xml:space="preserve">Figure 4</w:t>
      </w:r>
    </w:p>
    <w:p>
      <w:pPr>
        <w:pStyle w:val="Caption"/>
      </w:pPr>
      <w:r>
        <w:t xml:space="preserve">Location of the fieldtrip campaign that occured in the 10th of September 2021. The light grey polygons indicates the intertidal zone (Zone between High tide and low tide, that is totally emerged at low tide) and the dark grey polygon indicate the extent of the drone flight. Green dots indicate location of quadrat picture over green seagrasses while red dots indicate location of quadrat took over darkened seagrasses.</w:t>
      </w:r>
    </w:p>
    <w:p>
      <w:pPr>
        <w:pStyle w:val="FigureWithoutNote"/>
      </w:pPr>
      <w:r>
        <w:drawing>
          <wp:inline>
            <wp:extent cx="5943600" cy="6080409"/>
            <wp:effectExtent b="0" l="0" r="0" t="0"/>
            <wp:docPr descr="" title="" id="51" name="Picture"/>
            <a:graphic>
              <a:graphicData uri="http://schemas.openxmlformats.org/drawingml/2006/picture">
                <pic:pic>
                  <pic:nvPicPr>
                    <pic:cNvPr descr="Figs/Low_res/Quiberon_map.png" id="52" name="Picture"/>
                    <pic:cNvPicPr>
                      <a:picLocks noChangeArrowheads="1" noChangeAspect="1"/>
                    </pic:cNvPicPr>
                  </pic:nvPicPr>
                  <pic:blipFill>
                    <a:blip r:embed="rId50"/>
                    <a:stretch>
                      <a:fillRect/>
                    </a:stretch>
                  </pic:blipFill>
                  <pic:spPr bwMode="auto">
                    <a:xfrm>
                      <a:off x="0" y="0"/>
                      <a:ext cx="5943600" cy="6080409"/>
                    </a:xfrm>
                    <a:prstGeom prst="rect">
                      <a:avLst/>
                    </a:prstGeom>
                    <a:noFill/>
                    <a:ln w="9525">
                      <a:noFill/>
                      <a:headEnd/>
                      <a:tailEnd/>
                    </a:ln>
                  </pic:spPr>
                </pic:pic>
              </a:graphicData>
            </a:graphic>
          </wp:inline>
        </w:drawing>
      </w:r>
    </w:p>
    <w:bookmarkEnd w:id="53"/>
    <w:bookmarkEnd w:id="54"/>
    <w:p>
      <w:pPr>
        <w:pStyle w:val="AfterWithoutNote"/>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significant darkening of seagrass leaves was observed over large areas of the meadow (</w:t>
      </w:r>
      <w:hyperlink w:anchor="fig-QuiberonImg">
        <w:r>
          <w:rPr>
            <w:rStyle w:val="Hyperlink"/>
          </w:rPr>
          <w:t xml:space="preserve">Figure 5</w:t>
        </w:r>
      </w:hyperlink>
      <w:r>
        <w:t xml:space="preserve"> </w:t>
      </w:r>
      <w:r>
        <w:t xml:space="preserve">C &amp; D). A total of 122 Ground Control Points (GCPs) were collected in the form of georeferenced quadrat images across the meadow.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59" w:name="cell-fig-QuiberonImg"/>
    <w:bookmarkStart w:id="58" w:name="fig-QuiberonImg"/>
    <w:p>
      <w:pPr>
        <w:pStyle w:val="FigureTitle"/>
      </w:pPr>
      <w:r>
        <w:t xml:space="preserve">Figure 5</w:t>
      </w:r>
    </w:p>
    <w:p>
      <w:pPr>
        <w:pStyle w:val="Caption"/>
      </w:pPr>
      <w:r>
        <w:t xml:space="preserve">Illustrations of the two health conditions of seagrasses observed in the field. A: Global view of a green green meadow; B: Quadrat images of green seagrasses; C: Quadrat images of darkened seagrasses; D: Global view of an darkened meadow. All images were taken on September 10th, 2021, in Quiberon.</w:t>
      </w:r>
    </w:p>
    <w:p>
      <w:pPr>
        <w:pStyle w:val="FigureWithoutNote"/>
      </w:pPr>
      <w:r>
        <w:drawing>
          <wp:inline>
            <wp:extent cx="5943600" cy="3929594"/>
            <wp:effectExtent b="0" l="0" r="0" t="0"/>
            <wp:docPr descr="" title="" id="56" name="Picture"/>
            <a:graphic>
              <a:graphicData uri="http://schemas.openxmlformats.org/drawingml/2006/picture">
                <pic:pic>
                  <pic:nvPicPr>
                    <pic:cNvPr descr="Figs/Low_res/img_Quiberon.png" id="57" name="Picture"/>
                    <pic:cNvPicPr>
                      <a:picLocks noChangeArrowheads="1" noChangeAspect="1"/>
                    </pic:cNvPicPr>
                  </pic:nvPicPr>
                  <pic:blipFill>
                    <a:blip r:embed="rId55"/>
                    <a:stretch>
                      <a:fillRect/>
                    </a:stretch>
                  </pic:blipFill>
                  <pic:spPr bwMode="auto">
                    <a:xfrm>
                      <a:off x="0" y="0"/>
                      <a:ext cx="5943600" cy="3929594"/>
                    </a:xfrm>
                    <a:prstGeom prst="rect">
                      <a:avLst/>
                    </a:prstGeom>
                    <a:noFill/>
                    <a:ln w="9525">
                      <a:noFill/>
                      <a:headEnd/>
                      <a:tailEnd/>
                    </a:ln>
                  </pic:spPr>
                </pic:pic>
              </a:graphicData>
            </a:graphic>
          </wp:inline>
        </w:drawing>
      </w:r>
    </w:p>
    <w:bookmarkEnd w:id="58"/>
    <w:bookmarkEnd w:id="59"/>
    <w:bookmarkEnd w:id="60"/>
    <w:bookmarkStart w:id="62" w:name="X73fb4b6725bb43bdc3c17946b41d73eba45f33b"/>
    <w:p>
      <w:pPr>
        <w:pStyle w:val="Heading3"/>
      </w:pPr>
      <w:r>
        <w:t xml:space="preserve">2.2.2 Temparature Data and identification of heatwaves</w:t>
      </w:r>
    </w:p>
    <w:p>
      <w:pPr>
        <w:pStyle w:val="Heading4"/>
        <w:rPr>
          <w:vanish/>
          <w:specVanish/>
        </w:rPr>
      </w:pPr>
      <w:r>
        <w:t>Air temperature.</w:t>
      </w:r>
      <w:r>
        <w:t xml:space="preserve"> </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1">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w:t>
      </w:r>
      <w:hyperlink w:anchor="ref-heatwaveR">
        <w:r>
          <w:rPr>
            <w:rStyle w:val="Hyperlink"/>
          </w:rPr>
          <w:t xml:space="preserve">Schlegel and Smit, 2018</w:t>
        </w:r>
      </w:hyperlink>
      <w:r>
        <w:t xml:space="preserve">)</w:t>
      </w:r>
      <w:r>
        <w:t xml:space="preserve">. This package utilizes the methodology proposed by</w:t>
      </w:r>
      <w:r>
        <w:t xml:space="preserve"> </w:t>
      </w:r>
      <w:r>
        <w:t xml:space="preserve">Hobday et al. (</w:t>
      </w:r>
      <w:hyperlink w:anchor="ref-hobday2016hierarchical">
        <w:r>
          <w:rPr>
            <w:rStyle w:val="Hyperlink"/>
          </w:rPr>
          <w:t xml:space="preserve">2016</w:t>
        </w:r>
      </w:hyperlink>
      <w:r>
        <w:t xml:space="preserve">)</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w:t>
      </w:r>
      <w:hyperlink w:anchor="ref-hobday2018categorizing">
        <w:r>
          <w:rPr>
            <w:rStyle w:val="Hyperlink"/>
          </w:rPr>
          <w:t xml:space="preserve">2018</w:t>
        </w:r>
      </w:hyperlink>
      <w:r>
        <w:t xml:space="preserve">)</w:t>
      </w:r>
      <w:r>
        <w:t xml:space="preserve">. Following the methodology of</w:t>
      </w:r>
      <w:r>
        <w:t xml:space="preserve"> </w:t>
      </w:r>
      <w:r>
        <w:t xml:space="preserve">Schlegel et al. (</w:t>
      </w:r>
      <w:hyperlink w:anchor="ref-schlegel2017nearshore">
        <w:r>
          <w:rPr>
            <w:rStyle w:val="Hyperlink"/>
          </w:rPr>
          <w:t xml:space="preserve">2017</w:t>
        </w:r>
      </w:hyperlink>
      <w:r>
        <w:t xml:space="preserve">)</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p>
      <w:pPr>
        <w:pStyle w:val="Heading4"/>
        <w:rPr>
          <w:vanish/>
          <w:specVanish/>
        </w:rPr>
      </w:pPr>
      <w:r>
        <w:t>Water temperature.</w:t>
      </w:r>
      <w:r>
        <w:t xml:space="preserve"> </w:t>
      </w:r>
    </w:p>
    <w:p>
      <w:pPr>
        <w:pStyle w:val="BodyText"/>
      </w:pPr>
      <w:r>
        <w:t xml:space="preserve">SST data from the Copernicus CMEMS platform were downloaded for the French coast near Quiberon (47°29′03″N, 3°07′09″W), covering 1982-2022</w:t>
      </w:r>
      <w:r>
        <w:t xml:space="preserve"> </w:t>
      </w:r>
      <w:r>
        <w:t xml:space="preserve">(</w:t>
      </w:r>
      <w:hyperlink w:anchor="ref-CMEMS_1">
        <w:r>
          <w:rPr>
            <w:rStyle w:val="Hyperlink"/>
          </w:rPr>
          <w:t xml:space="preserve">CMEMS, 2024</w:t>
        </w:r>
      </w:hyperlink>
      <w:r>
        <w:t xml:space="preserve">)</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that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w:t>
      </w:r>
      <w:hyperlink w:anchor="ref-heatwaveR">
        <w:r>
          <w:rPr>
            <w:rStyle w:val="Hyperlink"/>
          </w:rPr>
          <w:t xml:space="preserve">Schlegel and Smit, 2018</w:t>
        </w:r>
      </w:hyperlink>
      <w:r>
        <w:t xml:space="preserve">)</w:t>
      </w:r>
      <w:r>
        <w:t xml:space="preserve"> </w:t>
      </w:r>
      <w:r>
        <w:t xml:space="preserve">was used to compute SST climatology and detect SST events using the same method as air temperature event detection.</w:t>
      </w:r>
    </w:p>
    <w:bookmarkEnd w:id="62"/>
    <w:bookmarkStart w:id="63"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w:t>
      </w:r>
      <w:hyperlink w:anchor="ref-copernicus_sentinel2">
        <w:r>
          <w:rPr>
            <w:rStyle w:val="Hyperlink"/>
          </w:rPr>
          <w:t xml:space="preserve">European Space Agency, 2024a</w:t>
        </w:r>
      </w:hyperlink>
      <w:r>
        <w:t xml:space="preserve">)</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w:t>
      </w:r>
      <w:hyperlink w:anchor="ref-sen2cor">
        <w:r>
          <w:rPr>
            <w:rStyle w:val="Hyperlink"/>
          </w:rPr>
          <w:t xml:space="preserve">European Space Agency, 2024b</w:t>
        </w:r>
      </w:hyperlink>
      <w:r>
        <w:t xml:space="preserve">)</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3"/>
    <w:bookmarkStart w:id="64"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w:t>
      </w:r>
      <w:hyperlink w:anchor="Xbef41143b4d4042e58f11cfc27e216202646012">
        <w:r>
          <w:rPr>
            <w:rStyle w:val="Hyperlink"/>
          </w:rPr>
          <w:t xml:space="preserve">SHOM, 2021</w:t>
        </w:r>
      </w:hyperlink>
      <w:r>
        <w:t xml:space="preserve">)</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w:t>
      </w:r>
      <w:hyperlink w:anchor="ref-ioc_sea_level_lecy">
        <w:r>
          <w:rPr>
            <w:rStyle w:val="Hyperlink"/>
          </w:rPr>
          <w:t xml:space="preserve">IOC, 2024</w:t>
        </w:r>
      </w:hyperlink>
      <w:r>
        <w:t xml:space="preserve">)</w:t>
      </w:r>
      <w:r>
        <w:t xml:space="preserve">, using measurements from the nearest tide gauge at Le Crouesty.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w:t>
      </w:r>
      <w:r>
        <w:t xml:space="preserve"> </w:t>
      </w:r>
      <w:hyperlink w:anchor="ref-shom_ram_2022">
        <w:r>
          <w:rPr>
            <w:rStyle w:val="Hyperlink"/>
          </w:rPr>
          <w:t xml:space="preserve">Shom, 2022</w:t>
        </w:r>
      </w:hyperlink>
      <w:r>
        <w:t xml:space="preserve">)</w:t>
      </w:r>
      <w:r>
        <w:t xml:space="preserve">, which provides these correction factors for each seaport along the French coastline. For Le Crouesty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4"/>
    <w:bookmarkEnd w:id="65"/>
    <w:bookmarkEnd w:id="66"/>
    <w:bookmarkStart w:id="112" w:name="results"/>
    <w:p>
      <w:pPr>
        <w:pStyle w:val="Heading1"/>
      </w:pPr>
      <w:r>
        <w:t xml:space="preserve">3. Results</w:t>
      </w:r>
    </w:p>
    <w:bookmarkStart w:id="87" w:name="laboratory-experiment-1"/>
    <w:p>
      <w:pPr>
        <w:pStyle w:val="Heading2"/>
      </w:pPr>
      <w:r>
        <w:t xml:space="preserve">3.1 Laboratory Experiment</w:t>
      </w:r>
    </w:p>
    <w:bookmarkStart w:id="72"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71" w:name="cell-fig-Exp_Spectra"/>
    <w:bookmarkStart w:id="70" w:name="fig-Exp_Spectra"/>
    <w:p>
      <w:pPr>
        <w:pStyle w:val="FigureTitle"/>
      </w:pPr>
      <w:r>
        <w:t xml:space="preserve">Figure 6</w:t>
      </w:r>
    </w:p>
    <w:p>
      <w:pPr>
        <w:pStyle w:val="Caption"/>
      </w:pPr>
      <w:r>
        <w:t xml:space="preserve">Hyperspectral Reflectance signature collected during the three days of the experiment for both the Control (Left) and the Treatment (Right). A min-max standardization has been applied to each individual spectrum. Temperature profiles applied to both scenarios are shown in</w:t>
      </w:r>
      <w:r>
        <w:t xml:space="preserve"> </w:t>
      </w:r>
      <w:hyperlink w:anchor="fig-Profile">
        <w:r>
          <w:rPr>
            <w:rStyle w:val="Hyperlink"/>
          </w:rPr>
          <w:t xml:space="preserve">Figure 3</w:t>
        </w:r>
      </w:hyperlink>
      <w:r>
        <w:t xml:space="preserve">.</w:t>
      </w:r>
    </w:p>
    <w:p>
      <w:pPr>
        <w:pStyle w:val="FigureWithoutNote"/>
      </w:pPr>
      <w:r>
        <w:drawing>
          <wp:inline>
            <wp:extent cx="5943600" cy="2971800"/>
            <wp:effectExtent b="0" l="0" r="0" t="0"/>
            <wp:docPr descr="" title="" id="68" name="Picture"/>
            <a:graphic>
              <a:graphicData uri="http://schemas.openxmlformats.org/drawingml/2006/picture">
                <pic:pic>
                  <pic:nvPicPr>
                    <pic:cNvPr descr="Figs/Low_res/plot_Spectra_exp.png" id="69" name="Picture"/>
                    <pic:cNvPicPr>
                      <a:picLocks noChangeArrowheads="1" noChangeAspect="1"/>
                    </pic:cNvPicPr>
                  </pic:nvPicPr>
                  <pic:blipFill>
                    <a:blip r:embed="rId67"/>
                    <a:stretch>
                      <a:fillRect/>
                    </a:stretch>
                  </pic:blipFill>
                  <pic:spPr bwMode="auto">
                    <a:xfrm>
                      <a:off x="0" y="0"/>
                      <a:ext cx="5943600" cy="2971800"/>
                    </a:xfrm>
                    <a:prstGeom prst="rect">
                      <a:avLst/>
                    </a:prstGeom>
                    <a:noFill/>
                    <a:ln w="9525">
                      <a:noFill/>
                      <a:headEnd/>
                      <a:tailEnd/>
                    </a:ln>
                  </pic:spPr>
                </pic:pic>
              </a:graphicData>
            </a:graphic>
          </wp:inline>
        </w:drawing>
      </w:r>
    </w:p>
    <w:bookmarkEnd w:id="70"/>
    <w:bookmarkEnd w:id="71"/>
    <w:bookmarkEnd w:id="72"/>
    <w:bookmarkStart w:id="78"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maximum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64 %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50 and 68 %,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77" w:name="cell-fig-Exp_Spectral_indices"/>
    <w:bookmarkStart w:id="76" w:name="fig-Exp_Spectral_indices"/>
    <w:p>
      <w:pPr>
        <w:pStyle w:val="FigureTitle"/>
      </w:pPr>
      <w:r>
        <w:t xml:space="preserve">Figure 7</w:t>
      </w:r>
    </w:p>
    <w:p>
      <w:pPr>
        <w:pStyle w:val="Caption"/>
      </w:pPr>
      <w:r>
        <w:t xml:space="preserve">Second Derivative of the Control and the Treatment (A) and evolution of the second derivative (B), the NDVI (C) and the GLI (D) over Time. A: Mean and standard deviation of the second derivative for both Control and Treatment groups on the final day of the experiment; B: Relative evolution of the second derivative at 665 nm between Treatment and Control groups over time across three replicates. Points indicate raw data, the line represents a generalized linear model, and the shaded area the model’s standard error; C: Relative evolution of NDVI for the Treatment group compared to the Control group over time across three replicates. Points indicate raw data, the line represents a generalized linear model, and the shaded area the model’s standard error; D: Relative evolution of GLI for the Treatment group relative to the Control group over time across three replicates. Points indicate raw data, the line represents a generalized linear model, and the shaded area the model’s standard error.</w:t>
      </w:r>
    </w:p>
    <w:p>
      <w:pPr>
        <w:pStyle w:val="FigureWithoutNote"/>
      </w:pPr>
      <w:r>
        <w:drawing>
          <wp:inline>
            <wp:extent cx="5943600" cy="5943600"/>
            <wp:effectExtent b="0" l="0" r="0" t="0"/>
            <wp:docPr descr="" title="" id="74" name="Picture"/>
            <a:graphic>
              <a:graphicData uri="http://schemas.openxmlformats.org/drawingml/2006/picture">
                <pic:pic>
                  <pic:nvPicPr>
                    <pic:cNvPr descr="Figs/Low_res/merged_indices.png" id="75" name="Picture"/>
                    <pic:cNvPicPr>
                      <a:picLocks noChangeArrowheads="1" noChangeAspect="1"/>
                    </pic:cNvPicPr>
                  </pic:nvPicPr>
                  <pic:blipFill>
                    <a:blip r:embed="rId73"/>
                    <a:stretch>
                      <a:fillRect/>
                    </a:stretch>
                  </pic:blipFill>
                  <pic:spPr bwMode="auto">
                    <a:xfrm>
                      <a:off x="0" y="0"/>
                      <a:ext cx="5943600" cy="5943600"/>
                    </a:xfrm>
                    <a:prstGeom prst="rect">
                      <a:avLst/>
                    </a:prstGeom>
                    <a:noFill/>
                    <a:ln w="9525">
                      <a:noFill/>
                      <a:headEnd/>
                      <a:tailEnd/>
                    </a:ln>
                  </pic:spPr>
                </pic:pic>
              </a:graphicData>
            </a:graphic>
          </wp:inline>
        </w:drawing>
      </w:r>
    </w:p>
    <w:bookmarkEnd w:id="76"/>
    <w:bookmarkEnd w:id="77"/>
    <w:bookmarkEnd w:id="78"/>
    <w:bookmarkStart w:id="85" w:name="X0a3b57fb6e58dace6488d21e37474af411bb7be"/>
    <w:p>
      <w:pPr>
        <w:pStyle w:val="Heading3"/>
      </w:pPr>
      <w:r>
        <w:t xml:space="preserve">3.1.3 Buidling the Seagrass Darkening radiometric index</w:t>
      </w:r>
    </w:p>
    <w:p>
      <w:pPr>
        <w:pStyle w:val="FirstParagraph"/>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Hyperlink"/>
          </w:rPr>
          <w:t xml:space="preserve">Figure 7</w:t>
        </w:r>
      </w:hyperlink>
      <w:r>
        <w:t xml:space="preserve">).</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w:bookmarkStart w:id="79" w:name="eq-SDI"/>
      <m:oMathPara>
        <m:oMathParaPr>
          <m:jc m:val="center"/>
        </m:oMathParaPr>
        <m:oMath>
          <m:r>
            <m:rPr>
              <m:nor/>
              <m:sty m:val="p"/>
            </m:rPr>
            <m:t>SDI</m:t>
          </m:r>
          <m:r>
            <m:rPr>
              <m:sty m:val="p"/>
            </m:rPr>
            <m:t>=</m:t>
          </m:r>
          <m:d>
            <m:dPr>
              <m:begChr m:val="["/>
              <m:endChr m:val="]"/>
              <m:sepChr m:val=""/>
              <m:grow/>
            </m:dPr>
            <m:e>
              <m:r>
                <m:t>R</m:t>
              </m:r>
              <m:d>
                <m:dPr>
                  <m:begChr m:val="("/>
                  <m:endChr m:val=")"/>
                  <m:sepChr m:val=""/>
                  <m:grow/>
                </m:dPr>
                <m:e>
                  <m:r>
                    <m:t>560</m:t>
                  </m:r>
                </m:e>
              </m:d>
              <m:r>
                <m:rPr>
                  <m:sty m:val="p"/>
                </m:rPr>
                <m:t>+</m:t>
              </m:r>
              <m:r>
                <m:t>0.64</m:t>
              </m:r>
              <m:r>
                <m:rPr>
                  <m:sty m:val="p"/>
                </m:rPr>
                <m:t>⋅</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e>
          </m:d>
          <m:r>
            <m:rPr>
              <m:sty m:val="p"/>
            </m:rPr>
            <m:t>−</m:t>
          </m:r>
          <m:r>
            <m:t>R</m:t>
          </m:r>
          <m:d>
            <m:dPr>
              <m:begChr m:val="("/>
              <m:endChr m:val=")"/>
              <m:sepChr m:val=""/>
              <m:grow/>
            </m:dPr>
            <m:e>
              <m:r>
                <m:t>740</m:t>
              </m:r>
            </m:e>
          </m:d>
          <m:r>
            <m:t>  </m:t>
          </m:r>
          <m:d>
            <m:dPr>
              <m:begChr m:val="("/>
              <m:endChr m:val=")"/>
              <m:sepChr m:val=""/>
              <m:grow/>
            </m:dPr>
            <m:e>
              <m:r>
                <m:t>4</m:t>
              </m:r>
            </m:e>
          </m:d>
        </m:oMath>
      </m:oMathPara>
      <w:bookmarkEnd w:id="79"/>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Start w:id="84" w:name="cell-fig-SDI_exp"/>
    <w:bookmarkStart w:id="83" w:name="fig-SDI_exp"/>
    <w:p>
      <w:pPr>
        <w:pStyle w:val="FigureTitle"/>
      </w:pPr>
      <w:r>
        <w:t xml:space="preserve">Figure 8</w:t>
      </w:r>
    </w:p>
    <w:p>
      <w:pPr>
        <w:pStyle w:val="Caption"/>
      </w:pPr>
      <w:r>
        <w:t xml:space="preserve">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p>
      <w:pPr>
        <w:pStyle w:val="FigureWithoutNote"/>
      </w:pPr>
      <w:r>
        <w:drawing>
          <wp:inline>
            <wp:extent cx="5943600" cy="2971800"/>
            <wp:effectExtent b="0" l="0" r="0" t="0"/>
            <wp:docPr descr="" title="" id="81" name="Picture"/>
            <a:graphic>
              <a:graphicData uri="http://schemas.openxmlformats.org/drawingml/2006/picture">
                <pic:pic>
                  <pic:nvPicPr>
                    <pic:cNvPr descr="Figs/Low_res/PLOT_SDI_exp.png" id="82" name="Picture"/>
                    <pic:cNvPicPr>
                      <a:picLocks noChangeArrowheads="1" noChangeAspect="1"/>
                    </pic:cNvPicPr>
                  </pic:nvPicPr>
                  <pic:blipFill>
                    <a:blip r:embed="rId80"/>
                    <a:stretch>
                      <a:fillRect/>
                    </a:stretch>
                  </pic:blipFill>
                  <pic:spPr bwMode="auto">
                    <a:xfrm>
                      <a:off x="0" y="0"/>
                      <a:ext cx="5943600" cy="2971800"/>
                    </a:xfrm>
                    <a:prstGeom prst="rect">
                      <a:avLst/>
                    </a:prstGeom>
                    <a:noFill/>
                    <a:ln w="9525">
                      <a:noFill/>
                      <a:headEnd/>
                      <a:tailEnd/>
                    </a:ln>
                  </pic:spPr>
                </pic:pic>
              </a:graphicData>
            </a:graphic>
          </wp:inline>
        </w:drawing>
      </w:r>
    </w:p>
    <w:bookmarkEnd w:id="83"/>
    <w:bookmarkEnd w:id="84"/>
    <w:p>
      <w:pPr>
        <w:pStyle w:val="AfterWithoutNote"/>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w:t>
      </w:r>
      <w:hyperlink w:anchor="fig-SDI_exp">
        <w:r>
          <w:rPr>
            <w:rStyle w:val="Hyperlink"/>
          </w:rPr>
          <w:t xml:space="preserve">Figure 8</w:t>
        </w:r>
      </w:hyperlink>
      <w:r>
        <w:t xml:space="preserve">, right).</w:t>
      </w:r>
    </w:p>
    <w:bookmarkEnd w:id="85"/>
    <w:bookmarkStart w:id="86" w:name="X03f1f92316c3f266276e7acc4c55e66c6a0add8"/>
    <w:p>
      <w:pPr>
        <w:pStyle w:val="Heading3"/>
      </w:pPr>
      <w:r>
        <w:t xml:space="preserve">3.1.4 Pigment composition evolution along the experiment</w:t>
      </w:r>
    </w:p>
    <w:p>
      <w:pPr>
        <w:pStyle w:val="FirstParagraph"/>
      </w:pPr>
      <w:r>
        <w:t xml:space="preserve">bla bla bla bla</w:t>
      </w:r>
    </w:p>
    <w:bookmarkEnd w:id="86"/>
    <w:bookmarkEnd w:id="87"/>
    <w:bookmarkStart w:id="111" w:name="heatwaves-of-quiberon"/>
    <w:p>
      <w:pPr>
        <w:pStyle w:val="Heading2"/>
      </w:pPr>
      <w:r>
        <w:t xml:space="preserve">3.2 Heatwaves of Quiberon</w:t>
      </w:r>
    </w:p>
    <w:bookmarkStart w:id="93"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9</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9</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92" w:name="cell-fig-S2_comparison"/>
    <w:bookmarkStart w:id="91" w:name="fig-S2_comparison"/>
    <w:p>
      <w:pPr>
        <w:pStyle w:val="FigureTitle"/>
      </w:pPr>
      <w:r>
        <w:t xml:space="preserve">Figure 9</w:t>
      </w:r>
    </w:p>
    <w:p>
      <w:pPr>
        <w:pStyle w:val="Caption"/>
      </w:pPr>
      <w:r>
        <w:t xml:space="preserve">Spectral Comparison of Sentinel-2 Reflectance (D) over Ground Control Points (GCPs) Before (A) and During (B) Heatwave Events (C); A: RGB color composition of the Sentinel-2 image on the 1st of September 2021. The points correspond to GCPs collected on September 10, 2021</w:t>
      </w:r>
      <w:r>
        <w:t xml:space="preserve"> </w:t>
      </w:r>
      <w:hyperlink w:anchor="fig-quiberonMap">
        <w:r>
          <w:rPr>
            <w:rStyle w:val="Hyperlink"/>
          </w:rPr>
          <w:t xml:space="preserve">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identidy heatwaves (marine in blue and atmospherical in red). The two vertical dashed lines represent the acquisition dates of the two Sentinel-2 images used in this analysis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p>
      <w:pPr>
        <w:pStyle w:val="FigureWithoutNote"/>
      </w:pPr>
      <w:r>
        <w:drawing>
          <wp:inline>
            <wp:extent cx="5943600" cy="5054600"/>
            <wp:effectExtent b="0" l="0" r="0" t="0"/>
            <wp:docPr descr="" title="" id="89" name="Picture"/>
            <a:graphic>
              <a:graphicData uri="http://schemas.openxmlformats.org/drawingml/2006/picture">
                <pic:pic>
                  <pic:nvPicPr>
                    <pic:cNvPr descr="Figs/Low_res/Heatwaves_S2_plot.png" id="90" name="Picture"/>
                    <pic:cNvPicPr>
                      <a:picLocks noChangeArrowheads="1" noChangeAspect="1"/>
                    </pic:cNvPicPr>
                  </pic:nvPicPr>
                  <pic:blipFill>
                    <a:blip r:embed="rId88"/>
                    <a:stretch>
                      <a:fillRect/>
                    </a:stretch>
                  </pic:blipFill>
                  <pic:spPr bwMode="auto">
                    <a:xfrm>
                      <a:off x="0" y="0"/>
                      <a:ext cx="5943600" cy="5054600"/>
                    </a:xfrm>
                    <a:prstGeom prst="rect">
                      <a:avLst/>
                    </a:prstGeom>
                    <a:noFill/>
                    <a:ln w="9525">
                      <a:noFill/>
                      <a:headEnd/>
                      <a:tailEnd/>
                    </a:ln>
                  </pic:spPr>
                </pic:pic>
              </a:graphicData>
            </a:graphic>
          </wp:inline>
        </w:drawing>
      </w:r>
    </w:p>
    <w:bookmarkEnd w:id="91"/>
    <w:bookmarkEnd w:id="92"/>
    <w:bookmarkEnd w:id="93"/>
    <w:bookmarkStart w:id="99" w:name="radiometric-indices-comparison-1"/>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10</w:t>
        </w:r>
      </w:hyperlink>
      <w:r>
        <w:t xml:space="preserve">, left column) In contrast, seagrass darkened by the heatwave exhibited a significant decrease in both index values and SPC (</w:t>
      </w:r>
      <w:hyperlink w:anchor="fig-NDVI_GLI_SPC">
        <w:r>
          <w:rPr>
            <w:rStyle w:val="Hyperlink"/>
          </w:rPr>
          <w:t xml:space="preserve">Figure 10</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10</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10</w:t>
        </w:r>
      </w:hyperlink>
      <w:r>
        <w:t xml:space="preserve"> </w:t>
      </w:r>
      <w:r>
        <w:t xml:space="preserve">D). The GLI, the index that reflects the greenness of leaves, was the most affected by the event, with an important reduction from a median of 0.23 to 0.03 during the event (</w:t>
      </w:r>
      <w:hyperlink w:anchor="fig-NDVI_GLI_SPC">
        <w:r>
          <w:rPr>
            <w:rStyle w:val="Hyperlink"/>
          </w:rPr>
          <w:t xml:space="preserve">Figure 10</w:t>
        </w:r>
      </w:hyperlink>
      <w:r>
        <w:t xml:space="preserve"> </w:t>
      </w:r>
      <w:r>
        <w:t xml:space="preserve">F). Interestingly, when comparing the initial seagrass density of both targets (i.e., seagrass density before the event) pixels affected by the heatwave (median SPC = 85%;</w:t>
      </w:r>
      <w:r>
        <w:t xml:space="preserve"> </w:t>
      </w:r>
      <w:hyperlink w:anchor="fig-NDVI_GLI_SPC">
        <w:r>
          <w:rPr>
            <w:rStyle w:val="Hyperlink"/>
          </w:rPr>
          <w:t xml:space="preserve">Figure 10</w:t>
        </w:r>
      </w:hyperlink>
      <w:r>
        <w:t xml:space="preserve"> </w:t>
      </w:r>
      <w:r>
        <w:t xml:space="preserve">D green) were denser than the those remained unchanged (median SPC = 65%;</w:t>
      </w:r>
      <w:r>
        <w:t xml:space="preserve"> </w:t>
      </w:r>
      <w:hyperlink w:anchor="fig-NDVI_GLI_SPC">
        <w:r>
          <w:rPr>
            <w:rStyle w:val="Hyperlink"/>
          </w:rPr>
          <w:t xml:space="preserve">Figure 10</w:t>
        </w:r>
      </w:hyperlink>
      <w:r>
        <w:t xml:space="preserve"> </w:t>
      </w:r>
      <w:r>
        <w:t xml:space="preserve">C green).</w:t>
      </w:r>
    </w:p>
    <w:bookmarkStart w:id="98" w:name="cell-fig-NDVI_GLI_SPC"/>
    <w:bookmarkStart w:id="97" w:name="fig-NDVI_GLI_SPC"/>
    <w:p>
      <w:pPr>
        <w:pStyle w:val="FigureTitle"/>
      </w:pPr>
      <w:r>
        <w:t xml:space="preserve">Figure 10</w:t>
      </w:r>
    </w:p>
    <w:p>
      <w:pPr>
        <w:pStyle w:val="Caption"/>
      </w:pPr>
      <w:r>
        <w:t xml:space="preserve">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p>
      <w:pPr>
        <w:pStyle w:val="FigureWithoutNote"/>
      </w:pPr>
      <w:r>
        <w:drawing>
          <wp:inline>
            <wp:extent cx="4754880" cy="6792685"/>
            <wp:effectExtent b="0" l="0" r="0" t="0"/>
            <wp:docPr descr="" title="" id="95" name="Picture"/>
            <a:graphic>
              <a:graphicData uri="http://schemas.openxmlformats.org/drawingml/2006/picture">
                <pic:pic>
                  <pic:nvPicPr>
                    <pic:cNvPr descr="Figs/Low_res/Compares_Indices_S2.png" id="96" name="Picture"/>
                    <pic:cNvPicPr>
                      <a:picLocks noChangeArrowheads="1" noChangeAspect="1"/>
                    </pic:cNvPicPr>
                  </pic:nvPicPr>
                  <pic:blipFill>
                    <a:blip r:embed="rId94"/>
                    <a:stretch>
                      <a:fillRect/>
                    </a:stretch>
                  </pic:blipFill>
                  <pic:spPr bwMode="auto">
                    <a:xfrm>
                      <a:off x="0" y="0"/>
                      <a:ext cx="4754880" cy="6792685"/>
                    </a:xfrm>
                    <a:prstGeom prst="rect">
                      <a:avLst/>
                    </a:prstGeom>
                    <a:noFill/>
                    <a:ln w="9525">
                      <a:noFill/>
                      <a:headEnd/>
                      <a:tailEnd/>
                    </a:ln>
                  </pic:spPr>
                </pic:pic>
              </a:graphicData>
            </a:graphic>
          </wp:inline>
        </w:drawing>
      </w:r>
    </w:p>
    <w:bookmarkEnd w:id="97"/>
    <w:bookmarkEnd w:id="98"/>
    <w:bookmarkEnd w:id="99"/>
    <w:bookmarkStart w:id="110" w:name="mapping-of-the-seagrass-darkening"/>
    <w:p>
      <w:pPr>
        <w:pStyle w:val="Heading3"/>
      </w:pPr>
      <w:r>
        <w:t xml:space="preserve">3.2.3 Mapping of the seagrass darkening</w:t>
      </w:r>
    </w:p>
    <w:p>
      <w:pPr>
        <w:pStyle w:val="FirstParagraph"/>
      </w:pPr>
      <w:r>
        <w:t xml:space="preserve">Using the</w:t>
      </w:r>
      <w:r>
        <w:t xml:space="preserve">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25 %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11</w:t>
        </w:r>
      </w:hyperlink>
      <w:r>
        <w:t xml:space="preserve">, A and B).</w:t>
      </w:r>
    </w:p>
    <w:bookmarkStart w:id="104" w:name="cell-fig-Map_darkening_Bathy"/>
    <w:bookmarkStart w:id="103" w:name="fig-Map_darkening_Bathy"/>
    <w:p>
      <w:pPr>
        <w:pStyle w:val="FigureTitle"/>
      </w:pPr>
      <w:r>
        <w:t xml:space="preserve">Figure 11</w:t>
      </w:r>
    </w:p>
    <w:p>
      <w:pPr>
        <w:pStyle w:val="Caption"/>
      </w:pPr>
      <w:r>
        <w:t xml:space="preserve">Map of the Darkening of seagrasses during the heatwave events of September 2021 in Quiberon. A: 3.9 m bathymetry isobar (golden line); B: Result of the detection of darkened seagrass patches (Blue plolygons)</w:t>
      </w:r>
    </w:p>
    <w:p>
      <w:pPr>
        <w:pStyle w:val="FigureWithoutNote"/>
      </w:pPr>
      <w:r>
        <w:drawing>
          <wp:inline>
            <wp:extent cx="5943600" cy="5557266"/>
            <wp:effectExtent b="0" l="0" r="0" t="0"/>
            <wp:docPr descr="" title="" id="101" name="Picture"/>
            <a:graphic>
              <a:graphicData uri="http://schemas.openxmlformats.org/drawingml/2006/picture">
                <pic:pic>
                  <pic:nvPicPr>
                    <pic:cNvPr descr="Figs/Low_res/Map_darkening_Bathy.png" id="102" name="Picture"/>
                    <pic:cNvPicPr>
                      <a:picLocks noChangeArrowheads="1" noChangeAspect="1"/>
                    </pic:cNvPicPr>
                  </pic:nvPicPr>
                  <pic:blipFill>
                    <a:blip r:embed="rId100"/>
                    <a:stretch>
                      <a:fillRect/>
                    </a:stretch>
                  </pic:blipFill>
                  <pic:spPr bwMode="auto">
                    <a:xfrm>
                      <a:off x="0" y="0"/>
                      <a:ext cx="5943600" cy="5557266"/>
                    </a:xfrm>
                    <a:prstGeom prst="rect">
                      <a:avLst/>
                    </a:prstGeom>
                    <a:noFill/>
                    <a:ln w="9525">
                      <a:noFill/>
                      <a:headEnd/>
                      <a:tailEnd/>
                    </a:ln>
                  </pic:spPr>
                </pic:pic>
              </a:graphicData>
            </a:graphic>
          </wp:inline>
        </w:drawing>
      </w:r>
    </w:p>
    <w:bookmarkEnd w:id="103"/>
    <w:bookmarkEnd w:id="104"/>
    <w:p>
      <w:pPr>
        <w:pStyle w:val="AfterWithoutNote"/>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12</w:t>
        </w:r>
      </w:hyperlink>
      <w:r>
        <w:t xml:space="preserve">).</w:t>
      </w:r>
    </w:p>
    <w:bookmarkStart w:id="109" w:name="cell-fig-GAM_Emersion"/>
    <w:bookmarkStart w:id="108" w:name="fig-GAM_Emersion"/>
    <w:p>
      <w:pPr>
        <w:pStyle w:val="FigureTitle"/>
      </w:pPr>
      <w:r>
        <w:t xml:space="preserve">Figure 12</w:t>
      </w:r>
    </w:p>
    <w:p>
      <w:pPr>
        <w:pStyle w:val="Caption"/>
      </w:pPr>
      <w:r>
        <w:t xml:space="preserve">Seagrass Darkening Index as a function of the daily emergence time of seagrasses. The line represents a Generalized Additive Model (GAM) prediction, and the shaded area indicates the standard error. Shaded points represent raw data, with each point corresponding to a single pixel of the meadow.</w:t>
      </w:r>
    </w:p>
    <w:p>
      <w:pPr>
        <w:pStyle w:val="FigureWithoutNote"/>
      </w:pPr>
      <w:r>
        <w:drawing>
          <wp:inline>
            <wp:extent cx="5943600" cy="2971800"/>
            <wp:effectExtent b="0" l="0" r="0" t="0"/>
            <wp:docPr descr="" title="" id="106" name="Picture"/>
            <a:graphic>
              <a:graphicData uri="http://schemas.openxmlformats.org/drawingml/2006/picture">
                <pic:pic>
                  <pic:nvPicPr>
                    <pic:cNvPr descr="Figs/Low_res/GAM_emersion.png" id="107" name="Picture"/>
                    <pic:cNvPicPr>
                      <a:picLocks noChangeArrowheads="1" noChangeAspect="1"/>
                    </pic:cNvPicPr>
                  </pic:nvPicPr>
                  <pic:blipFill>
                    <a:blip r:embed="rId105"/>
                    <a:stretch>
                      <a:fillRect/>
                    </a:stretch>
                  </pic:blipFill>
                  <pic:spPr bwMode="auto">
                    <a:xfrm>
                      <a:off x="0" y="0"/>
                      <a:ext cx="5943600" cy="2971800"/>
                    </a:xfrm>
                    <a:prstGeom prst="rect">
                      <a:avLst/>
                    </a:prstGeom>
                    <a:noFill/>
                    <a:ln w="9525">
                      <a:noFill/>
                      <a:headEnd/>
                      <a:tailEnd/>
                    </a:ln>
                  </pic:spPr>
                </pic:pic>
              </a:graphicData>
            </a:graphic>
          </wp:inline>
        </w:drawing>
      </w:r>
    </w:p>
    <w:bookmarkEnd w:id="108"/>
    <w:bookmarkEnd w:id="109"/>
    <w:bookmarkEnd w:id="110"/>
    <w:bookmarkEnd w:id="111"/>
    <w:bookmarkEnd w:id="112"/>
    <w:bookmarkStart w:id="124" w:name="discussion---work-in-progress"/>
    <w:p>
      <w:pPr>
        <w:pStyle w:val="Heading1"/>
      </w:pPr>
      <w:r>
        <w:t xml:space="preserve">4. Discussion -</w:t>
      </w:r>
      <w:r>
        <w:t xml:space="preserve"> </w:t>
      </w:r>
      <w:r>
        <w:rPr>
          <w:b/>
          <w:bCs/>
        </w:rPr>
        <w:t xml:space="preserve">WORK IN PROGRESS</w:t>
      </w:r>
    </w:p>
    <w:p>
      <w:pPr>
        <w:pStyle w:val="FirstParagraph"/>
      </w:pPr>
      <w:r>
        <w:t xml:space="preserve">Although extensive research exists on marine heatwaves’ effects on subtidal seagrasses, little attention has been given to intertidal regions and even less to the interaction between atmospherical extrem event and intertidal meadows. This study initiates an exploration of how intertidal seagrasses respond to the dual influence of marine and atmospheric heatwaves, underscoring the need for further investigation in this underexplored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 The decrease in visible reflectance can be multifactorial and has been documented in plants under various stress conditions, including thermal stress. Leaf blackening in plants,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In the absence of photosynthesis, membrane integrity is compromised, allowing PPO to interact with phenolic compounds, thereby accelerating darkening. Low-oxygen environments and antioxidant treatments, like diphenylamine (DPA), have been effective in reducing these oxidative reactions. Furthermore, high temperatures can destabilize membranes, especially in chloroplasts, disrupting photosystem II and impairing recovery of photosynthetic function</w:t>
      </w:r>
      <w:r>
        <w:t xml:space="preserve"> </w:t>
      </w:r>
      <w:r>
        <w:t xml:space="preserve">(</w:t>
      </w:r>
      <w:hyperlink w:anchor="ref-dascaliuc2007heat">
        <w:r>
          <w:rPr>
            <w:rStyle w:val="Hyperlink"/>
          </w:rPr>
          <w:t xml:space="preserve">Dascaliuc et al., 2007</w:t>
        </w:r>
      </w:hyperlink>
      <w:r>
        <w:t xml:space="preserve">;</w:t>
      </w:r>
      <w:r>
        <w:t xml:space="preserve"> </w:t>
      </w:r>
      <w:hyperlink w:anchor="ref-jones1992leaf">
        <w:r>
          <w:rPr>
            <w:rStyle w:val="Hyperlink"/>
          </w:rPr>
          <w:t xml:space="preserve">Jones and Clayton-Greene, 1992</w:t>
        </w:r>
      </w:hyperlink>
      <w:r>
        <w:t xml:space="preserve">)</w:t>
      </w:r>
      <w:r>
        <w:t xml:space="preserve">. Furethemore, has the chlorophyll-a is degraded, other pigments like carotenoids become more visible, renforcing the dark color of leaves.</w:t>
      </w:r>
      <w:r>
        <w:t xml:space="preserve"> </w:t>
      </w:r>
      <w:r>
        <w:t xml:space="preserve">The destruction of membranes (Chloroplasts, thylakoids, cell walls) due to oxidative stress also contributes to the drop in reflectance in the Red Edge and near-infrared regions of the spectrum (&gt; 700 nm). Infrared reflectance in plant leaves is high primarily due to the internal cellular structure that scatters light within the leaf. When sunlight enters the leaf, it is diffused and scattered through various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structure of these walls is compromised, the infrared plateau decreases significantly</w:t>
      </w:r>
      <w:r>
        <w:t xml:space="preserve"> </w:t>
      </w:r>
      <w:r>
        <w:t xml:space="preserve">(</w:t>
      </w:r>
      <w:hyperlink w:anchor="ref-knipling1970reflectance">
        <w:r>
          <w:rPr>
            <w:rStyle w:val="Hyperlink"/>
          </w:rPr>
          <w:t xml:space="preserve">Knipling, 1970</w:t>
        </w:r>
      </w:hyperlink>
      <w:r>
        <w:t xml:space="preserve">)</w:t>
      </w:r>
      <w:r>
        <w:t xml:space="preserve">.</w:t>
      </w:r>
    </w:p>
    <w:p>
      <w:pPr>
        <w:pStyle w:val="BodyText"/>
      </w:pPr>
      <w:r>
        <w:rPr>
          <w:b/>
          <w:bCs/>
        </w:rPr>
        <w:t xml:space="preserve">The unique reflectance properties of seagrasses under heat stress facilitate the detection of this stress through remote sensing techniques (</w:t>
      </w:r>
      <w:hyperlink w:anchor="eq-SDI">
        <w:r>
          <w:rPr>
            <w:rStyle w:val="Hyperlink"/>
            <w:b/>
            <w:bCs/>
          </w:rPr>
          <w:t xml:space="preserve">Equation 4</w:t>
        </w:r>
      </w:hyperlink>
      <w:r>
        <w:rPr>
          <w:b/>
          <w:bCs/>
        </w:rPr>
        <w:t xml:space="preserve">). The SDI index developed in this study allows for remote sensing assessment of the extent and severity of darkening events across intertidal seagrass meadows. Requiring only three spectral bands (560, 740, and 840 nm), this index can be applied to data from various current satellite missions, including Sentinel-2, Pleiades-Neo, WorldView-3, SkySat, and GeoSat-2 and will also be compatible with upcoming missions such as Sentinel-2 Next Generation and Landsat Next. As climate change progresses, the frequency and intensity of heatwave events are projected to increase, positioning remote sensing as an essential tool for monitoring cumulative ecological impacts on seagrass meadows. While satellite platforms provide extensive spatial coverage, limitations such as cloud interference may restrict the continuity of observations, particularly during peak heatwave periods. Integrating satellite-derived data with drone-based observations, which offer enhanced spatial resolution and flexible deployment, could address these limitations by filling temporal gaps in satellite revisit cycles. This combined approach enables precise, localized monitoring of seagrass meadows immediately following extreme events, thus capturing rapid physiological and structural changes that might otherwise remain undetected. Such datasets are critical for the early detection of ecosystem degradation, facilitating timely conservation interventions and enabling targeted management strategies. Moreover, continuous, multi-year data acquisition would bolster the development of predictive models to forecast future heatwave impacts, enhancing the capacity for adaptive management and long-term resilience planning for seagrass ecosystems.</w:t>
      </w:r>
    </w:p>
    <w:p>
      <w:pPr>
        <w:pStyle w:val="Compact"/>
        <w:numPr>
          <w:ilvl w:val="0"/>
          <w:numId w:val="1004"/>
        </w:numPr>
      </w:pPr>
      <w:r>
        <w:t xml:space="preserve">make a link with the batymetry and modelisation of futur impact regarding heatwaves and sealevel rise</w:t>
      </w:r>
    </w:p>
    <w:bookmarkStart w:id="123" w:name="X327e5cb9f509cc61fbc30aa2dc25bd1f67a7b7c"/>
    <w:p>
      <w:pPr>
        <w:pStyle w:val="Heading2"/>
      </w:pPr>
      <w:r>
        <w:t xml:space="preserve">4.1 Frequency and Intensity of Heatwaves: Implications for Seagrasses and Their Resilience.</w:t>
      </w:r>
    </w:p>
    <w:p>
      <w:pPr>
        <w:pStyle w:val="FirstParagraph"/>
      </w:pPr>
      <w:r>
        <w:t xml:space="preserve">The rapid escalation of heatwave frequency and intensity globally is a defining characteristic of the current climate crisis, influenced heavily by anthropogenic activities and greenhouse gas emissions. Rising temperatures have led to the intensification of extreme weather events, particularly heatwaves, which are not only becoming more frequent but also lasting longer and reaching higher temperature peaks. Recent research suggests that the magnitude of these events has surged in the past decades, and projections indicate a continuation of this trend well into the future. For example, heatwaves that were once considered rare are now up to ten times more likely to occur, with some regions experiencing events three times as intense as those in the early 20th century</w:t>
      </w:r>
      <w:r>
        <w:t xml:space="preserve"> </w:t>
      </w:r>
      <w:r>
        <w:t xml:space="preserve">(</w:t>
      </w:r>
      <w:hyperlink w:anchor="ref-devi2024intensity">
        <w:r>
          <w:rPr>
            <w:rStyle w:val="Hyperlink"/>
          </w:rPr>
          <w:t xml:space="preserve">Devi et al., 2024</w:t>
        </w:r>
      </w:hyperlink>
      <w:r>
        <w:t xml:space="preserve">;</w:t>
      </w:r>
      <w:r>
        <w:t xml:space="preserve"> </w:t>
      </w:r>
      <w:hyperlink w:anchor="ref-russo2023intensity">
        <w:r>
          <w:rPr>
            <w:rStyle w:val="Hyperlink"/>
          </w:rPr>
          <w:t xml:space="preserve">Russo and Domeisen, 2023</w:t>
        </w:r>
      </w:hyperlink>
      <w:r>
        <w:t xml:space="preserve">)</w:t>
      </w:r>
      <w:r>
        <w:t xml:space="preserve">. In our study site in Quiberon, a similar pattern emerges at the local scale. Data from a local weather station indicate an increasing trend in both the frequency and cumulative intensity of atmospheric heatwaves, while the same parameters for coldspells—defined as extreme low temperatures below the 10th percentile—show a marked decline in both frequency and intensity</w:t>
      </w:r>
      <w:r>
        <w:t xml:space="preserve"> </w:t>
      </w:r>
      <w:hyperlink w:anchor="fig-Freq_Int_HW_CS">
        <w:r>
          <w:rPr>
            <w:rStyle w:val="Hyperlink"/>
          </w:rPr>
          <w:t xml:space="preserve">Figure 13</w:t>
        </w:r>
      </w:hyperlink>
      <w:r>
        <w:t xml:space="preserve">.</w:t>
      </w:r>
    </w:p>
    <w:bookmarkStart w:id="117" w:name="cell-fig-Freq_Int_HW_CS"/>
    <w:bookmarkStart w:id="116" w:name="fig-Freq_Int_HW_CS"/>
    <w:p>
      <w:pPr>
        <w:pStyle w:val="FigureTitle"/>
      </w:pPr>
      <w:r>
        <w:t xml:space="preserve">Figure 13</w:t>
      </w:r>
    </w:p>
    <w:p>
      <w:pPr>
        <w:pStyle w:val="Caption"/>
      </w:pPr>
      <w:r>
        <w:t xml:space="preserve">Frequency and intensity of atmospheric heatwaves (red) and cold spells (blue) over time at the Lorient-Lann Bihoué weather station. The left column displays the annual frequency of heatwaves and cold spells as the total number of events per year. The right column illustrates event intensity, represented by the cumulative temperature anomaly throughout the year, measured in degrees Celsius.</w:t>
      </w:r>
    </w:p>
    <w:p>
      <w:pPr>
        <w:pStyle w:val="FigureWithoutNote"/>
      </w:pPr>
      <w:r>
        <w:drawing>
          <wp:inline>
            <wp:extent cx="4754880" cy="4754880"/>
            <wp:effectExtent b="0" l="0" r="0" t="0"/>
            <wp:docPr descr="" title="" id="114" name="Picture"/>
            <a:graphic>
              <a:graphicData uri="http://schemas.openxmlformats.org/drawingml/2006/picture">
                <pic:pic>
                  <pic:nvPicPr>
                    <pic:cNvPr descr="Figs/Low_res/plot_HW_CS.png" id="115" name="Picture"/>
                    <pic:cNvPicPr>
                      <a:picLocks noChangeArrowheads="1" noChangeAspect="1"/>
                    </pic:cNvPicPr>
                  </pic:nvPicPr>
                  <pic:blipFill>
                    <a:blip r:embed="rId113"/>
                    <a:stretch>
                      <a:fillRect/>
                    </a:stretch>
                  </pic:blipFill>
                  <pic:spPr bwMode="auto">
                    <a:xfrm>
                      <a:off x="0" y="0"/>
                      <a:ext cx="4754880" cy="4754880"/>
                    </a:xfrm>
                    <a:prstGeom prst="rect">
                      <a:avLst/>
                    </a:prstGeom>
                    <a:noFill/>
                    <a:ln w="9525">
                      <a:noFill/>
                      <a:headEnd/>
                      <a:tailEnd/>
                    </a:ln>
                  </pic:spPr>
                </pic:pic>
              </a:graphicData>
            </a:graphic>
          </wp:inline>
        </w:drawing>
      </w:r>
    </w:p>
    <w:bookmarkEnd w:id="116"/>
    <w:bookmarkEnd w:id="117"/>
    <w:p>
      <w:pPr>
        <w:pStyle w:val="AfterWithoutNote"/>
      </w:pPr>
      <w:r>
        <w:t xml:space="preserve">Metrics used to quantify heatwave intensity, such as cumulative indices based on total temperature exceedances over time, reveal a more comprehensive understanding of the severity and duration of these events compared to average temperature measures</w:t>
      </w:r>
      <w:r>
        <w:t xml:space="preserve"> </w:t>
      </w:r>
      <w:r>
        <w:t xml:space="preserve">(</w:t>
      </w:r>
      <w:hyperlink w:anchor="ref-russo2023intensity">
        <w:r>
          <w:rPr>
            <w:rStyle w:val="Hyperlink"/>
          </w:rPr>
          <w:t xml:space="preserve">Russo and Domeisen, 2023</w:t>
        </w:r>
      </w:hyperlink>
      <w:r>
        <w:t xml:space="preserve">)</w:t>
      </w:r>
      <w:r>
        <w:t xml:space="preserve">. This is particularly relevant, as the cumulative impact of sustained high temperatures exerts more extensive stress on ecosystems, infrastructure, and human health than individual peak temperatures alone.</w:t>
      </w:r>
    </w:p>
    <w:p>
      <w:pPr>
        <w:pStyle w:val="BodyText"/>
      </w:pPr>
      <w:r>
        <w:t xml:space="preserve">From a hazard analysis perspective, the concurrent evaluation of intensity, frequency, and duration of heatwaves allows for a nuanced understanding of their likely impacts. Models like the Heatwave Intensity Duration Frequency (HIDF) curves provide insights into the probability of various heatwave scenarios, indicating that both short but intense events and prolonged moderate events present unique risks depending on the region. In places such as the Mediterranean, for instance, the frequency of high-intensity heatwaves has dramatically increased, leading to severe impacts on urban infrastructure, public health, and energy consumption</w:t>
      </w:r>
      <w:r>
        <w:t xml:space="preserve"> </w:t>
      </w:r>
      <w:r>
        <w:t xml:space="preserve">(</w:t>
      </w:r>
      <w:hyperlink w:anchor="ref-mazdiyasni2019hidf">
        <w:r>
          <w:rPr>
            <w:rStyle w:val="Hyperlink"/>
          </w:rPr>
          <w:t xml:space="preserve">Mazdiyasni et al., 2019</w:t>
        </w:r>
      </w:hyperlink>
      <w:r>
        <w:t xml:space="preserve">;</w:t>
      </w:r>
      <w:r>
        <w:t xml:space="preserve"> </w:t>
      </w:r>
      <w:hyperlink w:anchor="ref-smale2019marine">
        <w:r>
          <w:rPr>
            <w:rStyle w:val="Hyperlink"/>
          </w:rPr>
          <w:t xml:space="preserve">Smale et al., 2019</w:t>
        </w:r>
      </w:hyperlink>
      <w:r>
        <w:t xml:space="preserve">)</w:t>
      </w:r>
      <w:r>
        <w:t xml:space="preserve">. Regions experiencing significant daily temperature variability are projected to see a sharper increase in extreme heat events, which underscores the role of atmospheric variability in shaping local heatwave dynamics. Specifically, in the mid-latitudes, where variability is expected to decrease, heat extremes may stabilize at elevated levels, thereby reducing cold extremes while allowing for increasingly frequent hot days</w:t>
      </w:r>
      <w:r>
        <w:t xml:space="preserve"> </w:t>
      </w:r>
      <w:r>
        <w:t xml:space="preserve">(</w:t>
      </w:r>
      <w:hyperlink w:anchor="ref-simolo2022quantifying">
        <w:r>
          <w:rPr>
            <w:rStyle w:val="Hyperlink"/>
          </w:rPr>
          <w:t xml:space="preserve">Simolo and Corti, 2022</w:t>
        </w:r>
      </w:hyperlink>
      <w:r>
        <w:t xml:space="preserve">)</w:t>
      </w:r>
      <w:r>
        <w:t xml:space="preserve">.</w:t>
      </w:r>
    </w:p>
    <w:p>
      <w:pPr>
        <w:pStyle w:val="BodyText"/>
      </w:pPr>
      <w:r>
        <w:t xml:space="preserve">In the ocean, similar trends are observed with marine heatwaves. These events are equally, if not more, consequential as atmospheric heatwaves, with widespread impacts on marine biodiversity, fisheries, and carbon cycling. MHWs have increased by over 50% in annual days since the early 20th century, and projections suggest that a near-permanent state of marine heatwaves could develop by the end of the century if greenhouse gas emissions remain high</w:t>
      </w:r>
      <w:r>
        <w:t xml:space="preserve"> </w:t>
      </w:r>
      <w:r>
        <w:t xml:space="preserve">(</w:t>
      </w:r>
      <w:hyperlink w:anchor="ref-oliver2019projected">
        <w:r>
          <w:rPr>
            <w:rStyle w:val="Hyperlink"/>
          </w:rPr>
          <w:t xml:space="preserve">Oliver et al., 2019</w:t>
        </w:r>
      </w:hyperlink>
      <w:r>
        <w:t xml:space="preserve">)</w:t>
      </w:r>
      <w:r>
        <w:t xml:space="preserve">. Events like the</w:t>
      </w:r>
      <w:r>
        <w:t xml:space="preserve"> </w:t>
      </w:r>
      <w:r>
        <w:t xml:space="preserve">“</w:t>
      </w:r>
      <w:r>
        <w:t xml:space="preserve">Blob</w:t>
      </w:r>
      <w:r>
        <w:t xml:space="preserve">”</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w:t>
      </w:r>
      <w:hyperlink w:anchor="ref-smale2019marine">
        <w:r>
          <w:rPr>
            <w:rStyle w:val="Hyperlink"/>
          </w:rPr>
          <w:t xml:space="preserve">Smale et al., 2019</w:t>
        </w:r>
      </w:hyperlink>
      <w:r>
        <w:t xml:space="preserve">)</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w:t>
      </w:r>
      <w:hyperlink w:anchor="ref-devi2024intensity">
        <w:r>
          <w:rPr>
            <w:rStyle w:val="Hyperlink"/>
          </w:rPr>
          <w:t xml:space="preserve">Devi et al., 2024</w:t>
        </w:r>
      </w:hyperlink>
      <w:r>
        <w:t xml:space="preserve">;</w:t>
      </w:r>
      <w:r>
        <w:t xml:space="preserve"> </w:t>
      </w:r>
      <w:hyperlink w:anchor="ref-stillman2019heat">
        <w:r>
          <w:rPr>
            <w:rStyle w:val="Hyperlink"/>
          </w:rPr>
          <w:t xml:space="preserve">Stillman, 2019</w:t>
        </w:r>
      </w:hyperlink>
      <w:r>
        <w:t xml:space="preserve">)</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w:t>
      </w:r>
      <w:hyperlink w:anchor="ref-oliver2019projected">
        <w:r>
          <w:rPr>
            <w:rStyle w:val="Hyperlink"/>
          </w:rPr>
          <w:t xml:space="preserve">Oliver et al., 2019</w:t>
        </w:r>
      </w:hyperlink>
      <w:r>
        <w:t xml:space="preserve">;</w:t>
      </w:r>
      <w:r>
        <w:t xml:space="preserve"> </w:t>
      </w:r>
      <w:hyperlink w:anchor="ref-simolo2022quantifying">
        <w:r>
          <w:rPr>
            <w:rStyle w:val="Hyperlink"/>
          </w:rPr>
          <w:t xml:space="preserve">Simolo and Corti, 2022</w:t>
        </w:r>
      </w:hyperlink>
      <w:r>
        <w:t xml:space="preserve">)</w:t>
      </w:r>
      <w:r>
        <w:t xml:space="preserve">. Terrestrial ecosystems experience shifts in species distributions, altered community dynamics, and reduced biodiversity as species are either forced to migrate or face local extinction under increasingly inhospitable conditions</w:t>
      </w:r>
      <w:r>
        <w:t xml:space="preserve"> </w:t>
      </w:r>
      <w:r>
        <w:t xml:space="preserve">(</w:t>
      </w:r>
      <w:hyperlink w:anchor="ref-pansch2018heat">
        <w:r>
          <w:rPr>
            <w:rStyle w:val="Hyperlink"/>
          </w:rPr>
          <w:t xml:space="preserve">Pansch et al., 2018</w:t>
        </w:r>
      </w:hyperlink>
      <w:r>
        <w:t xml:space="preserve">)</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w:t>
      </w:r>
      <w:hyperlink w:anchor="ref-oliver2019projected">
        <w:r>
          <w:rPr>
            <w:rStyle w:val="Hyperlink"/>
          </w:rPr>
          <w:t xml:space="preserve">Oliver et al., 2019</w:t>
        </w:r>
      </w:hyperlink>
      <w:r>
        <w:t xml:space="preserve">;</w:t>
      </w:r>
      <w:r>
        <w:t xml:space="preserve"> </w:t>
      </w:r>
      <w:hyperlink w:anchor="ref-smale2019marine">
        <w:r>
          <w:rPr>
            <w:rStyle w:val="Hyperlink"/>
          </w:rPr>
          <w:t xml:space="preserve">Smale et al., 2019</w:t>
        </w:r>
      </w:hyperlink>
      <w:r>
        <w:t xml:space="preserve">)</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w:t>
      </w:r>
      <w:hyperlink w:anchor="ref-deguette2022physiological">
        <w:r>
          <w:rPr>
            <w:rStyle w:val="Hyperlink"/>
          </w:rPr>
          <w:t xml:space="preserve">Deguette et al., 2022</w:t>
        </w:r>
      </w:hyperlink>
      <w:r>
        <w:t xml:space="preserve">;</w:t>
      </w:r>
      <w:r>
        <w:t xml:space="preserve"> </w:t>
      </w:r>
      <w:hyperlink w:anchor="ref-guerrero2020heat">
        <w:r>
          <w:rPr>
            <w:rStyle w:val="Hyperlink"/>
          </w:rPr>
          <w:t xml:space="preserve">Guerrero-Meseguer et al., 2020</w:t>
        </w:r>
      </w:hyperlink>
      <w:r>
        <w:t xml:space="preserve">;</w:t>
      </w:r>
      <w:r>
        <w:t xml:space="preserve"> </w:t>
      </w:r>
      <w:hyperlink w:anchor="ref-sawall2021chronically">
        <w:r>
          <w:rPr>
            <w:rStyle w:val="Hyperlink"/>
          </w:rPr>
          <w:t xml:space="preserve">Sawall et al., 2021</w:t>
        </w:r>
      </w:hyperlink>
      <w:r>
        <w:t xml:space="preserve">;</w:t>
      </w:r>
      <w:r>
        <w:t xml:space="preserve"> </w:t>
      </w:r>
      <w:hyperlink w:anchor="ref-winters2011effects">
        <w:r>
          <w:rPr>
            <w:rStyle w:val="Hyperlink"/>
          </w:rPr>
          <w:t xml:space="preserve">Winters et al., 2011</w:t>
        </w:r>
      </w:hyperlink>
      <w:r>
        <w:t xml:space="preserve">)</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w:t>
      </w:r>
      <w:hyperlink w:anchor="ref-mazdiyasni2019hidf">
        <w:r>
          <w:rPr>
            <w:rStyle w:val="Hyperlink"/>
          </w:rPr>
          <w:t xml:space="preserve">Mazdiyasni et al., 2019</w:t>
        </w:r>
      </w:hyperlink>
      <w:r>
        <w:t xml:space="preserve">)</w:t>
      </w:r>
      <w:r>
        <w:t xml:space="preserve">. The compounded impacts of atmospheric and marine heatwaves thus pose an existential threat to seagrass ecosystems, highlighting the urgent need for targeted climate adaptation measures to mitigate these escalating thermal stresses and preserve the resilience of these essential marine habitats</w:t>
      </w:r>
      <w:r>
        <w:t xml:space="preserve"> </w:t>
      </w:r>
      <w:r>
        <w:t xml:space="preserve">(</w:t>
      </w:r>
      <w:hyperlink w:anchor="ref-russo2023intensity">
        <w:r>
          <w:rPr>
            <w:rStyle w:val="Hyperlink"/>
          </w:rPr>
          <w:t xml:space="preserve">Russo and Domeisen, 2023</w:t>
        </w:r>
      </w:hyperlink>
      <w:r>
        <w:t xml:space="preserve">;</w:t>
      </w:r>
      <w:r>
        <w:t xml:space="preserve"> </w:t>
      </w:r>
      <w:hyperlink w:anchor="ref-stillman2019heat">
        <w:r>
          <w:rPr>
            <w:rStyle w:val="Hyperlink"/>
          </w:rPr>
          <w:t xml:space="preserve">Stillman, 2019</w:t>
        </w:r>
      </w:hyperlink>
      <w:r>
        <w:t xml:space="preserve">)</w:t>
      </w:r>
      <w:r>
        <w:t xml:space="preserve">.</w:t>
      </w:r>
    </w:p>
    <w:p>
      <w:pPr>
        <w:pStyle w:val="BodyText"/>
      </w:pPr>
      <w:r>
        <w:t xml:space="preserve">Seagrass resilience to heatwaves is a complex and multifaceted issue shaped by species-specific traits, geographical location, and concurrent environmental stressors</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w:t>
      </w:r>
      <w:hyperlink w:anchor="ref-hatum2024predicting">
        <w:r>
          <w:rPr>
            <w:rStyle w:val="Hyperlink"/>
          </w:rPr>
          <w:t xml:space="preserve">Hatum et al., 2024</w:t>
        </w:r>
      </w:hyperlink>
      <w:r>
        <w:t xml:space="preserve">)</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w:t>
      </w:r>
      <w:hyperlink w:anchor="ref-o2018seagrass">
        <w:r>
          <w:rPr>
            <w:rStyle w:val="Hyperlink"/>
          </w:rPr>
          <w:t xml:space="preserve">O’Brien et al., 2018</w:t>
        </w:r>
      </w:hyperlink>
      <w:r>
        <w:t xml:space="preserve">)</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although submerged longer, experience prolonged emersion during low tides,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w:t>
      </w:r>
      <w:hyperlink w:anchor="ref-davies2024sentinel">
        <w:r>
          <w:rPr>
            <w:rStyle w:val="Hyperlink"/>
          </w:rPr>
          <w:t xml:space="preserve">Davies et al., 2024a</w:t>
        </w:r>
      </w:hyperlink>
      <w:r>
        <w:t xml:space="preserve">,</w:t>
      </w:r>
      <w:r>
        <w:t xml:space="preserve"> </w:t>
      </w:r>
      <w:hyperlink w:anchor="ref-davies2024intertidal">
        <w:r>
          <w:rPr>
            <w:rStyle w:val="Hyperlink"/>
          </w:rPr>
          <w:t xml:space="preserve">2024b</w:t>
        </w:r>
      </w:hyperlink>
      <w:r>
        <w:t xml:space="preserve">)</w:t>
      </w:r>
      <w:r>
        <w:t xml:space="preserve">. These patterns reflect the species’ adaptation to seasonal variations in temperature and light, but they also make N. noltei 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In these cooler areas,</w:t>
      </w:r>
      <w:r>
        <w:t xml:space="preserve"> </w:t>
      </w:r>
      <w:r>
        <w:rPr>
          <w:i/>
          <w:iCs/>
        </w:rPr>
        <w:t xml:space="preserve">Nanostera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w:t>
      </w:r>
      <w:hyperlink w:anchor="ref-franssen2014genome">
        <w:r>
          <w:rPr>
            <w:rStyle w:val="Hyperlink"/>
          </w:rPr>
          <w:t xml:space="preserve">Franssen et al., 2014</w:t>
        </w:r>
      </w:hyperlink>
      <w:r>
        <w:t xml:space="preserve">)</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w:t>
      </w:r>
      <w:hyperlink w:anchor="ref-hatum2024predicting">
        <w:r>
          <w:rPr>
            <w:rStyle w:val="Hyperlink"/>
          </w:rPr>
          <w:t xml:space="preserve">Hatum et al., 2024</w:t>
        </w:r>
      </w:hyperlink>
      <w:r>
        <w:t xml:space="preserve">)</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w:t>
      </w:r>
      <w:hyperlink w:anchor="ref-de2022increased">
        <w:r>
          <w:rPr>
            <w:rStyle w:val="Hyperlink"/>
          </w:rPr>
          <w:t xml:space="preserve">De Fouw et al., 2022</w:t>
        </w:r>
      </w:hyperlink>
      <w:r>
        <w:t xml:space="preserve">)</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 However, prolonged or more intense heat events posed a greater challenge, highlighting the species’ limited capacity to withstand chronic thermal stress</w:t>
      </w:r>
      <w:r>
        <w:t xml:space="preserve"> </w:t>
      </w:r>
      <w:r>
        <w:t xml:space="preserve">(</w:t>
      </w:r>
      <w:hyperlink w:anchor="ref-franssen2014genome">
        <w:r>
          <w:rPr>
            <w:rStyle w:val="Hyperlink"/>
          </w:rPr>
          <w:t xml:space="preserve">Franssen et al., 2014</w:t>
        </w:r>
      </w:hyperlink>
      <w:r>
        <w:t xml:space="preserve">;</w:t>
      </w:r>
      <w:r>
        <w:t xml:space="preserve"> </w:t>
      </w:r>
      <w:hyperlink w:anchor="ref-massa2009temperature">
        <w:r>
          <w:rPr>
            <w:rStyle w:val="Hyperlink"/>
          </w:rPr>
          <w:t xml:space="preserve">Massa et al., 2009</w:t>
        </w:r>
      </w:hyperlink>
      <w:r>
        <w:t xml:space="preserve">)</w:t>
      </w:r>
      <w:r>
        <w:t xml:space="preserve">. The long-term impact of heatwaves is especially evident in changes to seagrass cover (SPC). Before the heatwave event on 1st September 2021, impacted seagrass patches exhibited higher SPC than non-impacted areas. However, during the event on 6th September, SPC in the impacted patch experienced a sharp decline. By 7th October, one month post-event, the SPC of impacted seagrasses, initially higher, had fallen below that of non-impacted seagrasses</w:t>
      </w:r>
      <w:r>
        <w:t xml:space="preserve"> </w:t>
      </w:r>
      <w:hyperlink w:anchor="fig-Resilience_of_seagrasses">
        <w:r>
          <w:rPr>
            <w:rStyle w:val="Hyperlink"/>
          </w:rPr>
          <w:t xml:space="preserve">Figure 14</w:t>
        </w:r>
      </w:hyperlink>
      <w:r>
        <w:t xml:space="preserve">. The observed decrease in seagrass cover (SPC) on 6th September was primarily due to leaf darkening, which influenced the NDVI measurements used to estimate SPC. This darkening effect reduced the NDVI values, creating an apparent decrease in SPC in the impacted patch when, in reality, the density of seagrass remained stable.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w:t>
      </w:r>
      <w:r>
        <w:t xml:space="preserve"> </w:t>
      </w:r>
      <w:hyperlink w:anchor="fig-Resilience_of_seagrasses">
        <w:r>
          <w:rPr>
            <w:rStyle w:val="Hyperlink"/>
          </w:rPr>
          <w:t xml:space="preserve">Figure 14</w:t>
        </w:r>
      </w:hyperlink>
      <w:r>
        <w:t xml:space="preserve">.</w:t>
      </w:r>
    </w:p>
    <w:bookmarkStart w:id="122" w:name="cell-fig-Resilience_of_seagrasses"/>
    <w:bookmarkStart w:id="121" w:name="fig-Resilience_of_seagrasses"/>
    <w:p>
      <w:pPr>
        <w:pStyle w:val="FigureTitle"/>
      </w:pPr>
      <w:r>
        <w:t xml:space="preserve">Figure 14</w:t>
      </w:r>
    </w:p>
    <w:p>
      <w:pPr>
        <w:pStyle w:val="Caption"/>
      </w:pPr>
      <w:r>
        <w:t xml:space="preserve">Comparison of the seagrass percent cover before (left), during (center) and after (right) the heatwaves for seagrasses that have not been impacted by heatwaves (i.e. remains green) and seagrasses that have been impacted by the events (i.e. seagrasses that darkened).</w:t>
      </w:r>
    </w:p>
    <w:p>
      <w:pPr>
        <w:pStyle w:val="FigureWithoutNote"/>
      </w:pPr>
      <w:r>
        <w:drawing>
          <wp:inline>
            <wp:extent cx="5943600" cy="2971800"/>
            <wp:effectExtent b="0" l="0" r="0" t="0"/>
            <wp:docPr descr="" title="" id="119" name="Picture"/>
            <a:graphic>
              <a:graphicData uri="http://schemas.openxmlformats.org/drawingml/2006/picture">
                <pic:pic>
                  <pic:nvPicPr>
                    <pic:cNvPr descr="Figs/Low_res/plot_resilience.png" id="120" name="Picture"/>
                    <pic:cNvPicPr>
                      <a:picLocks noChangeArrowheads="1" noChangeAspect="1"/>
                    </pic:cNvPicPr>
                  </pic:nvPicPr>
                  <pic:blipFill>
                    <a:blip r:embed="rId118"/>
                    <a:stretch>
                      <a:fillRect/>
                    </a:stretch>
                  </pic:blipFill>
                  <pic:spPr bwMode="auto">
                    <a:xfrm>
                      <a:off x="0" y="0"/>
                      <a:ext cx="5943600" cy="2971800"/>
                    </a:xfrm>
                    <a:prstGeom prst="rect">
                      <a:avLst/>
                    </a:prstGeom>
                    <a:noFill/>
                    <a:ln w="9525">
                      <a:noFill/>
                      <a:headEnd/>
                      <a:tailEnd/>
                    </a:ln>
                  </pic:spPr>
                </pic:pic>
              </a:graphicData>
            </a:graphic>
          </wp:inline>
        </w:drawing>
      </w:r>
    </w:p>
    <w:bookmarkEnd w:id="121"/>
    <w:bookmarkEnd w:id="122"/>
    <w:p>
      <w:pPr>
        <w:pStyle w:val="AfterWithoutNote"/>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w:t>
      </w:r>
      <w:hyperlink w:anchor="ref-hughes2004genetic">
        <w:r>
          <w:rPr>
            <w:rStyle w:val="Hyperlink"/>
          </w:rPr>
          <w:t xml:space="preserve">Hughes and Stachowicz, 2004</w:t>
        </w:r>
      </w:hyperlink>
      <w:r>
        <w:t xml:space="preserve">;</w:t>
      </w:r>
      <w:r>
        <w:t xml:space="preserve"> </w:t>
      </w:r>
      <w:hyperlink w:anchor="ref-reusch2005ecosystem">
        <w:r>
          <w:rPr>
            <w:rStyle w:val="Hyperlink"/>
          </w:rPr>
          <w:t xml:space="preserve">Reusch et al., 2005</w:t>
        </w:r>
      </w:hyperlink>
      <w:r>
        <w:t xml:space="preserve">)</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w:t>
      </w:r>
      <w:hyperlink w:anchor="ref-franssen2014genome">
        <w:r>
          <w:rPr>
            <w:rStyle w:val="Hyperlink"/>
          </w:rPr>
          <w:t xml:space="preserve">Franssen et al., 2014</w:t>
        </w:r>
      </w:hyperlink>
      <w:r>
        <w:t xml:space="preserve">)</w:t>
      </w:r>
      <w:r>
        <w:t xml:space="preserve">.</w:t>
      </w:r>
    </w:p>
    <w:p>
      <w:pPr>
        <w:pStyle w:val="BodyText"/>
      </w:pPr>
      <w:r>
        <w:t xml:space="preserve">Given the combined pressures of temperature extremes, eutrophication, and other anthropogenic impacts, targeted management strategies are essential for enhancing seagrass resilience</w:t>
      </w:r>
      <w:r>
        <w:t xml:space="preserve"> </w:t>
      </w:r>
      <w:r>
        <w:t xml:space="preserve">(</w:t>
      </w:r>
      <w:hyperlink w:anchor="ref-loarie2009velocity">
        <w:r>
          <w:rPr>
            <w:rStyle w:val="Hyperlink"/>
          </w:rPr>
          <w:t xml:space="preserve">Loarie et al., 2009</w:t>
        </w:r>
      </w:hyperlink>
      <w:r>
        <w:t xml:space="preserve">)</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w:t>
      </w:r>
      <w:hyperlink w:anchor="ref-canadell2021ecosystem">
        <w:r>
          <w:rPr>
            <w:rStyle w:val="Hyperlink"/>
          </w:rPr>
          <w:t xml:space="preserve">Canadell and Jackson, 2021</w:t>
        </w:r>
      </w:hyperlink>
      <w:r>
        <w:t xml:space="preserve">;</w:t>
      </w:r>
      <w:r>
        <w:t xml:space="preserve"> </w:t>
      </w:r>
      <w:hyperlink w:anchor="ref-de2022increased">
        <w:r>
          <w:rPr>
            <w:rStyle w:val="Hyperlink"/>
          </w:rPr>
          <w:t xml:space="preserve">De Fouw et al., 2022</w:t>
        </w:r>
      </w:hyperlink>
      <w:r>
        <w:t xml:space="preserve">)</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w:t>
      </w:r>
      <w:hyperlink w:anchor="ref-zoffoli2022remote">
        <w:r>
          <w:rPr>
            <w:rStyle w:val="Hyperlink"/>
          </w:rPr>
          <w:t xml:space="preserve">Zoffoli et al., 2023b</w:t>
        </w:r>
      </w:hyperlink>
      <w:r>
        <w:t xml:space="preserve">)</w:t>
      </w:r>
      <w:r>
        <w:t xml:space="preserve">. Their dense canopies stabilize sediment and protect shorelines from erosion, an increasingly crucial role as sea levels rise due to climate change</w:t>
      </w:r>
      <w:r>
        <w:t xml:space="preserve"> </w:t>
      </w:r>
      <w:r>
        <w:t xml:space="preserve">(</w:t>
      </w:r>
      <w:hyperlink w:anchor="ref-folmer2012seagrass">
        <w:r>
          <w:rPr>
            <w:rStyle w:val="Hyperlink"/>
          </w:rPr>
          <w:t xml:space="preserve">Folmer et al., 2012</w:t>
        </w:r>
      </w:hyperlink>
      <w:r>
        <w:t xml:space="preserve">;</w:t>
      </w:r>
      <w:r>
        <w:t xml:space="preserve"> </w:t>
      </w:r>
      <w:hyperlink w:anchor="ref-gacia1999approach">
        <w:r>
          <w:rPr>
            <w:rStyle w:val="Hyperlink"/>
          </w:rPr>
          <w:t xml:space="preserve">Gacia et al., 1999</w:t>
        </w:r>
      </w:hyperlink>
      <w:r>
        <w:t xml:space="preserve">)</w:t>
      </w:r>
      <w:r>
        <w:t xml:space="preserve">. Recurrent heatwave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w:t>
      </w:r>
      <w:hyperlink w:anchor="ref-calleja2007relationship">
        <w:r>
          <w:rPr>
            <w:rStyle w:val="Hyperlink"/>
          </w:rPr>
          <w:t xml:space="preserve">Calleja et al., 2007</w:t>
        </w:r>
      </w:hyperlink>
      <w:r>
        <w:t xml:space="preserve">)</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w:t>
      </w:r>
      <w:hyperlink w:anchor="ref-unsworth2014biodiversity">
        <w:r>
          <w:rPr>
            <w:rStyle w:val="Hyperlink"/>
          </w:rPr>
          <w:t xml:space="preserve">Unsworth and Cullen-Unsworth, 2014</w:t>
        </w:r>
      </w:hyperlink>
      <w:r>
        <w:t xml:space="preserve">)</w:t>
      </w:r>
      <w:r>
        <w:t xml:space="preserve">. Furthermore, as seagrasses decline, their capacity to act as a blue carbon sink—critical for climate mitigation—also diminishes, inadvertently contributing to increased atmospheric carbon levels</w:t>
      </w:r>
      <w:r>
        <w:t xml:space="preserve"> </w:t>
      </w:r>
      <w:r>
        <w:t xml:space="preserve">(</w:t>
      </w:r>
      <w:hyperlink w:anchor="ref-armitage2016carbon">
        <w:r>
          <w:rPr>
            <w:rStyle w:val="Hyperlink"/>
          </w:rPr>
          <w:t xml:space="preserve">Armitage and Fourqurean, 2016</w:t>
        </w:r>
      </w:hyperlink>
      <w:r>
        <w:t xml:space="preserve">;</w:t>
      </w:r>
      <w:r>
        <w:t xml:space="preserve"> </w:t>
      </w:r>
      <w:hyperlink w:anchor="ref-samper2020characterization">
        <w:r>
          <w:rPr>
            <w:rStyle w:val="Hyperlink"/>
          </w:rPr>
          <w:t xml:space="preserve">Samper-Villarreal et al., 2020</w:t>
        </w:r>
      </w:hyperlink>
      <w:r>
        <w:t xml:space="preserve">)</w:t>
      </w:r>
    </w:p>
    <w:bookmarkEnd w:id="123"/>
    <w:bookmarkEnd w:id="124"/>
    <w:bookmarkStart w:id="213" w:name="bibliography"/>
    <w:p>
      <w:pPr>
        <w:pStyle w:val="Heading1"/>
      </w:pPr>
      <w:r>
        <w:t xml:space="preserve">5. Bibliography</w:t>
      </w:r>
    </w:p>
    <w:bookmarkStart w:id="212" w:name="refs"/>
    <w:bookmarkStart w:id="125"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5"/>
    <w:bookmarkStart w:id="126"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6"/>
    <w:bookmarkStart w:id="128"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7">
        <w:r>
          <w:rPr>
            <w:rStyle w:val="Hyperlink"/>
          </w:rPr>
          <w:t xml:space="preserve">https://doi.org/10.3354/meps14588</w:t>
        </w:r>
      </w:hyperlink>
    </w:p>
    <w:bookmarkEnd w:id="128"/>
    <w:bookmarkStart w:id="129"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29"/>
    <w:bookmarkStart w:id="130" w:name="ref-canadell2021ecosystem"/>
    <w:p>
      <w:pPr>
        <w:pStyle w:val="Bibliography"/>
      </w:pPr>
      <w:r>
        <w:t xml:space="preserve">Canadell, J.G., Jackson, R.B., 2021. Ecosystem collapse and climate change. Springer.</w:t>
      </w:r>
    </w:p>
    <w:bookmarkEnd w:id="130"/>
    <w:bookmarkStart w:id="131"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31"/>
    <w:bookmarkStart w:id="133"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2">
        <w:r>
          <w:rPr>
            <w:rStyle w:val="Hyperlink"/>
          </w:rPr>
          <w:t xml:space="preserve">https://doi.org/10.48670/moi-00311</w:t>
        </w:r>
      </w:hyperlink>
    </w:p>
    <w:bookmarkEnd w:id="133"/>
    <w:bookmarkStart w:id="135"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4">
        <w:r>
          <w:rPr>
            <w:rStyle w:val="Hyperlink"/>
          </w:rPr>
          <w:t xml:space="preserve">https://doi.org/10.1007/s11099-007-0084-3</w:t>
        </w:r>
      </w:hyperlink>
    </w:p>
    <w:bookmarkEnd w:id="135"/>
    <w:bookmarkStart w:id="137"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6">
        <w:r>
          <w:rPr>
            <w:rStyle w:val="Hyperlink"/>
          </w:rPr>
          <w:t xml:space="preserve">https://doi.org/10.1038/s43247-024-01543-z</w:t>
        </w:r>
      </w:hyperlink>
    </w:p>
    <w:bookmarkEnd w:id="137"/>
    <w:bookmarkStart w:id="139"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38">
        <w:r>
          <w:rPr>
            <w:rStyle w:val="Hyperlink"/>
          </w:rPr>
          <w:t xml:space="preserve">https://doi.org/10.1016/j.rse.2024.114340</w:t>
        </w:r>
      </w:hyperlink>
    </w:p>
    <w:bookmarkEnd w:id="139"/>
    <w:bookmarkStart w:id="140"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40"/>
    <w:bookmarkStart w:id="141" w:name="ref-deguette2022physiological"/>
    <w:p>
      <w:pPr>
        <w:pStyle w:val="Bibliography"/>
      </w:pPr>
      <w:r>
        <w:t xml:space="preserve">Deguette, A., Barrote, I., Silva, J., 2022. Physiological and morphological effects of a marine heatwave on the seagrass cymodocea nodosa. Scientific Reports 12, 7950.</w:t>
      </w:r>
    </w:p>
    <w:bookmarkEnd w:id="141"/>
    <w:bookmarkStart w:id="142" w:name="ref-devi2024intensity"/>
    <w:p>
      <w:pPr>
        <w:pStyle w:val="Bibliography"/>
      </w:pPr>
      <w:r>
        <w:t xml:space="preserve">Devi, R., Gouda, K., Lenka, S., 2024. Intensity duration and frequency of heat wave in different phases of MJO over india. Atmospheric Research 300, 107250.</w:t>
      </w:r>
    </w:p>
    <w:bookmarkEnd w:id="142"/>
    <w:bookmarkStart w:id="143" w:name="ref-sen2cor"/>
    <w:p>
      <w:pPr>
        <w:pStyle w:val="Bibliography"/>
      </w:pPr>
      <w:r>
        <w:t xml:space="preserve">European Space Agency, 2024b. Sen2Cor: Sentinel-2 atmospheric correction processor.</w:t>
      </w:r>
    </w:p>
    <w:bookmarkEnd w:id="143"/>
    <w:bookmarkStart w:id="144" w:name="ref-copernicus_sentinel2"/>
    <w:p>
      <w:pPr>
        <w:pStyle w:val="Bibliography"/>
      </w:pPr>
      <w:r>
        <w:t xml:space="preserve">European Space Agency, 2024a. Copernicus open access hub.</w:t>
      </w:r>
    </w:p>
    <w:bookmarkEnd w:id="144"/>
    <w:bookmarkStart w:id="145"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45"/>
    <w:bookmarkStart w:id="146"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46"/>
    <w:bookmarkStart w:id="147" w:name="ref-gacia1999approach"/>
    <w:p>
      <w:pPr>
        <w:pStyle w:val="Bibliography"/>
      </w:pPr>
      <w:r>
        <w:t xml:space="preserve">Gacia, E., Granata, T., Duarte, C., 1999. An approach to measurement of particle flux and sediment retention within seagrass (posidonia oceanica) meadows. Aquatic Botany 65, 255–268.</w:t>
      </w:r>
    </w:p>
    <w:bookmarkEnd w:id="147"/>
    <w:bookmarkStart w:id="148" w:name="ref-gardner2018global"/>
    <w:p>
      <w:pPr>
        <w:pStyle w:val="Bibliography"/>
      </w:pPr>
      <w:r>
        <w:t xml:space="preserve">Gardner, R.C., Finlayson, C., 2018. Global wetland outlook: State of the world’s wetlands and their services to people, in: Ramsar Convention Secretariat. pp. 2020–5.</w:t>
      </w:r>
    </w:p>
    <w:bookmarkEnd w:id="148"/>
    <w:bookmarkStart w:id="149"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49"/>
    <w:bookmarkStart w:id="151"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50">
        <w:r>
          <w:rPr>
            <w:rStyle w:val="Hyperlink"/>
          </w:rPr>
          <w:t xml:space="preserve">https://doi.org/10.1002/aqc.4210</w:t>
        </w:r>
      </w:hyperlink>
    </w:p>
    <w:bookmarkEnd w:id="151"/>
    <w:bookmarkStart w:id="152"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52"/>
    <w:bookmarkStart w:id="153"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53"/>
    <w:bookmarkStart w:id="154" w:name="ref-huete2012vegetation"/>
    <w:p>
      <w:pPr>
        <w:pStyle w:val="Bibliography"/>
      </w:pPr>
      <w:r>
        <w:t xml:space="preserve">Huete, A.R., 2012. Vegetation indices, remote sensing and forest monitoring. Geography Compass 6, 513–532.</w:t>
      </w:r>
    </w:p>
    <w:bookmarkEnd w:id="154"/>
    <w:bookmarkStart w:id="156"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55">
        <w:r>
          <w:rPr>
            <w:rStyle w:val="Hyperlink"/>
          </w:rPr>
          <w:t xml:space="preserve">https://doi.org/10.1073/pnas.0402642101</w:t>
        </w:r>
      </w:hyperlink>
    </w:p>
    <w:bookmarkEnd w:id="156"/>
    <w:bookmarkStart w:id="158" w:name="ref-ioc_sea_level_lecy"/>
    <w:p>
      <w:pPr>
        <w:pStyle w:val="Bibliography"/>
      </w:pPr>
      <w:r>
        <w:t xml:space="preserve">IOC, 2024.</w:t>
      </w:r>
      <w:r>
        <w:t xml:space="preserve"> </w:t>
      </w:r>
      <w:hyperlink r:id="rId157">
        <w:r>
          <w:rPr>
            <w:rStyle w:val="Hyperlink"/>
          </w:rPr>
          <w:t xml:space="preserve">Intergovernmental oceanographic commission ; sea level monitoring station - le conquet, france (LECY)</w:t>
        </w:r>
      </w:hyperlink>
      <w:r>
        <w:t xml:space="preserve">.</w:t>
      </w:r>
    </w:p>
    <w:bookmarkEnd w:id="158"/>
    <w:bookmarkStart w:id="159"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59"/>
    <w:bookmarkStart w:id="161"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0">
        <w:r>
          <w:rPr>
            <w:rStyle w:val="Hyperlink"/>
          </w:rPr>
          <w:t xml:space="preserve">https://doi.org/10.1016/S0304-4238(05)80016-0</w:t>
        </w:r>
      </w:hyperlink>
    </w:p>
    <w:bookmarkEnd w:id="161"/>
    <w:bookmarkStart w:id="162" w:name="ref-kloos2021agricultural"/>
    <w:p>
      <w:pPr>
        <w:pStyle w:val="Bibliography"/>
      </w:pPr>
      <w:r>
        <w:t xml:space="preserve">Kloos, S., Yuan, Y., Castelli, M., Menzel, A., 2021. Agricultural drought detection with MODIS based vegetation health indices in southeast germany. Remote Sensing 13, 3907.</w:t>
      </w:r>
    </w:p>
    <w:bookmarkEnd w:id="162"/>
    <w:bookmarkStart w:id="164"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63">
        <w:r>
          <w:rPr>
            <w:rStyle w:val="Hyperlink"/>
          </w:rPr>
          <w:t xml:space="preserve">https://doi.org/10.1016/S0034-4257(70)80021-9</w:t>
        </w:r>
      </w:hyperlink>
    </w:p>
    <w:bookmarkEnd w:id="164"/>
    <w:bookmarkStart w:id="165" w:name="ref-loarie2009velocity"/>
    <w:p>
      <w:pPr>
        <w:pStyle w:val="Bibliography"/>
      </w:pPr>
      <w:r>
        <w:t xml:space="preserve">Loarie, S.R., Duffy, P.B., Hamilton, H., Asner, G.P., Field, C.B., Ackerly, D.D., 2009. The velocity of climate change. Nature 462, 1052–1055.</w:t>
      </w:r>
    </w:p>
    <w:bookmarkEnd w:id="165"/>
    <w:bookmarkStart w:id="166"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66"/>
    <w:bookmarkStart w:id="167"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67"/>
    <w:bookmarkStart w:id="169"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68">
        <w:r>
          <w:rPr>
            <w:rStyle w:val="Hyperlink"/>
          </w:rPr>
          <w:t xml:space="preserve">https://doi.org/10.1038/s41598-019-50643-w</w:t>
        </w:r>
      </w:hyperlink>
    </w:p>
    <w:bookmarkEnd w:id="169"/>
    <w:bookmarkStart w:id="170"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70"/>
    <w:bookmarkStart w:id="172"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71">
        <w:r>
          <w:rPr>
            <w:rStyle w:val="Hyperlink"/>
          </w:rPr>
          <w:t xml:space="preserve">https://doi.org/10.3389/fmars.2019.00734</w:t>
        </w:r>
      </w:hyperlink>
    </w:p>
    <w:bookmarkEnd w:id="172"/>
    <w:bookmarkStart w:id="174"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73">
        <w:r>
          <w:rPr>
            <w:rStyle w:val="Hyperlink"/>
          </w:rPr>
          <w:t xml:space="preserve">https://doi.org/10.1111/gcb.14282</w:t>
        </w:r>
      </w:hyperlink>
    </w:p>
    <w:bookmarkEnd w:id="174"/>
    <w:bookmarkStart w:id="175"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75"/>
    <w:bookmarkStart w:id="176" w:name="ref-perkins2013measurement"/>
    <w:p>
      <w:pPr>
        <w:pStyle w:val="Bibliography"/>
      </w:pPr>
      <w:r>
        <w:t xml:space="preserve">Perkins, S.E., Alexander, L.V., 2013. On the measurement of heat waves. Journal of climate 26, 4500–4517.</w:t>
      </w:r>
    </w:p>
    <w:bookmarkEnd w:id="176"/>
    <w:bookmarkStart w:id="177" w:name="ref-ramesh2020seagrass"/>
    <w:p>
      <w:pPr>
        <w:pStyle w:val="Bibliography"/>
      </w:pPr>
      <w:r>
        <w:t xml:space="preserve">Ramesh, C., Mohanraju, R., 2020. Seagrass ecosystems of andaman and nicobar islands: Status and future perspective. Environmental &amp; Earth Sciences Research Journal 7.</w:t>
      </w:r>
    </w:p>
    <w:bookmarkEnd w:id="177"/>
    <w:bookmarkStart w:id="179"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78">
        <w:r>
          <w:rPr>
            <w:rStyle w:val="Hyperlink"/>
          </w:rPr>
          <w:t xml:space="preserve">https://doi.org/10.1073/pnas.0500008102</w:t>
        </w:r>
      </w:hyperlink>
    </w:p>
    <w:bookmarkEnd w:id="179"/>
    <w:bookmarkStart w:id="180" w:name="ref-rouse1974monitoring"/>
    <w:p>
      <w:pPr>
        <w:pStyle w:val="Bibliography"/>
      </w:pPr>
      <w:r>
        <w:t xml:space="preserve">Rouse, J.W., Haas, R.H., Schell, J.A., Deering, D.W., others, 1974. Monitoring vegetation systems in the great plains with ERTS. NASA Spec. Publ 351, 309.</w:t>
      </w:r>
    </w:p>
    <w:bookmarkEnd w:id="180"/>
    <w:bookmarkStart w:id="182"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81">
        <w:r>
          <w:rPr>
            <w:rStyle w:val="Hyperlink"/>
          </w:rPr>
          <w:t xml:space="preserve">https://doi.org/10.1029/2023GL103540</w:t>
        </w:r>
      </w:hyperlink>
    </w:p>
    <w:bookmarkEnd w:id="182"/>
    <w:bookmarkStart w:id="183"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83"/>
    <w:bookmarkStart w:id="184"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84"/>
    <w:bookmarkStart w:id="185" w:name="ref-schlegel2017nearshore"/>
    <w:p>
      <w:pPr>
        <w:pStyle w:val="Bibliography"/>
      </w:pPr>
      <w:r>
        <w:t xml:space="preserve">Schlegel, R.W., Oliver, E.C., Wernberg, T., Smit, A.J., 2017. Nearshore and offshore co-occurrence of marine heatwaves and cold-spells. Progress in Oceanography 151, 189–205.</w:t>
      </w:r>
    </w:p>
    <w:bookmarkEnd w:id="185"/>
    <w:bookmarkStart w:id="187"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86">
        <w:r>
          <w:rPr>
            <w:rStyle w:val="Hyperlink"/>
          </w:rPr>
          <w:t xml:space="preserve">https://doi.org/10.21105/joss.00821</w:t>
        </w:r>
      </w:hyperlink>
    </w:p>
    <w:bookmarkEnd w:id="187"/>
    <w:bookmarkStart w:id="188"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88"/>
    <w:bookmarkStart w:id="189"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89"/>
    <w:bookmarkStart w:id="191" w:name="ref-shom_ram_2022"/>
    <w:p>
      <w:pPr>
        <w:pStyle w:val="Bibliography"/>
      </w:pPr>
      <w:r>
        <w:t xml:space="preserve">Shom, 2022.</w:t>
      </w:r>
      <w:r>
        <w:t xml:space="preserve"> </w:t>
      </w:r>
      <w:hyperlink r:id="rId190">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91"/>
    <w:bookmarkStart w:id="193" w:name="Xbef41143b4d4042e58f11cfc27e216202646012"/>
    <w:p>
      <w:pPr>
        <w:pStyle w:val="Bibliography"/>
      </w:pPr>
      <w:r>
        <w:t xml:space="preserve">SHOM, 2021.</w:t>
      </w:r>
      <w:r>
        <w:t xml:space="preserve"> </w:t>
      </w:r>
      <w:hyperlink r:id="rId192">
        <w:r>
          <w:rPr>
            <w:rStyle w:val="Hyperlink"/>
          </w:rPr>
          <w:t xml:space="preserve">Service hydrographique et océanographique de la marine ; bathymétrie Litto3D® bretagne 2018-2021</w:t>
        </w:r>
      </w:hyperlink>
      <w:r>
        <w:t xml:space="preserve">.</w:t>
      </w:r>
    </w:p>
    <w:bookmarkEnd w:id="193"/>
    <w:bookmarkStart w:id="195" w:name="ref-simolo2022quantifying"/>
    <w:p>
      <w:pPr>
        <w:pStyle w:val="Bibliography"/>
      </w:pPr>
      <w:r>
        <w:t xml:space="preserve">Simolo, C., Corti, S., 2022. Quantifying the role of variability in future intensification of heat extremes. Nature Communications 13.</w:t>
      </w:r>
      <w:r>
        <w:t xml:space="preserve"> </w:t>
      </w:r>
      <w:hyperlink r:id="rId194">
        <w:r>
          <w:rPr>
            <w:rStyle w:val="Hyperlink"/>
          </w:rPr>
          <w:t xml:space="preserve">https://doi.org/10.1038/s41467-022-35571-0</w:t>
        </w:r>
      </w:hyperlink>
    </w:p>
    <w:bookmarkEnd w:id="195"/>
    <w:bookmarkStart w:id="196"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96"/>
    <w:bookmarkStart w:id="198"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197">
        <w:r>
          <w:rPr>
            <w:rStyle w:val="Hyperlink"/>
          </w:rPr>
          <w:t xml:space="preserve">https://doi.org/10.1038/s41558-019-0412-1</w:t>
        </w:r>
      </w:hyperlink>
    </w:p>
    <w:bookmarkEnd w:id="198"/>
    <w:bookmarkStart w:id="199"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99"/>
    <w:bookmarkStart w:id="201"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200">
        <w:r>
          <w:rPr>
            <w:rStyle w:val="Hyperlink"/>
          </w:rPr>
          <w:t xml:space="preserve">https://doi.org/10.1152/physiol.00040.2018</w:t>
        </w:r>
      </w:hyperlink>
    </w:p>
    <w:bookmarkEnd w:id="201"/>
    <w:bookmarkStart w:id="202"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02"/>
    <w:bookmarkStart w:id="203" w:name="ref-unsworth2014biodiversity"/>
    <w:p>
      <w:pPr>
        <w:pStyle w:val="Bibliography"/>
      </w:pPr>
      <w:r>
        <w:t xml:space="preserve">Unsworth, R., Cullen-Unsworth, L.C., 2014. Biodiversity, ecosystem services, and the conservation of seagrass meadows. Coast. Conserv 19, 95.</w:t>
      </w:r>
    </w:p>
    <w:bookmarkEnd w:id="203"/>
    <w:bookmarkStart w:id="204" w:name="ref-unsworth2022planetary"/>
    <w:p>
      <w:pPr>
        <w:pStyle w:val="Bibliography"/>
      </w:pPr>
      <w:r>
        <w:t xml:space="preserve">Unsworth, R.K., Cullen-Unsworth, L.C., Jones, B.L., Lilley, R.J., 2022. The planetary role of seagrass conservation. Science 377, 609–613.</w:t>
      </w:r>
    </w:p>
    <w:bookmarkEnd w:id="204"/>
    <w:bookmarkStart w:id="205"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05"/>
    <w:bookmarkStart w:id="206"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06"/>
    <w:bookmarkStart w:id="207"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07"/>
    <w:bookmarkStart w:id="209" w:name="ref-zoffoli2022remote"/>
    <w:p>
      <w:pPr>
        <w:pStyle w:val="Bibliography"/>
      </w:pPr>
      <w:r>
        <w:t xml:space="preserve">Zoffoli, M.L., Gernez, P., Oiry, S., Godet, L., Dalloyau, S., Davies, B.F.R., Barillé, L., 2023b. Remote sensing in seagrass ecology: Coupled dynamics between migratory herbivorous birds and intertidal meadows observed by satellite during four decades. Remote Sensing in Ecology and Conservation 9, 420–433.</w:t>
      </w:r>
      <w:r>
        <w:t xml:space="preserve"> </w:t>
      </w:r>
      <w:hyperlink r:id="rId208">
        <w:r>
          <w:rPr>
            <w:rStyle w:val="Hyperlink"/>
          </w:rPr>
          <w:t xml:space="preserve">https://doi.org/10.1002/rse2.319</w:t>
        </w:r>
      </w:hyperlink>
    </w:p>
    <w:bookmarkEnd w:id="209"/>
    <w:bookmarkStart w:id="210" w:name="ref-zoffoli2023remote"/>
    <w:p>
      <w:pPr>
        <w:pStyle w:val="Bibliography"/>
      </w:pPr>
      <w:r>
        <w:t xml:space="preserve">Zoffoli, M.L., Gernez, P., Oiry, S., Godet, L., Dalloyau, S., Davies, B.F.R., Barillé, L., 2023a. Remote sensing in seagrass ecology: Coupled dynamics between migratory herbivorous birds and intertidal meadows observed by satellite during four decades. Remote Sensing in Ecology and Conservation 9, 420–433.</w:t>
      </w:r>
    </w:p>
    <w:bookmarkEnd w:id="210"/>
    <w:bookmarkStart w:id="211"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11"/>
    <w:bookmarkEnd w:id="212"/>
    <w:sectPr>
      <w:lnNumType w:countBy="1" w:restart="continuous"/>
    </w:sectPr>
    <w:bookmarkEnd w:id="21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94" Target="media/rId94.png" /><Relationship Type="http://schemas.openxmlformats.org/officeDocument/2006/relationships/image" Id="rId25" Target="media/rId25.png" /><Relationship Type="http://schemas.openxmlformats.org/officeDocument/2006/relationships/image" Id="rId105" Target="media/rId105.png" /><Relationship Type="http://schemas.openxmlformats.org/officeDocument/2006/relationships/image" Id="rId88" Target="media/rId88.png" /><Relationship Type="http://schemas.openxmlformats.org/officeDocument/2006/relationships/image" Id="rId100" Target="media/rId100.png" /><Relationship Type="http://schemas.openxmlformats.org/officeDocument/2006/relationships/image" Id="rId80" Target="media/rId80.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113" Target="media/rId113.png" /><Relationship Type="http://schemas.openxmlformats.org/officeDocument/2006/relationships/image" Id="rId67" Target="media/rId67.png" /><Relationship Type="http://schemas.openxmlformats.org/officeDocument/2006/relationships/image" Id="rId118" Target="media/rId118.png" /><Relationship Type="http://schemas.openxmlformats.org/officeDocument/2006/relationships/hyperlink" Id="rId190" Target="https://diffusion.shom.fr/references-altimetriques-maritimes-ram.html" TargetMode="External" /><Relationship Type="http://schemas.openxmlformats.org/officeDocument/2006/relationships/hyperlink" Id="rId150" Target="https://doi.org/10.1002/aqc.4210" TargetMode="External" /><Relationship Type="http://schemas.openxmlformats.org/officeDocument/2006/relationships/hyperlink" Id="rId208" Target="https://doi.org/10.1002/rse2.319" TargetMode="External" /><Relationship Type="http://schemas.openxmlformats.org/officeDocument/2006/relationships/hyperlink" Id="rId134" Target="https://doi.org/10.1007/s11099-007-0084-3" TargetMode="External" /><Relationship Type="http://schemas.openxmlformats.org/officeDocument/2006/relationships/hyperlink" Id="rId163" Target="https://doi.org/10.1016/S0034-4257(70)80021-9" TargetMode="External" /><Relationship Type="http://schemas.openxmlformats.org/officeDocument/2006/relationships/hyperlink" Id="rId160" Target="https://doi.org/10.1016/S0304-4238(05)80016-0" TargetMode="External" /><Relationship Type="http://schemas.openxmlformats.org/officeDocument/2006/relationships/hyperlink" Id="rId138" Target="https://doi.org/10.1016/j.rse.2024.114340" TargetMode="External" /><Relationship Type="http://schemas.openxmlformats.org/officeDocument/2006/relationships/hyperlink" Id="rId181" Target="https://doi.org/10.1029/2023GL103540" TargetMode="External" /><Relationship Type="http://schemas.openxmlformats.org/officeDocument/2006/relationships/hyperlink" Id="rId194" Target="https://doi.org/10.1038/s41467-022-35571-0" TargetMode="External" /><Relationship Type="http://schemas.openxmlformats.org/officeDocument/2006/relationships/hyperlink" Id="rId197" Target="https://doi.org/10.1038/s41558-019-0412-1" TargetMode="External" /><Relationship Type="http://schemas.openxmlformats.org/officeDocument/2006/relationships/hyperlink" Id="rId168" Target="https://doi.org/10.1038/s41598-019-50643-w" TargetMode="External" /><Relationship Type="http://schemas.openxmlformats.org/officeDocument/2006/relationships/hyperlink" Id="rId136" Target="https://doi.org/10.1038/s43247-024-01543-z" TargetMode="External" /><Relationship Type="http://schemas.openxmlformats.org/officeDocument/2006/relationships/hyperlink" Id="rId155" Target="https://doi.org/10.1073/pnas.0402642101" TargetMode="External" /><Relationship Type="http://schemas.openxmlformats.org/officeDocument/2006/relationships/hyperlink" Id="rId178" Target="https://doi.org/10.1073/pnas.0500008102" TargetMode="External" /><Relationship Type="http://schemas.openxmlformats.org/officeDocument/2006/relationships/hyperlink" Id="rId173" Target="https://doi.org/10.1111/gcb.14282" TargetMode="External" /><Relationship Type="http://schemas.openxmlformats.org/officeDocument/2006/relationships/hyperlink" Id="rId200" Target="https://doi.org/10.1152/physiol.00040.2018" TargetMode="External" /><Relationship Type="http://schemas.openxmlformats.org/officeDocument/2006/relationships/hyperlink" Id="rId186" Target="https://doi.org/10.21105/joss.00821" TargetMode="External" /><Relationship Type="http://schemas.openxmlformats.org/officeDocument/2006/relationships/hyperlink" Id="rId127" Target="https://doi.org/10.3354/meps14588" TargetMode="External" /><Relationship Type="http://schemas.openxmlformats.org/officeDocument/2006/relationships/hyperlink" Id="rId171" Target="https://doi.org/10.3389/fmars.2019.00734" TargetMode="External" /><Relationship Type="http://schemas.openxmlformats.org/officeDocument/2006/relationships/hyperlink" Id="rId132"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92"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57"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90" Target="https://diffusion.shom.fr/references-altimetriques-maritimes-ram.html" TargetMode="External" /><Relationship Type="http://schemas.openxmlformats.org/officeDocument/2006/relationships/hyperlink" Id="rId150" Target="https://doi.org/10.1002/aqc.4210" TargetMode="External" /><Relationship Type="http://schemas.openxmlformats.org/officeDocument/2006/relationships/hyperlink" Id="rId208" Target="https://doi.org/10.1002/rse2.319" TargetMode="External" /><Relationship Type="http://schemas.openxmlformats.org/officeDocument/2006/relationships/hyperlink" Id="rId134" Target="https://doi.org/10.1007/s11099-007-0084-3" TargetMode="External" /><Relationship Type="http://schemas.openxmlformats.org/officeDocument/2006/relationships/hyperlink" Id="rId163" Target="https://doi.org/10.1016/S0034-4257(70)80021-9" TargetMode="External" /><Relationship Type="http://schemas.openxmlformats.org/officeDocument/2006/relationships/hyperlink" Id="rId160" Target="https://doi.org/10.1016/S0304-4238(05)80016-0" TargetMode="External" /><Relationship Type="http://schemas.openxmlformats.org/officeDocument/2006/relationships/hyperlink" Id="rId138" Target="https://doi.org/10.1016/j.rse.2024.114340" TargetMode="External" /><Relationship Type="http://schemas.openxmlformats.org/officeDocument/2006/relationships/hyperlink" Id="rId181" Target="https://doi.org/10.1029/2023GL103540" TargetMode="External" /><Relationship Type="http://schemas.openxmlformats.org/officeDocument/2006/relationships/hyperlink" Id="rId194" Target="https://doi.org/10.1038/s41467-022-35571-0" TargetMode="External" /><Relationship Type="http://schemas.openxmlformats.org/officeDocument/2006/relationships/hyperlink" Id="rId197" Target="https://doi.org/10.1038/s41558-019-0412-1" TargetMode="External" /><Relationship Type="http://schemas.openxmlformats.org/officeDocument/2006/relationships/hyperlink" Id="rId168" Target="https://doi.org/10.1038/s41598-019-50643-w" TargetMode="External" /><Relationship Type="http://schemas.openxmlformats.org/officeDocument/2006/relationships/hyperlink" Id="rId136" Target="https://doi.org/10.1038/s43247-024-01543-z" TargetMode="External" /><Relationship Type="http://schemas.openxmlformats.org/officeDocument/2006/relationships/hyperlink" Id="rId155" Target="https://doi.org/10.1073/pnas.0402642101" TargetMode="External" /><Relationship Type="http://schemas.openxmlformats.org/officeDocument/2006/relationships/hyperlink" Id="rId178" Target="https://doi.org/10.1073/pnas.0500008102" TargetMode="External" /><Relationship Type="http://schemas.openxmlformats.org/officeDocument/2006/relationships/hyperlink" Id="rId173" Target="https://doi.org/10.1111/gcb.14282" TargetMode="External" /><Relationship Type="http://schemas.openxmlformats.org/officeDocument/2006/relationships/hyperlink" Id="rId200" Target="https://doi.org/10.1152/physiol.00040.2018" TargetMode="External" /><Relationship Type="http://schemas.openxmlformats.org/officeDocument/2006/relationships/hyperlink" Id="rId186" Target="https://doi.org/10.21105/joss.00821" TargetMode="External" /><Relationship Type="http://schemas.openxmlformats.org/officeDocument/2006/relationships/hyperlink" Id="rId127" Target="https://doi.org/10.3354/meps14588" TargetMode="External" /><Relationship Type="http://schemas.openxmlformats.org/officeDocument/2006/relationships/hyperlink" Id="rId171" Target="https://doi.org/10.3389/fmars.2019.00734" TargetMode="External" /><Relationship Type="http://schemas.openxmlformats.org/officeDocument/2006/relationships/hyperlink" Id="rId132"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92"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57"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EFFECT OF HEATWAVES ON SEAGRASSES</dc:description>
  <cp:keywords>Remote Sensing, Pigment Composition, Seagrass, Coastal Ecosystems, Heatwaves</cp:keywords>
  <dcterms:created xsi:type="dcterms:W3CDTF">2024-11-04T17:54:15Z</dcterms:created>
  <dcterms:modified xsi:type="dcterms:W3CDTF">2024-11-04T17:54:15Z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vt:lpwstr>
  </property>
  <property fmtid="{D5CDD505-2E9C-101B-9397-08002B2CF9AE}" pid="5" name="apaauthor">
    <vt:lpwstr/>
  </property>
  <property fmtid="{D5CDD505-2E9C-101B-9397-08002B2CF9AE}" pid="6" name="apadate">
    <vt:lpwstr>2024-11-04</vt:lpwstr>
  </property>
  <property fmtid="{D5CDD505-2E9C-101B-9397-08002B2CF9AE}" pid="7" name="apatitle">
    <vt:lpwstr>Effect of Marine and Atmospheric Heatwaves on Reflectance and Pigment Composition of Intertidal Zostera noltei</vt:lpwstr>
  </property>
  <property fmtid="{D5CDD505-2E9C-101B-9397-08002B2CF9AE}" pid="8" name="apatitledisplay">
    <vt:lpwstr>Effect of Marine and Atmospheric Heatwaves on Reflectance and Pigment Composition of Intertidal Zostera noltei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itation">
    <vt:lpwstr/>
  </property>
  <property fmtid="{D5CDD505-2E9C-101B-9397-08002B2CF9AE}" pid="15" name="clear-hidden-classes">
    <vt:lpwstr>none</vt:lpwstr>
  </property>
  <property fmtid="{D5CDD505-2E9C-101B-9397-08002B2CF9AE}" pid="16" name="csl">
    <vt:lpwstr>RSE.csl</vt:lpwstr>
  </property>
  <property fmtid="{D5CDD505-2E9C-101B-9397-08002B2CF9AE}" pid="17" name="documentmode">
    <vt:lpwstr>man</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key-points">
    <vt:lpwstr/>
  </property>
  <property fmtid="{D5CDD505-2E9C-101B-9397-08002B2CF9AE}" pid="26" name="knitr">
    <vt:lpwstr/>
  </property>
  <property fmtid="{D5CDD505-2E9C-101B-9397-08002B2CF9AE}" pid="27" name="labels">
    <vt:lpwstr/>
  </property>
  <property fmtid="{D5CDD505-2E9C-101B-9397-08002B2CF9AE}" pid="28" name="language">
    <vt:lpwstr/>
  </property>
  <property fmtid="{D5CDD505-2E9C-101B-9397-08002B2CF9AE}" pid="29" name="lightbox">
    <vt:lpwstr>auto</vt:lpwstr>
  </property>
  <property fmtid="{D5CDD505-2E9C-101B-9397-08002B2CF9AE}" pid="30" name="link-citations">
    <vt:lpwstr>True</vt:lpwstr>
  </property>
  <property fmtid="{D5CDD505-2E9C-101B-9397-08002B2CF9AE}" pid="31" name="manuscript">
    <vt:lpwstr/>
  </property>
  <property fmtid="{D5CDD505-2E9C-101B-9397-08002B2CF9AE}" pid="32" name="no-ampersand-parenthetical">
    <vt:lpwstr>False</vt:lpwstr>
  </property>
  <property fmtid="{D5CDD505-2E9C-101B-9397-08002B2CF9AE}" pid="33" name="notebook-preview-options">
    <vt:lpwstr/>
  </property>
  <property fmtid="{D5CDD505-2E9C-101B-9397-08002B2CF9AE}" pid="34" name="numbered-lines">
    <vt:lpwstr>True</vt:lpwstr>
  </property>
  <property fmtid="{D5CDD505-2E9C-101B-9397-08002B2CF9AE}" pid="35" name="oneaffiliation">
    <vt:lpwstr>False</vt:lpwstr>
  </property>
  <property fmtid="{D5CDD505-2E9C-101B-9397-08002B2CF9AE}" pid="36" name="oneauthor">
    <vt:lpwstr>False</vt:lpwstr>
  </property>
  <property fmtid="{D5CDD505-2E9C-101B-9397-08002B2CF9AE}" pid="37" name="plain-language-summary">
    <vt:lpwstr>To be written</vt:lpwstr>
  </property>
  <property fmtid="{D5CDD505-2E9C-101B-9397-08002B2CF9AE}" pid="38" name="quarto-internal">
    <vt:lpwstr/>
  </property>
  <property fmtid="{D5CDD505-2E9C-101B-9397-08002B2CF9AE}" pid="39" name="references">
    <vt:lpwstr/>
  </property>
  <property fmtid="{D5CDD505-2E9C-101B-9397-08002B2CF9AE}" pid="40" name="remove-hidden">
    <vt:lpwstr>all</vt:lpwstr>
  </property>
  <property fmtid="{D5CDD505-2E9C-101B-9397-08002B2CF9AE}" pid="41" name="resources">
    <vt:lpwstr/>
  </property>
  <property fmtid="{D5CDD505-2E9C-101B-9397-08002B2CF9AE}" pid="42" name="revealjs-plugins">
    <vt:lpwstr/>
  </property>
  <property fmtid="{D5CDD505-2E9C-101B-9397-08002B2CF9AE}" pid="43" name="shorttitle">
    <vt:lpwstr>EFFECT OF HEATWAVES ON SEAGRASSES</vt:lpwstr>
  </property>
  <property fmtid="{D5CDD505-2E9C-101B-9397-08002B2CF9AE}" pid="44" name="suppress-abstract">
    <vt:lpwstr>False</vt:lpwstr>
  </property>
  <property fmtid="{D5CDD505-2E9C-101B-9397-08002B2CF9AE}" pid="45" name="suppress-affiliation">
    <vt:lpwstr>False</vt:lpwstr>
  </property>
  <property fmtid="{D5CDD505-2E9C-101B-9397-08002B2CF9AE}" pid="46" name="suppress-author">
    <vt:lpwstr>False</vt:lpwstr>
  </property>
  <property fmtid="{D5CDD505-2E9C-101B-9397-08002B2CF9AE}" pid="47" name="suppress-author-note">
    <vt:lpwstr>False</vt:lpwstr>
  </property>
  <property fmtid="{D5CDD505-2E9C-101B-9397-08002B2CF9AE}" pid="48" name="suppress-corresponding-address">
    <vt:lpwstr>False</vt:lpwstr>
  </property>
  <property fmtid="{D5CDD505-2E9C-101B-9397-08002B2CF9AE}" pid="49" name="suppress-corresponding-affiliation-name">
    <vt:lpwstr>False</vt:lpwstr>
  </property>
  <property fmtid="{D5CDD505-2E9C-101B-9397-08002B2CF9AE}" pid="50" name="suppress-corresponding-city">
    <vt:lpwstr>False</vt:lpwstr>
  </property>
  <property fmtid="{D5CDD505-2E9C-101B-9397-08002B2CF9AE}" pid="51" name="suppress-corresponding-department">
    <vt:lpwstr>False</vt:lpwstr>
  </property>
  <property fmtid="{D5CDD505-2E9C-101B-9397-08002B2CF9AE}" pid="52" name="suppress-corresponding-email">
    <vt:lpwstr>False</vt:lpwstr>
  </property>
  <property fmtid="{D5CDD505-2E9C-101B-9397-08002B2CF9AE}" pid="53" name="suppress-corresponding-group">
    <vt:lpwstr>False</vt:lpwstr>
  </property>
  <property fmtid="{D5CDD505-2E9C-101B-9397-08002B2CF9AE}" pid="54" name="suppress-corresponding-paragraph">
    <vt:lpwstr>False</vt:lpwstr>
  </property>
  <property fmtid="{D5CDD505-2E9C-101B-9397-08002B2CF9AE}" pid="55" name="suppress-corresponding-postal-code">
    <vt:lpwstr>False</vt:lpwstr>
  </property>
  <property fmtid="{D5CDD505-2E9C-101B-9397-08002B2CF9AE}" pid="56" name="suppress-corresponding-region">
    <vt:lpwstr>False</vt:lpwstr>
  </property>
  <property fmtid="{D5CDD505-2E9C-101B-9397-08002B2CF9AE}" pid="57" name="suppress-credit-statement">
    <vt:lpwstr>False</vt:lpwstr>
  </property>
  <property fmtid="{D5CDD505-2E9C-101B-9397-08002B2CF9AE}" pid="58" name="suppress-disclosures-paragraph">
    <vt:lpwstr>False</vt:lpwstr>
  </property>
  <property fmtid="{D5CDD505-2E9C-101B-9397-08002B2CF9AE}" pid="59" name="suppress-keywords">
    <vt:lpwstr>False</vt:lpwstr>
  </property>
  <property fmtid="{D5CDD505-2E9C-101B-9397-08002B2CF9AE}" pid="60" name="suppress-orcid">
    <vt:lpwstr>False</vt:lpwstr>
  </property>
  <property fmtid="{D5CDD505-2E9C-101B-9397-08002B2CF9AE}" pid="61" name="suppress-short-title">
    <vt:lpwstr>False</vt:lpwstr>
  </property>
  <property fmtid="{D5CDD505-2E9C-101B-9397-08002B2CF9AE}" pid="62" name="suppress-status-change-paragraph">
    <vt:lpwstr>False</vt:lpwstr>
  </property>
  <property fmtid="{D5CDD505-2E9C-101B-9397-08002B2CF9AE}" pid="63" name="suppress-title">
    <vt:lpwstr>False</vt:lpwstr>
  </property>
  <property fmtid="{D5CDD505-2E9C-101B-9397-08002B2CF9AE}" pid="64" name="suppress-title-introduction">
    <vt:lpwstr>False</vt:lpwstr>
  </property>
  <property fmtid="{D5CDD505-2E9C-101B-9397-08002B2CF9AE}" pid="65" name="suppress-title-page">
    <vt:lpwstr>False</vt:lpwstr>
  </property>
  <property fmtid="{D5CDD505-2E9C-101B-9397-08002B2CF9AE}" pid="66" name="suppress-title-page-number">
    <vt:lpwstr>False</vt:lpwstr>
  </property>
  <property fmtid="{D5CDD505-2E9C-101B-9397-08002B2CF9AE}" pid="67" name="tbl-cap-location">
    <vt:lpwstr>top</vt:lpwstr>
  </property>
  <property fmtid="{D5CDD505-2E9C-101B-9397-08002B2CF9AE}" pid="68" name="template-partials">
    <vt:lpwstr/>
  </property>
  <property fmtid="{D5CDD505-2E9C-101B-9397-08002B2CF9AE}" pid="69" name="theme">
    <vt:lpwstr>cosmo</vt:lpwstr>
  </property>
  <property fmtid="{D5CDD505-2E9C-101B-9397-08002B2CF9AE}" pid="70" name="title-block-style">
    <vt:lpwstr>manuscript</vt:lpwstr>
  </property>
  <property fmtid="{D5CDD505-2E9C-101B-9397-08002B2CF9AE}" pid="71" name="toc-title">
    <vt:lpwstr>Table of contents</vt:lpwstr>
  </property>
  <property fmtid="{D5CDD505-2E9C-101B-9397-08002B2CF9AE}" pid="72" name="unroll-markdown-cells">
    <vt:lpwstr>True</vt:lpwstr>
  </property>
  <property fmtid="{D5CDD505-2E9C-101B-9397-08002B2CF9AE}" pid="73" name="zerocitations">
    <vt:lpwstr>False</vt:lpwstr>
  </property>
</Properties>
</file>