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94.png" ContentType="image/png"/>
  <Override PartName="/word/media/rId25.png" ContentType="image/png"/>
  <Override PartName="/word/media/rId105.png" ContentType="image/png"/>
  <Override PartName="/word/media/rId88.png" ContentType="image/png"/>
  <Override PartName="/word/media/rId100.png" ContentType="image/png"/>
  <Override PartName="/word/media/rId80.png" ContentType="image/png"/>
  <Override PartName="/word/media/rId50.png" ContentType="image/png"/>
  <Override PartName="/word/media/rId55.png" ContentType="image/png"/>
  <Override PartName="/word/media/rId73.png" ContentType="image/png"/>
  <Override PartName="/word/media/rId113.png" ContentType="image/png"/>
  <Override PartName="/word/media/rId67.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Effect of Marine and Atmospheric Heatwaves on Reflectance and Pigment Composition of Intertidal</w:t>
      </w:r>
      <w:r>
        <w:t xml:space="preserve"> </w:t>
      </w:r>
      <w:r>
        <w:rPr>
          <w:i/>
          <w:iCs/>
        </w:rPr>
        <w:t xml:space="preserve">Zostera noltei</w:t>
      </w:r>
    </w:p>
    <w:p>
      <w:pPr>
        <w:pStyle w:val="Author"/>
      </w:pPr>
      <w:r>
        <w:t xml:space="preserve"> </w:t>
      </w:r>
    </w:p>
    <w:p>
      <w:pPr>
        <w:pStyle w:val="Author"/>
      </w:pPr>
      <w:r>
        <w:t xml:space="preserve">Simon Oiry</w:t>
      </w:r>
      <w:r>
        <w:rPr>
          <w:vertAlign w:val="superscript"/>
        </w:rPr>
        <w:t xml:space="preserve">1</w:t>
      </w:r>
      <w:r>
        <w:t xml:space="preserve">, Bede Ffinian Rowe Davies</w:t>
      </w:r>
      <w:r>
        <w:rPr>
          <w:vertAlign w:val="superscript"/>
        </w:rPr>
        <w:t xml:space="preserve">1</w:t>
      </w:r>
      <w:r>
        <w:t xml:space="preserve">, Philippe Rosa</w:t>
      </w:r>
      <w:r>
        <w:rPr>
          <w:vertAlign w:val="superscript"/>
        </w:rPr>
        <w:t xml:space="preserve">1</w:t>
      </w:r>
      <w:r>
        <w:t xml:space="preserve">, Augustin Debly</w:t>
      </w:r>
      <w:r>
        <w:rPr>
          <w:vertAlign w:val="superscript"/>
        </w:rPr>
        <w:t xml:space="preserve">1</w:t>
      </w:r>
      <w:r>
        <w:t xml:space="preserve">, Maria Laura Zoffoli</w:t>
      </w:r>
      <w:r>
        <w:rPr>
          <w:vertAlign w:val="superscript"/>
        </w:rPr>
        <w:t xml:space="preserve">2</w:t>
      </w:r>
      <w:r>
        <w:t xml:space="preserve">, Anne-Laure Barillé</w:t>
      </w:r>
      <w:r>
        <w:rPr>
          <w:vertAlign w:val="superscript"/>
        </w:rPr>
        <w:t xml:space="preserve">3</w:t>
      </w:r>
      <w:r>
        <w:t xml:space="preserve">, Nicolas Harin</w:t>
      </w:r>
      <w:r>
        <w:rPr>
          <w:vertAlign w:val="superscript"/>
        </w:rPr>
        <w:t xml:space="preserve">3</w:t>
      </w:r>
      <w:r>
        <w:t xml:space="preserve">, Pierre Gernez</w:t>
      </w:r>
      <w:r>
        <w:rPr>
          <w:vertAlign w:val="superscript"/>
        </w:rPr>
        <w:t xml:space="preserve">1</w:t>
      </w:r>
      <w:r>
        <w:t xml:space="preserve">, and Laurent Barillé</w:t>
      </w:r>
      <w:r>
        <w:rPr>
          <w:vertAlign w:val="superscript"/>
        </w:rPr>
        <w:t xml:space="preserve">1</w:t>
      </w:r>
    </w:p>
    <w:p>
      <w:pPr>
        <w:pStyle w:val="Author"/>
      </w:pPr>
      <w:r>
        <w:rPr>
          <w:vertAlign w:val="superscript"/>
        </w:rPr>
        <w:t xml:space="preserve">1</w:t>
      </w:r>
      <w:r>
        <w:t xml:space="preserve">Institut des Substances et Organismes de la Mer, ISOMer, Nantes Université, UR 2160, F-44000 Nantes, France</w:t>
      </w:r>
    </w:p>
    <w:p>
      <w:pPr>
        <w:pStyle w:val="Author"/>
      </w:pPr>
      <w:r>
        <w:rPr>
          <w:vertAlign w:val="superscript"/>
        </w:rPr>
        <w:t xml:space="preserve">2</w:t>
      </w:r>
      <w:r>
        <w:t xml:space="preserve">Consiglio Nazionale delle Ricerche, Istituto di Scienze Marine (CNR-ISMAR), 00133 Rome, Italy</w:t>
      </w:r>
    </w:p>
    <w:p>
      <w:pPr>
        <w:pStyle w:val="Author"/>
      </w:pPr>
      <w:r>
        <w:rPr>
          <w:vertAlign w:val="superscript"/>
        </w:rPr>
        <w:t xml:space="preserve">3</w:t>
      </w:r>
      <w:r>
        <w:t xml:space="preserve">Bio-littoral, Immeuble Le Nevada, 2 Rue du Château de l’Eraudière, 44300 Nantes, France</w:t>
      </w:r>
    </w:p>
    <w:bookmarkEnd w:id="20"/>
    <w:bookmarkStart w:id="21" w:name="author-note"/>
    <w:p>
      <w:pPr>
        <w:pStyle w:val="Heading1"/>
      </w:pPr>
      <w:r>
        <w:t xml:space="preserve">Author Note</w:t>
      </w:r>
    </w:p>
    <w:p>
      <w:r>
        <w:br w:type="page"/>
      </w:r>
    </w:p>
    <w:bookmarkEnd w:id="21"/>
    <w:bookmarkStart w:id="22" w:name="abstract"/>
    <w:p>
      <w:pPr>
        <w:pStyle w:val="Heading1"/>
      </w:pPr>
      <w:r>
        <w:t xml:space="preserve">Abstract</w:t>
      </w:r>
    </w:p>
    <w:p>
      <w:pPr>
        <w:pStyle w:val="AbstractFirstParagraph"/>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w:t>
      </w:r>
    </w:p>
    <w:p>
      <w:pPr>
        <w:pStyle w:val="BodyText"/>
      </w:pPr>
      <w:r>
        <w:rPr>
          <w:i/>
          <w:iCs/>
        </w:rPr>
        <w:t xml:space="preserve">Keywords</w:t>
      </w:r>
      <w:r>
        <w:t xml:space="preserve">: Remote Sensing, Pigment Composition, Seagrass, Coastal Ecosystems, Heatwaves</w:t>
      </w:r>
    </w:p>
    <w:p>
      <w:r>
        <w:br w:type="page"/>
      </w:r>
    </w:p>
    <w:bookmarkEnd w:id="22"/>
    <w:bookmarkStart w:id="23" w:name="firstheader"/>
    <w:p>
      <w:pPr>
        <w:pStyle w:val="Heading1"/>
      </w:pPr>
      <w:r>
        <w:t xml:space="preserve">Effect of Marine and Atmospheric Heatwaves on Reflectance and Pigment Composition of Intertidal</w:t>
      </w:r>
      <w:r>
        <w:t xml:space="preserve"> </w:t>
      </w:r>
      <w:r>
        <w:rPr>
          <w:i/>
          <w:iCs/>
        </w:rPr>
        <w:t xml:space="preserve">Zostera noltei</w:t>
      </w:r>
    </w:p>
    <w:bookmarkEnd w:id="23"/>
    <w:bookmarkStart w:id="24"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w:t>
      </w:r>
      <w:hyperlink w:anchor="ref-sousa2019blue">
        <w:r>
          <w:rPr>
            <w:rStyle w:val="Hyperlink"/>
          </w:rPr>
          <w:t xml:space="preserve">Sousa et al., 2019</w:t>
        </w:r>
      </w:hyperlink>
      <w:r>
        <w:t xml:space="preserve">;</w:t>
      </w:r>
      <w:r>
        <w:t xml:space="preserve"> </w:t>
      </w:r>
      <w:hyperlink w:anchor="ref-unsworth2022planetary">
        <w:r>
          <w:rPr>
            <w:rStyle w:val="Hyperlink"/>
          </w:rPr>
          <w:t xml:space="preserve">Unsworth et al., 2022</w:t>
        </w:r>
      </w:hyperlink>
      <w:r>
        <w:t xml:space="preserve">)</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w:t>
      </w:r>
      <w:hyperlink w:anchor="ref-zoffoli2021decadal">
        <w:r>
          <w:rPr>
            <w:rStyle w:val="Hyperlink"/>
          </w:rPr>
          <w:t xml:space="preserve">Zoffoli et al., 2021</w:t>
        </w:r>
      </w:hyperlink>
      <w:r>
        <w:t xml:space="preserve">)</w:t>
      </w:r>
      <w:r>
        <w:t xml:space="preserve">. The interactions between seagrass meadows and their associated herbivores further enhance the delivery of ecosystem services, including coastal protection and fisheries support</w:t>
      </w:r>
      <w:r>
        <w:t xml:space="preserve"> </w:t>
      </w:r>
      <w:r>
        <w:t xml:space="preserve">(</w:t>
      </w:r>
      <w:hyperlink w:anchor="ref-gardner2018global">
        <w:r>
          <w:rPr>
            <w:rStyle w:val="Hyperlink"/>
          </w:rPr>
          <w:t xml:space="preserve">Gardner and Finlayson, 2018</w:t>
        </w:r>
      </w:hyperlink>
      <w:r>
        <w:t xml:space="preserve">;</w:t>
      </w:r>
      <w:r>
        <w:t xml:space="preserve"> </w:t>
      </w:r>
      <w:hyperlink w:anchor="ref-jankowska2019stabilizing">
        <w:r>
          <w:rPr>
            <w:rStyle w:val="Hyperlink"/>
          </w:rPr>
          <w:t xml:space="preserve">Jankowska et al., 2019</w:t>
        </w:r>
      </w:hyperlink>
      <w:r>
        <w:t xml:space="preserve">;</w:t>
      </w:r>
      <w:r>
        <w:t xml:space="preserve"> </w:t>
      </w:r>
      <w:hyperlink w:anchor="ref-zoffoli2023remote">
        <w:r>
          <w:rPr>
            <w:rStyle w:val="Hyperlink"/>
          </w:rPr>
          <w:t xml:space="preserve">Zoffoli et al., 2023</w:t>
        </w:r>
      </w:hyperlink>
      <w:r>
        <w:t xml:space="preserve">)</w:t>
      </w:r>
      <w:r>
        <w:t xml:space="preserve">. Understanding and preserving these ecosystems are vital for maintaining the biodiversity and productivity of coastal regions</w:t>
      </w:r>
      <w:r>
        <w:t xml:space="preserve"> </w:t>
      </w:r>
      <w:r>
        <w:t xml:space="preserve">(</w:t>
      </w:r>
      <w:hyperlink w:anchor="ref-ramesh2020seagrass">
        <w:r>
          <w:rPr>
            <w:rStyle w:val="Hyperlink"/>
          </w:rPr>
          <w:t xml:space="preserve">Ramesh and Mohanraju, 2020</w:t>
        </w:r>
      </w:hyperlink>
      <w:r>
        <w:t xml:space="preserve">;</w:t>
      </w:r>
      <w:r>
        <w:t xml:space="preserve"> </w:t>
      </w:r>
      <w:hyperlink w:anchor="ref-scott2018role">
        <w:r>
          <w:rPr>
            <w:rStyle w:val="Hyperlink"/>
          </w:rPr>
          <w:t xml:space="preserve">Scott et al., 2018</w:t>
        </w:r>
      </w:hyperlink>
      <w:r>
        <w:t xml:space="preserve">)</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t>
      </w:r>
      <w:hyperlink w:anchor="ref-waycott2009accelerating">
        <w:r>
          <w:rPr>
            <w:rStyle w:val="Hyperlink"/>
          </w:rPr>
          <w:t xml:space="preserve">Waycott et al., 2009</w:t>
        </w:r>
      </w:hyperlink>
      <w:r>
        <w:t xml:space="preserve">)</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w:t>
      </w:r>
      <w:hyperlink w:anchor="ref-thomsen2023meadow">
        <w:r>
          <w:rPr>
            <w:rStyle w:val="Hyperlink"/>
          </w:rPr>
          <w:t xml:space="preserve">Thomsen et al., 2023</w:t>
        </w:r>
      </w:hyperlink>
      <w:r>
        <w:t xml:space="preserve">)</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w:t>
      </w:r>
      <w:hyperlink w:anchor="ref-sevgi2022bitkilerde">
        <w:r>
          <w:rPr>
            <w:rStyle w:val="Hyperlink"/>
          </w:rPr>
          <w:t xml:space="preserve">Sevgi and Leblebici, 2022</w:t>
        </w:r>
      </w:hyperlink>
      <w:r>
        <w:t xml:space="preserve">)</w:t>
      </w:r>
      <w:r>
        <w:t xml:space="preserve"> </w:t>
      </w:r>
      <w:r>
        <w:t xml:space="preserve">Additionally, invasive species can out compete native seagrasses for resources, altering community structure and function</w:t>
      </w:r>
      <w:r>
        <w:t xml:space="preserve"> </w:t>
      </w:r>
      <w:r>
        <w:t xml:space="preserve">(</w:t>
      </w:r>
      <w:hyperlink w:anchor="ref-simpson2016distribution">
        <w:r>
          <w:rPr>
            <w:rStyle w:val="Hyperlink"/>
          </w:rPr>
          <w:t xml:space="preserve">Simpson et al., 2016</w:t>
        </w:r>
      </w:hyperlink>
      <w:r>
        <w:t xml:space="preserve">)</w:t>
      </w:r>
      <w:r>
        <w:t xml:space="preserve">.</w:t>
      </w:r>
    </w:p>
    <w:p>
      <w:pPr>
        <w:pStyle w:val="BodyText"/>
      </w:pPr>
      <w:r>
        <w:t xml:space="preserve">Heatwaves, exacerbated by climate change, pose a growing threat to seagrasses. Marine Heatwaves (MHW), defined by</w:t>
      </w:r>
      <w:r>
        <w:t xml:space="preserve"> </w:t>
      </w:r>
      <w:r>
        <w:t xml:space="preserve">Hobday et al. (</w:t>
      </w:r>
      <w:hyperlink w:anchor="ref-hobday2016hierarchical">
        <w:r>
          <w:rPr>
            <w:rStyle w:val="Hyperlink"/>
          </w:rPr>
          <w:t xml:space="preserve">2016</w:t>
        </w:r>
      </w:hyperlink>
      <w:r>
        <w:t xml:space="preserve">)</w:t>
      </w:r>
      <w:r>
        <w:t xml:space="preserve"> </w:t>
      </w:r>
      <w:r>
        <w:t xml:space="preserve">as prolonged discrete anomalously warm water events, and Atmospheric Heatwaves (AHW), defined by</w:t>
      </w:r>
      <w:r>
        <w:t xml:space="preserve"> </w:t>
      </w:r>
      <w:r>
        <w:t xml:space="preserve">Perkins and Alexander (</w:t>
      </w:r>
      <w:hyperlink w:anchor="ref-perkins2013measurement">
        <w:r>
          <w:rPr>
            <w:rStyle w:val="Hyperlink"/>
          </w:rPr>
          <w:t xml:space="preserve">2013</w:t>
        </w:r>
      </w:hyperlink>
      <w:r>
        <w:t xml:space="preserve">)</w:t>
      </w:r>
      <w:r>
        <w:t xml:space="preserve"> </w:t>
      </w:r>
      <w:r>
        <w:t xml:space="preserve">as periods of at least three consecutive days with temperatures exceeding the 90th percentile, cause severe physiological stress on seagrasses</w:t>
      </w:r>
      <w:r>
        <w:t xml:space="preserve"> </w:t>
      </w:r>
      <w:r>
        <w:t xml:space="preserve">(</w:t>
      </w:r>
      <w:hyperlink w:anchor="ref-deguette2022physiological">
        <w:r>
          <w:rPr>
            <w:rStyle w:val="Hyperlink"/>
          </w:rPr>
          <w:t xml:space="preserve">Deguette et al., 2022</w:t>
        </w:r>
      </w:hyperlink>
      <w:r>
        <w:t xml:space="preserve">;</w:t>
      </w:r>
      <w:r>
        <w:t xml:space="preserve"> </w:t>
      </w:r>
      <w:hyperlink w:anchor="ref-sawall2021chronically">
        <w:r>
          <w:rPr>
            <w:rStyle w:val="Hyperlink"/>
          </w:rPr>
          <w:t xml:space="preserve">Sawall et al., 2021</w:t>
        </w:r>
      </w:hyperlink>
      <w:r>
        <w:t xml:space="preserve">)</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w:t>
      </w:r>
      <w:hyperlink w:anchor="ref-sawall2021chronically">
        <w:r>
          <w:rPr>
            <w:rStyle w:val="Hyperlink"/>
          </w:rPr>
          <w:t xml:space="preserve">Sawall et al., 2021</w:t>
        </w:r>
      </w:hyperlink>
      <w:r>
        <w:t xml:space="preserve">)</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w:t>
      </w:r>
      <w:hyperlink w:anchor="ref-deguette2022physiological">
        <w:r>
          <w:rPr>
            <w:rStyle w:val="Hyperlink"/>
          </w:rPr>
          <w:t xml:space="preserve">Deguette et al., 2022</w:t>
        </w:r>
      </w:hyperlink>
      <w:r>
        <w:t xml:space="preserve">)</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t>
      </w:r>
      <w:hyperlink w:anchor="ref-winters2011effects">
        <w:r>
          <w:rPr>
            <w:rStyle w:val="Hyperlink"/>
          </w:rPr>
          <w:t xml:space="preserve">Winters et al., 2011</w:t>
        </w:r>
      </w:hyperlink>
      <w:r>
        <w:t xml:space="preserve">)</w:t>
      </w:r>
      <w:r>
        <w:t xml:space="preserve">. These events intensify other stressors, such as overgrazing and seed burial, compromising sexual recruitment</w:t>
      </w:r>
      <w:r>
        <w:t xml:space="preserve"> </w:t>
      </w:r>
      <w:r>
        <w:t xml:space="preserve">(</w:t>
      </w:r>
      <w:hyperlink w:anchor="ref-guerrero2020heat">
        <w:r>
          <w:rPr>
            <w:rStyle w:val="Hyperlink"/>
          </w:rPr>
          <w:t xml:space="preserve">Guerrero-Meseguer et al., 2020</w:t>
        </w:r>
      </w:hyperlink>
      <w:r>
        <w:t xml:space="preserve">)</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w:t>
      </w:r>
      <w:hyperlink w:anchor="ref-akbar2020mangrove">
        <w:r>
          <w:rPr>
            <w:rStyle w:val="Hyperlink"/>
          </w:rPr>
          <w:t xml:space="preserve">Akbar et al., 2020</w:t>
        </w:r>
      </w:hyperlink>
      <w:r>
        <w:t xml:space="preserve">;</w:t>
      </w:r>
      <w:r>
        <w:t xml:space="preserve"> </w:t>
      </w:r>
      <w:hyperlink w:anchor="ref-carlan2020identifying">
        <w:r>
          <w:rPr>
            <w:rStyle w:val="Hyperlink"/>
          </w:rPr>
          <w:t xml:space="preserve">Cârlan et al., 2020</w:t>
        </w:r>
      </w:hyperlink>
      <w:r>
        <w:t xml:space="preserve">;</w:t>
      </w:r>
      <w:r>
        <w:t xml:space="preserve"> </w:t>
      </w:r>
      <w:hyperlink w:anchor="ref-huete2012vegetation">
        <w:r>
          <w:rPr>
            <w:rStyle w:val="Hyperlink"/>
          </w:rPr>
          <w:t xml:space="preserve">Huete, 2012</w:t>
        </w:r>
      </w:hyperlink>
      <w:r>
        <w:t xml:space="preserve">;</w:t>
      </w:r>
      <w:r>
        <w:t xml:space="preserve"> </w:t>
      </w:r>
      <w:hyperlink w:anchor="ref-kloos2021agricultural">
        <w:r>
          <w:rPr>
            <w:rStyle w:val="Hyperlink"/>
          </w:rPr>
          <w:t xml:space="preserve">Kloos et al., 2021</w:t>
        </w:r>
      </w:hyperlink>
      <w:r>
        <w:t xml:space="preserve">)</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w:t>
      </w:r>
      <w:hyperlink w:anchor="ref-papathanasopoulou2019satellite">
        <w:r>
          <w:rPr>
            <w:rStyle w:val="Hyperlink"/>
          </w:rPr>
          <w:t xml:space="preserve">Papathanasopoulou et al., 2019</w:t>
        </w:r>
      </w:hyperlink>
      <w:r>
        <w:t xml:space="preserve">)</w:t>
      </w:r>
      <w:r>
        <w:t xml:space="preserve">.</w:t>
      </w:r>
    </w:p>
    <w:p>
      <w:pPr>
        <w:pStyle w:val="BodyText"/>
      </w:pPr>
      <w:r>
        <w:t xml:space="preserve">This study aims to experimentally test the hypothesis that warm events, such as atmospheric heatwaves, alter the pigment composition and reflectance of the intertidal seagrass Zostera noltei. By linking these changes with satellite remote sensing data, the study seeks to provide insights into how heatwaves affect seagrass meadows and to assess the potential of remote sensing in monitoring these impacts</w:t>
      </w:r>
    </w:p>
    <w:bookmarkEnd w:id="24"/>
    <w:bookmarkStart w:id="66" w:name="material-methods"/>
    <w:p>
      <w:pPr>
        <w:pStyle w:val="Heading1"/>
      </w:pPr>
      <w:r>
        <w:t xml:space="preserve">2. Material &amp; Methods</w:t>
      </w:r>
    </w:p>
    <w:bookmarkStart w:id="49" w:name="laboratory-experiment"/>
    <w:p>
      <w:pPr>
        <w:pStyle w:val="Heading2"/>
      </w:pPr>
      <w:r>
        <w:t xml:space="preserve">2.1 Laboratory Experiment</w:t>
      </w:r>
    </w:p>
    <w:bookmarkStart w:id="30"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Zostera noltei</w:t>
      </w:r>
      <w:r>
        <w:t xml:space="preserve"> </w:t>
      </w:r>
      <w:r>
        <w:t xml:space="preserve">(dwarf eelgrass)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w:t>
      </w:r>
      <w:hyperlink w:anchor="ref-akbar2020mangrove">
        <w:r>
          <w:rPr>
            <w:rStyle w:val="Hyperlink"/>
          </w:rPr>
          <w:t xml:space="preserve">Akbar et al., 2020</w:t>
        </w:r>
      </w:hyperlink>
      <w:r>
        <w:t xml:space="preserve">)</w:t>
      </w:r>
      <w:r>
        <w:t xml:space="preserve">. A wave generator was used in the tank to circulate and reoxygenate the water.</w:t>
      </w:r>
    </w:p>
    <w:bookmarkStart w:id="29" w:name="cell-fig-design"/>
    <w:bookmarkStart w:id="28" w:name="fig-design"/>
    <w:p>
      <w:pPr>
        <w:pStyle w:val="FigureTitle"/>
      </w:pPr>
      <w:r>
        <w:t xml:space="preserve">Figure 1</w:t>
      </w:r>
    </w:p>
    <w:p>
      <w:pPr>
        <w:pStyle w:val="Caption"/>
      </w:pPr>
      <w:r>
        <w:t xml:space="preserve">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pPr>
        <w:pStyle w:val="FigureWithoutNote"/>
      </w:pPr>
      <w:r>
        <w:drawing>
          <wp:inline>
            <wp:extent cx="5943600" cy="5846341"/>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943600" cy="5846341"/>
                    </a:xfrm>
                    <a:prstGeom prst="rect">
                      <a:avLst/>
                    </a:prstGeom>
                    <a:noFill/>
                    <a:ln w="9525">
                      <a:noFill/>
                      <a:headEnd/>
                      <a:tailEnd/>
                    </a:ln>
                  </pic:spPr>
                </pic:pic>
              </a:graphicData>
            </a:graphic>
          </wp:inline>
        </w:drawing>
      </w:r>
    </w:p>
    <w:bookmarkEnd w:id="28"/>
    <w:bookmarkEnd w:id="29"/>
    <w:bookmarkEnd w:id="30"/>
    <w:bookmarkStart w:id="42" w:name="experimental-design"/>
    <w:p>
      <w:pPr>
        <w:pStyle w:val="Heading3"/>
      </w:pPr>
      <w:r>
        <w:t xml:space="preserve">2.1.2 Experimental design</w:t>
      </w:r>
    </w:p>
    <w:p>
      <w:pPr>
        <w:pStyle w:val="FirstParagraph"/>
      </w:pPr>
      <w:r>
        <w:t xml:space="preserve">Two intertidal chambers from</w:t>
      </w:r>
      <w:r>
        <w:t xml:space="preserve"> </w:t>
      </w:r>
      <w:hyperlink r:id="rId31">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6" w:name="cell-fig-Temperature_Bourgneuf"/>
    <w:bookmarkStart w:id="35" w:name="fig-Temperature_Bourgneuf"/>
    <w:p>
      <w:pPr>
        <w:pStyle w:val="FigureTitle"/>
      </w:pPr>
      <w:r>
        <w:t xml:space="preserve">Figure 2</w:t>
      </w:r>
    </w:p>
    <w:p>
      <w:pPr>
        <w:pStyle w:val="Caption"/>
      </w:pPr>
      <w:r>
        <w:t xml:space="preserve">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FigureWithoutNote"/>
      </w:pPr>
      <w:r>
        <w:drawing>
          <wp:inline>
            <wp:extent cx="4754880" cy="4754880"/>
            <wp:effectExtent b="0" l="0" r="0" t="0"/>
            <wp:docPr descr="" title="" id="33" name="Picture"/>
            <a:graphic>
              <a:graphicData uri="http://schemas.openxmlformats.org/drawingml/2006/picture">
                <pic:pic>
                  <pic:nvPicPr>
                    <pic:cNvPr descr="Figs/High_res/Temperature_compare.png" id="34" name="Picture"/>
                    <pic:cNvPicPr>
                      <a:picLocks noChangeArrowheads="1" noChangeAspect="1"/>
                    </pic:cNvPicPr>
                  </pic:nvPicPr>
                  <pic:blipFill>
                    <a:blip r:embed="rId32"/>
                    <a:stretch>
                      <a:fillRect/>
                    </a:stretch>
                  </pic:blipFill>
                  <pic:spPr bwMode="auto">
                    <a:xfrm>
                      <a:off x="0" y="0"/>
                      <a:ext cx="4754880" cy="4754880"/>
                    </a:xfrm>
                    <a:prstGeom prst="rect">
                      <a:avLst/>
                    </a:prstGeom>
                    <a:noFill/>
                    <a:ln w="9525">
                      <a:noFill/>
                      <a:headEnd/>
                      <a:tailEnd/>
                    </a:ln>
                  </pic:spPr>
                </pic:pic>
              </a:graphicData>
            </a:graphic>
          </wp:inline>
        </w:drawing>
      </w:r>
    </w:p>
    <w:bookmarkEnd w:id="35"/>
    <w:bookmarkEnd w:id="36"/>
    <w:p>
      <w:pPr>
        <w:pStyle w:val="AfterWithoutNote"/>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41" w:name="cell-fig-Profile"/>
    <w:bookmarkStart w:id="40" w:name="fig-Profile"/>
    <w:p>
      <w:pPr>
        <w:pStyle w:val="FigureTitle"/>
      </w:pPr>
      <w:r>
        <w:t xml:space="preserve">Figure 3</w:t>
      </w:r>
    </w:p>
    <w:p>
      <w:pPr>
        <w:pStyle w:val="Caption"/>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pPr>
        <w:pStyle w:val="FigureWithoutNote"/>
      </w:pPr>
      <w:r>
        <w:drawing>
          <wp:inline>
            <wp:extent cx="5943600" cy="2718555"/>
            <wp:effectExtent b="0" l="0" r="0" t="0"/>
            <wp:docPr descr="" title="" id="38" name="Picture"/>
            <a:graphic>
              <a:graphicData uri="http://schemas.openxmlformats.org/drawingml/2006/picture">
                <pic:pic>
                  <pic:nvPicPr>
                    <pic:cNvPr descr="Figs/Low_res/Chamber_Profils.png" id="39" name="Picture"/>
                    <pic:cNvPicPr>
                      <a:picLocks noChangeArrowheads="1" noChangeAspect="1"/>
                    </pic:cNvPicPr>
                  </pic:nvPicPr>
                  <pic:blipFill>
                    <a:blip r:embed="rId37"/>
                    <a:stretch>
                      <a:fillRect/>
                    </a:stretch>
                  </pic:blipFill>
                  <pic:spPr bwMode="auto">
                    <a:xfrm>
                      <a:off x="0" y="0"/>
                      <a:ext cx="5943600" cy="2718555"/>
                    </a:xfrm>
                    <a:prstGeom prst="rect">
                      <a:avLst/>
                    </a:prstGeom>
                    <a:noFill/>
                    <a:ln w="9525">
                      <a:noFill/>
                      <a:headEnd/>
                      <a:tailEnd/>
                    </a:ln>
                  </pic:spPr>
                </pic:pic>
              </a:graphicData>
            </a:graphic>
          </wp:inline>
        </w:drawing>
      </w:r>
    </w:p>
    <w:bookmarkEnd w:id="40"/>
    <w:bookmarkEnd w:id="41"/>
    <w:bookmarkEnd w:id="42"/>
    <w:bookmarkStart w:id="48" w:name="Xace924ada36ed3f851fe125e1fb1311c1764a5d"/>
    <w:p>
      <w:pPr>
        <w:pStyle w:val="Heading3"/>
      </w:pPr>
      <w:r>
        <w:t xml:space="preserve">2.1.3 Bio-optical measurmenents over seagrass leaves</w:t>
      </w:r>
    </w:p>
    <w:p>
      <w:pPr>
        <w:pStyle w:val="Heading4"/>
        <w:rPr>
          <w:vanish/>
          <w:specVanish/>
        </w:rPr>
      </w:pPr>
      <w:r>
        <w:t>Hyperspectral measurements.</w:t>
      </w:r>
      <w:r>
        <w:t xml:space="preserve"> </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3">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w:t>
      </w:r>
      <w:hyperlink w:anchor="ref-rouse1974monitoring">
        <w:r>
          <w:rPr>
            <w:rStyle w:val="Hyperlink"/>
          </w:rPr>
          <w:t xml:space="preserve">1974</w:t>
        </w:r>
      </w:hyperlink>
      <w:r>
        <w:t xml:space="preserve">)</w:t>
      </w:r>
      <w:r>
        <w:t xml:space="preserve">), as a proxy of the concentration of chlorophyll-a (</w:t>
      </w:r>
      <w:hyperlink w:anchor="eq-ndvi">
        <w:r>
          <w:rPr>
            <w:rStyle w:val="Hyperlink"/>
          </w:rPr>
          <w:t xml:space="preserve">Equation 1</w:t>
        </w:r>
      </w:hyperlink>
      <w:r>
        <w:t xml:space="preserve">)</w:t>
      </w:r>
    </w:p>
    <w:p>
      <w:pPr>
        <w:pStyle w:val="FirstParagraph"/>
      </w:pPr>
      <w:bookmarkStart w:id="44"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4"/>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w:t>
      </w:r>
      <w:hyperlink w:anchor="ref-zoffoli2020sentinel">
        <w:r>
          <w:rPr>
            <w:rStyle w:val="Hyperlink"/>
          </w:rPr>
          <w:t xml:space="preserve">2020</w:t>
        </w:r>
      </w:hyperlink>
      <w:r>
        <w:t xml:space="preserve">)</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5"/>
    </w:p>
    <w:p>
      <w:pPr>
        <w:pStyle w:val="Compact"/>
        <w:numPr>
          <w:ilvl w:val="0"/>
          <w:numId w:val="1003"/>
        </w:numPr>
      </w:pPr>
      <w:r>
        <w:t xml:space="preserve">The Green Leaf Index (GLI,</w:t>
      </w:r>
      <w:r>
        <w:t xml:space="preserve"> </w:t>
      </w:r>
      <w:r>
        <w:t xml:space="preserve">Louhaichi et al. (</w:t>
      </w:r>
      <w:hyperlink w:anchor="ref-louhaichi2001spatially">
        <w:r>
          <w:rPr>
            <w:rStyle w:val="Hyperlink"/>
          </w:rPr>
          <w:t xml:space="preserve">2001</w:t>
        </w:r>
      </w:hyperlink>
      <w:r>
        <w:t xml:space="preserve">)</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6"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6"/>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Heading4"/>
        <w:rPr>
          <w:vanish/>
          <w:specVanish/>
        </w:rPr>
      </w:pPr>
      <w:r>
        <w:t>WILL BE REMOVED - Multispectral imagery measurement.</w:t>
      </w:r>
      <w:r>
        <w:t xml:space="preserve"> </w:t>
      </w:r>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7">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p>
      <w:pPr>
        <w:pStyle w:val="Heading4"/>
        <w:rPr>
          <w:vanish/>
          <w:specVanish/>
        </w:rPr>
      </w:pPr>
      <w:r>
        <w:t>Pigment concentration measurements.</w:t>
      </w:r>
      <w:r>
        <w:t xml:space="preserve"> </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8"/>
    <w:bookmarkEnd w:id="49"/>
    <w:bookmarkStart w:id="65"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bookmarkStart w:id="53" w:name="fig-quiberonMap"/>
    <w:p>
      <w:pPr>
        <w:pStyle w:val="FigureTitle"/>
      </w:pPr>
      <w:r>
        <w:t xml:space="preserve">Figure 4</w:t>
      </w:r>
    </w:p>
    <w:p>
      <w:pPr>
        <w:pStyle w:val="Caption"/>
      </w:pPr>
      <w:r>
        <w:t xml:space="preserve">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p>
      <w:pPr>
        <w:pStyle w:val="FigureWithoutNote"/>
      </w:pPr>
      <w:r>
        <w:drawing>
          <wp:inline>
            <wp:extent cx="5943600" cy="6080409"/>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943600" cy="6080409"/>
                    </a:xfrm>
                    <a:prstGeom prst="rect">
                      <a:avLst/>
                    </a:prstGeom>
                    <a:noFill/>
                    <a:ln w="9525">
                      <a:noFill/>
                      <a:headEnd/>
                      <a:tailEnd/>
                    </a:ln>
                  </pic:spPr>
                </pic:pic>
              </a:graphicData>
            </a:graphic>
          </wp:inline>
        </w:drawing>
      </w:r>
    </w:p>
    <w:bookmarkEnd w:id="53"/>
    <w:bookmarkEnd w:id="54"/>
    <w:p>
      <w:pPr>
        <w:pStyle w:val="AfterWithoutNote"/>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122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bookmarkStart w:id="58" w:name="fig-QuiberonImg"/>
    <w:p>
      <w:pPr>
        <w:pStyle w:val="FigureTitle"/>
      </w:pPr>
      <w:r>
        <w:t xml:space="preserve">Figure 5</w:t>
      </w:r>
    </w:p>
    <w:p>
      <w:pPr>
        <w:pStyle w:val="Caption"/>
      </w:pPr>
      <w:r>
        <w:t xml:space="preserve">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p>
      <w:pPr>
        <w:pStyle w:val="FigureWithoutNote"/>
      </w:pPr>
      <w:r>
        <w:drawing>
          <wp:inline>
            <wp:extent cx="5943600" cy="3929594"/>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943600" cy="3929594"/>
                    </a:xfrm>
                    <a:prstGeom prst="rect">
                      <a:avLst/>
                    </a:prstGeom>
                    <a:noFill/>
                    <a:ln w="9525">
                      <a:noFill/>
                      <a:headEnd/>
                      <a:tailEnd/>
                    </a:ln>
                  </pic:spPr>
                </pic:pic>
              </a:graphicData>
            </a:graphic>
          </wp:inline>
        </w:drawing>
      </w:r>
    </w:p>
    <w:bookmarkEnd w:id="58"/>
    <w:bookmarkEnd w:id="59"/>
    <w:bookmarkEnd w:id="60"/>
    <w:bookmarkStart w:id="62" w:name="X73fb4b6725bb43bdc3c17946b41d73eba45f33b"/>
    <w:p>
      <w:pPr>
        <w:pStyle w:val="Heading3"/>
      </w:pPr>
      <w:r>
        <w:t xml:space="preserve">2.2.2 Temparature Data and identification of heatwaves</w:t>
      </w:r>
    </w:p>
    <w:p>
      <w:pPr>
        <w:pStyle w:val="Heading4"/>
        <w:rPr>
          <w:vanish/>
          <w:specVanish/>
        </w:rPr>
      </w:pPr>
      <w:r>
        <w:t>Air temperature.</w:t>
      </w:r>
      <w:r>
        <w:t xml:space="preserve"> </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w:t>
      </w:r>
      <w:hyperlink w:anchor="ref-heatwaveR">
        <w:r>
          <w:rPr>
            <w:rStyle w:val="Hyperlink"/>
          </w:rPr>
          <w:t xml:space="preserve">Schlegel and Smit, 2018</w:t>
        </w:r>
      </w:hyperlink>
      <w:r>
        <w:t xml:space="preserve">)</w:t>
      </w:r>
      <w:r>
        <w:t xml:space="preserve">. This package utilizes the methodology proposed by</w:t>
      </w:r>
      <w:r>
        <w:t xml:space="preserve"> </w:t>
      </w:r>
      <w:r>
        <w:t xml:space="preserve">Hobday et al. (</w:t>
      </w:r>
      <w:hyperlink w:anchor="ref-hobday2016hierarchical">
        <w:r>
          <w:rPr>
            <w:rStyle w:val="Hyperlink"/>
          </w:rPr>
          <w:t xml:space="preserve">2016</w:t>
        </w:r>
      </w:hyperlink>
      <w:r>
        <w:t xml:space="preserve">)</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w:t>
      </w:r>
      <w:hyperlink w:anchor="ref-hobday2018categorizing">
        <w:r>
          <w:rPr>
            <w:rStyle w:val="Hyperlink"/>
          </w:rPr>
          <w:t xml:space="preserve">2018</w:t>
        </w:r>
      </w:hyperlink>
      <w:r>
        <w:t xml:space="preserve">)</w:t>
      </w:r>
      <w:r>
        <w:t xml:space="preserve">. Following the methodology of</w:t>
      </w:r>
      <w:r>
        <w:t xml:space="preserve"> </w:t>
      </w:r>
      <w:r>
        <w:t xml:space="preserve">Schlegel et al. (</w:t>
      </w:r>
      <w:hyperlink w:anchor="ref-schlegel2017nearshore">
        <w:r>
          <w:rPr>
            <w:rStyle w:val="Hyperlink"/>
          </w:rPr>
          <w:t xml:space="preserve">2017</w:t>
        </w:r>
      </w:hyperlink>
      <w:r>
        <w:t xml:space="preserve">)</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p>
      <w:pPr>
        <w:pStyle w:val="Heading4"/>
        <w:rPr>
          <w:vanish/>
          <w:specVanish/>
        </w:rPr>
      </w:pPr>
      <w:r>
        <w:t>Water temperature.</w:t>
      </w:r>
      <w:r>
        <w:t xml:space="preserve"> </w:t>
      </w:r>
    </w:p>
    <w:p>
      <w:pPr>
        <w:pStyle w:val="BodyText"/>
      </w:pPr>
      <w:r>
        <w:t xml:space="preserve">SST data from the Copernicus CMEMS platform were downloaded for the French coast near Quiberon (47°29′03″N, 3°07′09″W), covering 1982-2022</w:t>
      </w:r>
      <w:r>
        <w:t xml:space="preserve"> </w:t>
      </w:r>
      <w:r>
        <w:t xml:space="preserve">(</w:t>
      </w:r>
      <w:hyperlink w:anchor="ref-CMEMS_1">
        <w:r>
          <w:rPr>
            <w:rStyle w:val="Hyperlink"/>
          </w:rPr>
          <w:t xml:space="preserve">CMEMS, 2024</w:t>
        </w:r>
      </w:hyperlink>
      <w:r>
        <w:t xml:space="preserve">)</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w:t>
      </w:r>
      <w:hyperlink w:anchor="ref-heatwaveR">
        <w:r>
          <w:rPr>
            <w:rStyle w:val="Hyperlink"/>
          </w:rPr>
          <w:t xml:space="preserve">Schlegel and Smit, 2018</w:t>
        </w:r>
      </w:hyperlink>
      <w:r>
        <w:t xml:space="preserve">)</w:t>
      </w:r>
      <w:r>
        <w:t xml:space="preserve"> </w:t>
      </w:r>
      <w:r>
        <w:t xml:space="preserve">was used to compute SST climatology and detect SST events using the same method as air temperature event detection.</w:t>
      </w:r>
    </w:p>
    <w:bookmarkEnd w:id="62"/>
    <w:bookmarkStart w:id="63"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w:t>
      </w:r>
      <w:hyperlink w:anchor="ref-copernicus_sentinel2">
        <w:r>
          <w:rPr>
            <w:rStyle w:val="Hyperlink"/>
          </w:rPr>
          <w:t xml:space="preserve">European Space Agency, 2024a</w:t>
        </w:r>
      </w:hyperlink>
      <w:r>
        <w:t xml:space="preserve">)</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w:t>
      </w:r>
      <w:hyperlink w:anchor="ref-sen2cor">
        <w:r>
          <w:rPr>
            <w:rStyle w:val="Hyperlink"/>
          </w:rPr>
          <w:t xml:space="preserve">European Space Agency, 2024b</w:t>
        </w:r>
      </w:hyperlink>
      <w:r>
        <w:t xml:space="preserve">)</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3"/>
    <w:bookmarkStart w:id="64"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w:t>
      </w:r>
      <w:hyperlink w:anchor="Xbef41143b4d4042e58f11cfc27e216202646012">
        <w:r>
          <w:rPr>
            <w:rStyle w:val="Hyperlink"/>
          </w:rPr>
          <w:t xml:space="preserve">SHOM, 2021</w:t>
        </w:r>
      </w:hyperlink>
      <w:r>
        <w:t xml:space="preserve">)</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w:t>
      </w:r>
      <w:hyperlink w:anchor="ref-ioc_sea_level_lecy">
        <w:r>
          <w:rPr>
            <w:rStyle w:val="Hyperlink"/>
          </w:rPr>
          <w:t xml:space="preserve">IOC, 2024</w:t>
        </w:r>
      </w:hyperlink>
      <w:r>
        <w:t xml:space="preserve">)</w:t>
      </w:r>
      <w:r>
        <w:t xml:space="preserve">, using measurements from the nearest tide gauge at Le Crouesty.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w:t>
      </w:r>
      <w:r>
        <w:t xml:space="preserve"> </w:t>
      </w:r>
      <w:hyperlink w:anchor="ref-shom_ram_2022">
        <w:r>
          <w:rPr>
            <w:rStyle w:val="Hyperlink"/>
          </w:rPr>
          <w:t xml:space="preserve">Shom, 2022</w:t>
        </w:r>
      </w:hyperlink>
      <w:r>
        <w:t xml:space="preserve">)</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4"/>
    <w:bookmarkEnd w:id="65"/>
    <w:bookmarkEnd w:id="66"/>
    <w:bookmarkStart w:id="112" w:name="results"/>
    <w:p>
      <w:pPr>
        <w:pStyle w:val="Heading1"/>
      </w:pPr>
      <w:r>
        <w:t xml:space="preserve">3. Results</w:t>
      </w:r>
    </w:p>
    <w:bookmarkStart w:id="87" w:name="laboratory-experiment-1"/>
    <w:p>
      <w:pPr>
        <w:pStyle w:val="Heading2"/>
      </w:pPr>
      <w:r>
        <w:t xml:space="preserve">3.1 Laboratory Experiment</w:t>
      </w:r>
    </w:p>
    <w:bookmarkStart w:id="72"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1" w:name="cell-fig-Exp_Spectra"/>
    <w:bookmarkStart w:id="70" w:name="fig-Exp_Spectra"/>
    <w:p>
      <w:pPr>
        <w:pStyle w:val="FigureTitle"/>
      </w:pPr>
      <w:r>
        <w:t xml:space="preserve">Figure 6</w:t>
      </w:r>
    </w:p>
    <w:p>
      <w:pPr>
        <w:pStyle w:val="Caption"/>
      </w:pPr>
      <w:r>
        <w:t xml:space="preserve">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p>
      <w:pPr>
        <w:pStyle w:val="FigureWithoutNote"/>
      </w:pPr>
      <w:r>
        <w:drawing>
          <wp:inline>
            <wp:extent cx="5943600" cy="2971800"/>
            <wp:effectExtent b="0" l="0" r="0" t="0"/>
            <wp:docPr descr="" title="" id="68" name="Picture"/>
            <a:graphic>
              <a:graphicData uri="http://schemas.openxmlformats.org/drawingml/2006/picture">
                <pic:pic>
                  <pic:nvPicPr>
                    <pic:cNvPr descr="Figs/Low_res/plot_Spectra_exp.png" id="69" name="Picture"/>
                    <pic:cNvPicPr>
                      <a:picLocks noChangeArrowheads="1" noChangeAspect="1"/>
                    </pic:cNvPicPr>
                  </pic:nvPicPr>
                  <pic:blipFill>
                    <a:blip r:embed="rId67"/>
                    <a:stretch>
                      <a:fillRect/>
                    </a:stretch>
                  </pic:blipFill>
                  <pic:spPr bwMode="auto">
                    <a:xfrm>
                      <a:off x="0" y="0"/>
                      <a:ext cx="5943600" cy="2971800"/>
                    </a:xfrm>
                    <a:prstGeom prst="rect">
                      <a:avLst/>
                    </a:prstGeom>
                    <a:noFill/>
                    <a:ln w="9525">
                      <a:noFill/>
                      <a:headEnd/>
                      <a:tailEnd/>
                    </a:ln>
                  </pic:spPr>
                </pic:pic>
              </a:graphicData>
            </a:graphic>
          </wp:inline>
        </w:drawing>
      </w:r>
    </w:p>
    <w:bookmarkEnd w:id="70"/>
    <w:bookmarkEnd w:id="71"/>
    <w:bookmarkEnd w:id="72"/>
    <w:bookmarkStart w:id="78"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64 %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50 and 68 %,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7" w:name="cell-fig-Exp_Spectral_indices"/>
    <w:bookmarkStart w:id="76" w:name="fig-Exp_Spectral_indices"/>
    <w:p>
      <w:pPr>
        <w:pStyle w:val="FigureTitle"/>
      </w:pPr>
      <w:r>
        <w:t xml:space="preserve">Figure 7</w:t>
      </w:r>
    </w:p>
    <w:p>
      <w:pPr>
        <w:pStyle w:val="Caption"/>
      </w:pPr>
      <w:r>
        <w:t xml:space="preserve">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p>
      <w:pPr>
        <w:pStyle w:val="FigureWithoutNote"/>
      </w:pPr>
      <w:r>
        <w:drawing>
          <wp:inline>
            <wp:extent cx="5943600" cy="5943600"/>
            <wp:effectExtent b="0" l="0" r="0" t="0"/>
            <wp:docPr descr="" title="" id="74" name="Picture"/>
            <a:graphic>
              <a:graphicData uri="http://schemas.openxmlformats.org/drawingml/2006/picture">
                <pic:pic>
                  <pic:nvPicPr>
                    <pic:cNvPr descr="Figs/Low_res/merged_indices.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bookmarkEnd w:id="77"/>
    <w:bookmarkEnd w:id="78"/>
    <w:bookmarkStart w:id="85" w:name="X0a3b57fb6e58dace6488d21e37474af411bb7be"/>
    <w:p>
      <w:pPr>
        <w:pStyle w:val="Heading3"/>
      </w:pPr>
      <w:r>
        <w:t xml:space="preserve">3.1.3 Buidling the Seagrass Darkening radiometric index</w:t>
      </w:r>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w:bookmarkStart w:id="79" w:name="eq-SDI"/>
      <m:oMathPara>
        <m:oMathParaPr>
          <m:jc m:val="center"/>
        </m:oMathParaPr>
        <m:oMath>
          <m:r>
            <m:rPr>
              <m:nor/>
              <m:sty m:val="p"/>
            </m:rPr>
            <m:t>SDI</m:t>
          </m:r>
          <m:r>
            <m:rPr>
              <m:sty m:val="p"/>
            </m:rPr>
            <m:t>=</m:t>
          </m:r>
          <m:d>
            <m:dPr>
              <m:begChr m:val="["/>
              <m:endChr m:val="]"/>
              <m:sepChr m:val=""/>
              <m:grow/>
            </m:dPr>
            <m:e>
              <m:r>
                <m:t>R</m:t>
              </m:r>
              <m:d>
                <m:dPr>
                  <m:begChr m:val="("/>
                  <m:endChr m:val=")"/>
                  <m:sepChr m:val=""/>
                  <m:grow/>
                </m:dPr>
                <m:e>
                  <m:r>
                    <m:t>560</m:t>
                  </m:r>
                </m:e>
              </m:d>
              <m:r>
                <m:rPr>
                  <m:sty m:val="p"/>
                </m:rPr>
                <m:t>+</m:t>
              </m:r>
              <m:r>
                <m:t>0.64</m:t>
              </m:r>
              <m:r>
                <m:rPr>
                  <m:sty m:val="p"/>
                </m:rPr>
                <m:t>⋅</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e>
          </m:d>
          <m:r>
            <m:rPr>
              <m:sty m:val="p"/>
            </m:rPr>
            <m:t>−</m:t>
          </m:r>
          <m:r>
            <m:t>R</m:t>
          </m:r>
          <m:d>
            <m:dPr>
              <m:begChr m:val="("/>
              <m:endChr m:val=")"/>
              <m:sepChr m:val=""/>
              <m:grow/>
            </m:dPr>
            <m:e>
              <m:r>
                <m:t>740</m:t>
              </m:r>
            </m:e>
          </m:d>
          <m:r>
            <m:t>  </m:t>
          </m:r>
          <m:d>
            <m:dPr>
              <m:begChr m:val="("/>
              <m:endChr m:val=")"/>
              <m:sepChr m:val=""/>
              <m:grow/>
            </m:dPr>
            <m:e>
              <m:r>
                <m:t>4</m:t>
              </m:r>
            </m:e>
          </m:d>
        </m:oMath>
      </m:oMathPara>
      <w:bookmarkEnd w:id="79"/>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Start w:id="84" w:name="cell-fig-SDI_exp"/>
    <w:bookmarkStart w:id="83" w:name="fig-SDI_exp"/>
    <w:p>
      <w:pPr>
        <w:pStyle w:val="FigureTitle"/>
      </w:pPr>
      <w:r>
        <w:t xml:space="preserve">Figure 8</w:t>
      </w:r>
    </w:p>
    <w:p>
      <w:pPr>
        <w:pStyle w:val="Caption"/>
      </w:pPr>
      <w:r>
        <w:t xml:space="preserve">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pPr>
        <w:pStyle w:val="FigureWithoutNote"/>
      </w:pPr>
      <w:r>
        <w:drawing>
          <wp:inline>
            <wp:extent cx="5943600" cy="2971800"/>
            <wp:effectExtent b="0" l="0" r="0" t="0"/>
            <wp:docPr descr="" title="" id="81" name="Picture"/>
            <a:graphic>
              <a:graphicData uri="http://schemas.openxmlformats.org/drawingml/2006/picture">
                <pic:pic>
                  <pic:nvPicPr>
                    <pic:cNvPr descr="Figs/Low_res/PLOT_SDI_exp.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bookmarkEnd w:id="83"/>
    <w:bookmarkEnd w:id="84"/>
    <w:p>
      <w:pPr>
        <w:pStyle w:val="AfterWithoutNote"/>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85"/>
    <w:bookmarkStart w:id="86" w:name="X03f1f92316c3f266276e7acc4c55e66c6a0add8"/>
    <w:p>
      <w:pPr>
        <w:pStyle w:val="Heading3"/>
      </w:pPr>
      <w:r>
        <w:t xml:space="preserve">3.1.4 Pigment composition evolution along the experiment</w:t>
      </w:r>
    </w:p>
    <w:p>
      <w:pPr>
        <w:pStyle w:val="FirstParagraph"/>
      </w:pPr>
      <w:r>
        <w:t xml:space="preserve">bla bla bla bla</w:t>
      </w:r>
    </w:p>
    <w:bookmarkEnd w:id="86"/>
    <w:bookmarkEnd w:id="87"/>
    <w:bookmarkStart w:id="111" w:name="heatwaves-of-quiberon"/>
    <w:p>
      <w:pPr>
        <w:pStyle w:val="Heading2"/>
      </w:pPr>
      <w:r>
        <w:t xml:space="preserve">3.2 Heatwaves of Quiberon</w:t>
      </w:r>
    </w:p>
    <w:bookmarkStart w:id="9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2" w:name="cell-fig-S2_comparison"/>
    <w:bookmarkStart w:id="91" w:name="fig-S2_comparison"/>
    <w:p>
      <w:pPr>
        <w:pStyle w:val="FigureTitle"/>
      </w:pPr>
      <w:r>
        <w:t xml:space="preserve">Figure 9</w:t>
      </w:r>
    </w:p>
    <w:p>
      <w:pPr>
        <w:pStyle w:val="Caption"/>
      </w:pPr>
      <w:r>
        <w:t xml:space="preserve">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pPr>
        <w:pStyle w:val="FigureWithoutNote"/>
      </w:pPr>
      <w:r>
        <w:drawing>
          <wp:inline>
            <wp:extent cx="5943600" cy="5054600"/>
            <wp:effectExtent b="0" l="0" r="0" t="0"/>
            <wp:docPr descr="" title="" id="89" name="Picture"/>
            <a:graphic>
              <a:graphicData uri="http://schemas.openxmlformats.org/drawingml/2006/picture">
                <pic:pic>
                  <pic:nvPicPr>
                    <pic:cNvPr descr="Figs/Low_res/Heatwaves_S2_plot.png" id="90" name="Picture"/>
                    <pic:cNvPicPr>
                      <a:picLocks noChangeArrowheads="1" noChangeAspect="1"/>
                    </pic:cNvPicPr>
                  </pic:nvPicPr>
                  <pic:blipFill>
                    <a:blip r:embed="rId88"/>
                    <a:stretch>
                      <a:fillRect/>
                    </a:stretch>
                  </pic:blipFill>
                  <pic:spPr bwMode="auto">
                    <a:xfrm>
                      <a:off x="0" y="0"/>
                      <a:ext cx="5943600" cy="5054600"/>
                    </a:xfrm>
                    <a:prstGeom prst="rect">
                      <a:avLst/>
                    </a:prstGeom>
                    <a:noFill/>
                    <a:ln w="9525">
                      <a:noFill/>
                      <a:headEnd/>
                      <a:tailEnd/>
                    </a:ln>
                  </pic:spPr>
                </pic:pic>
              </a:graphicData>
            </a:graphic>
          </wp:inline>
        </w:drawing>
      </w:r>
    </w:p>
    <w:bookmarkEnd w:id="91"/>
    <w:bookmarkEnd w:id="92"/>
    <w:bookmarkEnd w:id="93"/>
    <w:bookmarkStart w:id="99"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10</w:t>
        </w:r>
      </w:hyperlink>
      <w:r>
        <w:t xml:space="preserve"> </w:t>
      </w:r>
      <w:r>
        <w:t xml:space="preserve">D green) were denser than the those remained unchanged (median SPC = 65%;</w:t>
      </w:r>
      <w:r>
        <w:t xml:space="preserve"> </w:t>
      </w:r>
      <w:hyperlink w:anchor="fig-NDVI_GLI_SPC">
        <w:r>
          <w:rPr>
            <w:rStyle w:val="Hyperlink"/>
          </w:rPr>
          <w:t xml:space="preserve">Figure 10</w:t>
        </w:r>
      </w:hyperlink>
      <w:r>
        <w:t xml:space="preserve"> </w:t>
      </w:r>
      <w:r>
        <w:t xml:space="preserve">C green).</w:t>
      </w:r>
    </w:p>
    <w:bookmarkStart w:id="98" w:name="cell-fig-NDVI_GLI_SPC"/>
    <w:bookmarkStart w:id="97" w:name="fig-NDVI_GLI_SPC"/>
    <w:p>
      <w:pPr>
        <w:pStyle w:val="FigureTitle"/>
      </w:pPr>
      <w:r>
        <w:t xml:space="preserve">Figure 10</w:t>
      </w:r>
    </w:p>
    <w:p>
      <w:pPr>
        <w:pStyle w:val="Caption"/>
      </w:pPr>
      <w:r>
        <w:t xml:space="preserve">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p>
      <w:pPr>
        <w:pStyle w:val="FigureWithoutNote"/>
      </w:pPr>
      <w:r>
        <w:drawing>
          <wp:inline>
            <wp:extent cx="4754880" cy="6792685"/>
            <wp:effectExtent b="0" l="0" r="0" t="0"/>
            <wp:docPr descr="" title="" id="95" name="Picture"/>
            <a:graphic>
              <a:graphicData uri="http://schemas.openxmlformats.org/drawingml/2006/picture">
                <pic:pic>
                  <pic:nvPicPr>
                    <pic:cNvPr descr="Figs/Low_res/Compares_Indices_S2.png" id="96" name="Picture"/>
                    <pic:cNvPicPr>
                      <a:picLocks noChangeArrowheads="1" noChangeAspect="1"/>
                    </pic:cNvPicPr>
                  </pic:nvPicPr>
                  <pic:blipFill>
                    <a:blip r:embed="rId94"/>
                    <a:stretch>
                      <a:fillRect/>
                    </a:stretch>
                  </pic:blipFill>
                  <pic:spPr bwMode="auto">
                    <a:xfrm>
                      <a:off x="0" y="0"/>
                      <a:ext cx="4754880" cy="6792685"/>
                    </a:xfrm>
                    <a:prstGeom prst="rect">
                      <a:avLst/>
                    </a:prstGeom>
                    <a:noFill/>
                    <a:ln w="9525">
                      <a:noFill/>
                      <a:headEnd/>
                      <a:tailEnd/>
                    </a:ln>
                  </pic:spPr>
                </pic:pic>
              </a:graphicData>
            </a:graphic>
          </wp:inline>
        </w:drawing>
      </w:r>
    </w:p>
    <w:bookmarkEnd w:id="97"/>
    <w:bookmarkEnd w:id="98"/>
    <w:bookmarkEnd w:id="99"/>
    <w:bookmarkStart w:id="110"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4" w:name="cell-fig-Map_darkening_Bathy"/>
    <w:bookmarkStart w:id="103" w:name="fig-Map_darkening_Bathy"/>
    <w:p>
      <w:pPr>
        <w:pStyle w:val="FigureTitle"/>
      </w:pPr>
      <w:r>
        <w:t xml:space="preserve">Figure 11</w:t>
      </w:r>
    </w:p>
    <w:p>
      <w:pPr>
        <w:pStyle w:val="Caption"/>
      </w:pPr>
      <w:r>
        <w:t xml:space="preserve">Map of the Darkening of seagrasses during the heatwave events of September 2021 in Quiberon. A: 3.9 m bathymetry isobar (golden line); B: Result of the detection of darkened seagrass patches (Blue plolygons)</w:t>
      </w:r>
    </w:p>
    <w:p>
      <w:pPr>
        <w:pStyle w:val="FigureWithoutNote"/>
      </w:pPr>
      <w:r>
        <w:drawing>
          <wp:inline>
            <wp:extent cx="5943600" cy="5557266"/>
            <wp:effectExtent b="0" l="0" r="0" t="0"/>
            <wp:docPr descr="" title="" id="101" name="Picture"/>
            <a:graphic>
              <a:graphicData uri="http://schemas.openxmlformats.org/drawingml/2006/picture">
                <pic:pic>
                  <pic:nvPicPr>
                    <pic:cNvPr descr="Figs/Low_res/Map_darkening_Bathy.png" id="102" name="Picture"/>
                    <pic:cNvPicPr>
                      <a:picLocks noChangeArrowheads="1" noChangeAspect="1"/>
                    </pic:cNvPicPr>
                  </pic:nvPicPr>
                  <pic:blipFill>
                    <a:blip r:embed="rId100"/>
                    <a:stretch>
                      <a:fillRect/>
                    </a:stretch>
                  </pic:blipFill>
                  <pic:spPr bwMode="auto">
                    <a:xfrm>
                      <a:off x="0" y="0"/>
                      <a:ext cx="5943600" cy="5557266"/>
                    </a:xfrm>
                    <a:prstGeom prst="rect">
                      <a:avLst/>
                    </a:prstGeom>
                    <a:noFill/>
                    <a:ln w="9525">
                      <a:noFill/>
                      <a:headEnd/>
                      <a:tailEnd/>
                    </a:ln>
                  </pic:spPr>
                </pic:pic>
              </a:graphicData>
            </a:graphic>
          </wp:inline>
        </w:drawing>
      </w:r>
    </w:p>
    <w:bookmarkEnd w:id="103"/>
    <w:bookmarkEnd w:id="104"/>
    <w:p>
      <w:pPr>
        <w:pStyle w:val="AfterWithoutNote"/>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09" w:name="cell-fig-GAM_Emersion"/>
    <w:bookmarkStart w:id="108" w:name="fig-GAM_Emersion"/>
    <w:p>
      <w:pPr>
        <w:pStyle w:val="FigureTitle"/>
      </w:pPr>
      <w:r>
        <w:t xml:space="preserve">Figure 12</w:t>
      </w:r>
    </w:p>
    <w:p>
      <w:pPr>
        <w:pStyle w:val="Caption"/>
      </w:pPr>
      <w:r>
        <w:t xml:space="preserve">Seagrass Darkening Index as a function of the daily emergence time of seagrasses. The line represents a Generalized Additive Model (GAM) prediction, and the shaded area indicates the standard error. Shaded points represent raw data, with each point corresponding to a single pixel of the meadow.</w:t>
      </w:r>
    </w:p>
    <w:p>
      <w:pPr>
        <w:pStyle w:val="FigureWithoutNote"/>
      </w:pPr>
      <w:r>
        <w:drawing>
          <wp:inline>
            <wp:extent cx="5943600" cy="2971800"/>
            <wp:effectExtent b="0" l="0" r="0" t="0"/>
            <wp:docPr descr="" title="" id="106" name="Picture"/>
            <a:graphic>
              <a:graphicData uri="http://schemas.openxmlformats.org/drawingml/2006/picture">
                <pic:pic>
                  <pic:nvPicPr>
                    <pic:cNvPr descr="Figs/Low_res/GAM_emersion.png" id="107" name="Picture"/>
                    <pic:cNvPicPr>
                      <a:picLocks noChangeArrowheads="1" noChangeAspect="1"/>
                    </pic:cNvPicPr>
                  </pic:nvPicPr>
                  <pic:blipFill>
                    <a:blip r:embed="rId105"/>
                    <a:stretch>
                      <a:fillRect/>
                    </a:stretch>
                  </pic:blipFill>
                  <pic:spPr bwMode="auto">
                    <a:xfrm>
                      <a:off x="0" y="0"/>
                      <a:ext cx="5943600" cy="2971800"/>
                    </a:xfrm>
                    <a:prstGeom prst="rect">
                      <a:avLst/>
                    </a:prstGeom>
                    <a:noFill/>
                    <a:ln w="9525">
                      <a:noFill/>
                      <a:headEnd/>
                      <a:tailEnd/>
                    </a:ln>
                  </pic:spPr>
                </pic:pic>
              </a:graphicData>
            </a:graphic>
          </wp:inline>
        </w:drawing>
      </w:r>
    </w:p>
    <w:bookmarkEnd w:id="108"/>
    <w:bookmarkEnd w:id="109"/>
    <w:bookmarkEnd w:id="110"/>
    <w:bookmarkEnd w:id="111"/>
    <w:bookmarkEnd w:id="112"/>
    <w:bookmarkStart w:id="123" w:name="discussion"/>
    <w:p>
      <w:pPr>
        <w:pStyle w:val="Heading1"/>
      </w:pPr>
      <w:r>
        <w:t xml:space="preserve">4. Discussion</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The change in color can be multifactorial and has been documented in plants under various stress conditions, including thermal stress.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w:t>
      </w:r>
      <w:r>
        <w:t xml:space="preserve"> </w:t>
      </w:r>
      <w:r>
        <w:t xml:space="preserve">(</w:t>
      </w:r>
      <w:hyperlink w:anchor="ref-dascaliuc2007heat">
        <w:r>
          <w:rPr>
            <w:rStyle w:val="Hyperlink"/>
          </w:rPr>
          <w:t xml:space="preserve">Dascaliuc et al., 2007</w:t>
        </w:r>
      </w:hyperlink>
      <w:r>
        <w:t xml:space="preserve">;</w:t>
      </w:r>
      <w:r>
        <w:t xml:space="preserve"> </w:t>
      </w:r>
      <w:hyperlink w:anchor="ref-jones1992leaf">
        <w:r>
          <w:rPr>
            <w:rStyle w:val="Hyperlink"/>
          </w:rPr>
          <w:t xml:space="preserve">Jones and Clayton-Greene, 1992</w:t>
        </w:r>
      </w:hyperlink>
      <w:r>
        <w:t xml:space="preserve">)</w:t>
      </w:r>
      <w:r>
        <w:t xml:space="preserve">.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w:t>
      </w:r>
      <w:r>
        <w:t xml:space="preserve"> </w:t>
      </w:r>
      <w:r>
        <w:rPr>
          <w:i/>
          <w:iCs/>
        </w:rPr>
        <w:t xml:space="preserve">Zostera noltei</w:t>
      </w:r>
      <w:r>
        <w:t xml:space="preserve"> </w:t>
      </w:r>
      <w:r>
        <w:t xml:space="preserve">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w:t>
      </w:r>
      <w:hyperlink w:anchor="ref-cabaco2009individual">
        <w:r>
          <w:rPr>
            <w:rStyle w:val="Hyperlink"/>
          </w:rPr>
          <w:t xml:space="preserve">Cabaço et al., 2009</w:t>
        </w:r>
      </w:hyperlink>
      <w:r>
        <w:t xml:space="preserve">)</w:t>
      </w:r>
      <w:r>
        <w:t xml:space="preserve">. However, during intense warming events and under high light conditions, desiccation can occur in certain parts of the meadow, particularly where seagrass leaves are exposed for prolonged periods (</w:t>
      </w:r>
      <w:r>
        <w:t xml:space="preserve"> </w:t>
      </w:r>
      <w:hyperlink w:anchor="fig-GAM_Emersion">
        <w:r>
          <w:rPr>
            <w:rStyle w:val="Hyperlink"/>
          </w:rPr>
          <w:t xml:space="preserve">Figure 12</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w:t>
      </w:r>
      <w:hyperlink w:anchor="ref-knipling1970reflectance">
        <w:r>
          <w:rPr>
            <w:rStyle w:val="Hyperlink"/>
          </w:rPr>
          <w:t xml:space="preserve">Knipling, 1970</w:t>
        </w:r>
      </w:hyperlink>
      <w:r>
        <w:t xml:space="preserve">)</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4</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6conservation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p>
      <w:pPr>
        <w:pStyle w:val="BodyText"/>
      </w:pPr>
      <w:r>
        <w:t xml:space="preserve">The rapid global escalation of heatwave frequency, intensity and duration is a defining characteristic of the current climate crisis, heavily influenced by anthropogenic activities and greenhouse gas emissions. Recent research suggests that the magnitude of these events has surged in the past decades, with climate projections predicting a continuation of this trend. For example, heatwaves that were once considered rare are now up to ten times more likely to occur, with some regions experiencing events three times as intense as those in the early 20th century</w:t>
      </w:r>
      <w:r>
        <w:t xml:space="preserve"> </w:t>
      </w:r>
      <w:r>
        <w:t xml:space="preserve">(</w:t>
      </w:r>
      <w:hyperlink w:anchor="ref-devi2024intensity">
        <w:r>
          <w:rPr>
            <w:rStyle w:val="Hyperlink"/>
          </w:rPr>
          <w:t xml:space="preserve">Devi et al., 2024</w:t>
        </w:r>
      </w:hyperlink>
      <w:r>
        <w:t xml:space="preserve">;</w:t>
      </w:r>
      <w:r>
        <w:t xml:space="preserve"> </w:t>
      </w:r>
      <w:hyperlink w:anchor="ref-russo2023intensity">
        <w:r>
          <w:rPr>
            <w:rStyle w:val="Hyperlink"/>
          </w:rPr>
          <w:t xml:space="preserve">Russo and Domeisen, 2023</w:t>
        </w:r>
      </w:hyperlink>
      <w:r>
        <w:t xml:space="preserve">)</w:t>
      </w:r>
      <w:r>
        <w:t xml:space="preserve">. In our study site in Quiberon, a similar pattern emerges. Data from a local weather station show an increasing trend in both the frequency and cumulative intensity of atmospheric heatwaves, while coldspells—defined as extreme low temperatures below the 10th percentile—have shown a marked decline in both frequency and intensity</w:t>
      </w:r>
      <w:r>
        <w:t xml:space="preserve"> </w:t>
      </w:r>
      <w:hyperlink w:anchor="fig-Freq_Int_HW_CS">
        <w:r>
          <w:rPr>
            <w:rStyle w:val="Hyperlink"/>
          </w:rPr>
          <w:t xml:space="preserve">Figure 13</w:t>
        </w:r>
      </w:hyperlink>
      <w:r>
        <w:t xml:space="preserve">.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w:t>
      </w:r>
      <w:hyperlink w:anchor="ref-russo2023intensity">
        <w:r>
          <w:rPr>
            <w:rStyle w:val="Hyperlink"/>
          </w:rPr>
          <w:t xml:space="preserve">Russo and Domeisen, 2023</w:t>
        </w:r>
      </w:hyperlink>
      <w:r>
        <w:t xml:space="preserve">)</w:t>
      </w:r>
      <w:r>
        <w:t xml:space="preserve">.</w:t>
      </w:r>
    </w:p>
    <w:bookmarkStart w:id="117" w:name="cell-fig-Freq_Int_HW_CS"/>
    <w:bookmarkStart w:id="116" w:name="fig-Freq_Int_HW_CS"/>
    <w:p>
      <w:pPr>
        <w:pStyle w:val="FigureTitle"/>
      </w:pPr>
      <w:r>
        <w:t xml:space="preserve">Figure 13</w:t>
      </w:r>
    </w:p>
    <w:p>
      <w:pPr>
        <w:pStyle w:val="Caption"/>
      </w:pPr>
      <w:r>
        <w:t xml:space="preserve">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p>
      <w:pPr>
        <w:pStyle w:val="FigureWithoutNote"/>
      </w:pPr>
      <w:r>
        <w:drawing>
          <wp:inline>
            <wp:extent cx="4754880" cy="4754880"/>
            <wp:effectExtent b="0" l="0" r="0" t="0"/>
            <wp:docPr descr="" title="" id="114" name="Picture"/>
            <a:graphic>
              <a:graphicData uri="http://schemas.openxmlformats.org/drawingml/2006/picture">
                <pic:pic>
                  <pic:nvPicPr>
                    <pic:cNvPr descr="Figs/Low_res/plot_HW_CS.png" id="115" name="Picture"/>
                    <pic:cNvPicPr>
                      <a:picLocks noChangeArrowheads="1" noChangeAspect="1"/>
                    </pic:cNvPicPr>
                  </pic:nvPicPr>
                  <pic:blipFill>
                    <a:blip r:embed="rId113"/>
                    <a:stretch>
                      <a:fillRect/>
                    </a:stretch>
                  </pic:blipFill>
                  <pic:spPr bwMode="auto">
                    <a:xfrm>
                      <a:off x="0" y="0"/>
                      <a:ext cx="4754880" cy="4754880"/>
                    </a:xfrm>
                    <a:prstGeom prst="rect">
                      <a:avLst/>
                    </a:prstGeom>
                    <a:noFill/>
                    <a:ln w="9525">
                      <a:noFill/>
                      <a:headEnd/>
                      <a:tailEnd/>
                    </a:ln>
                  </pic:spPr>
                </pic:pic>
              </a:graphicData>
            </a:graphic>
          </wp:inline>
        </w:drawing>
      </w:r>
    </w:p>
    <w:bookmarkEnd w:id="116"/>
    <w:bookmarkEnd w:id="117"/>
    <w:p>
      <w:pPr>
        <w:pStyle w:val="AfterWithoutNote"/>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w:t>
      </w:r>
      <w:hyperlink w:anchor="ref-mazdiyasni2019hidf">
        <w:r>
          <w:rPr>
            <w:rStyle w:val="Hyperlink"/>
          </w:rPr>
          <w:t xml:space="preserve">Mazdiyasni et al., 2019</w:t>
        </w:r>
      </w:hyperlink>
      <w:r>
        <w:t xml:space="preserve">;</w:t>
      </w:r>
      <w:r>
        <w:t xml:space="preserve"> </w:t>
      </w:r>
      <w:hyperlink w:anchor="ref-smale2019marine">
        <w:r>
          <w:rPr>
            <w:rStyle w:val="Hyperlink"/>
          </w:rPr>
          <w:t xml:space="preserve">Smale et al., 2019</w:t>
        </w:r>
      </w:hyperlink>
      <w:r>
        <w:t xml:space="preserve">)</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w:t>
      </w:r>
      <w:hyperlink w:anchor="ref-simolo2022quantifying">
        <w:r>
          <w:rPr>
            <w:rStyle w:val="Hyperlink"/>
          </w:rPr>
          <w:t xml:space="preserve">Simolo and Corti, 2022</w:t>
        </w:r>
      </w:hyperlink>
      <w:r>
        <w:t xml:space="preserve">)</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w:t>
      </w:r>
      <w:hyperlink w:anchor="ref-oliver2019projected">
        <w:r>
          <w:rPr>
            <w:rStyle w:val="Hyperlink"/>
          </w:rPr>
          <w:t xml:space="preserve">Oliver et al., 2019</w:t>
        </w:r>
      </w:hyperlink>
      <w:r>
        <w:t xml:space="preserve">)</w:t>
      </w:r>
      <w:r>
        <w:t xml:space="preserve">. Events like the</w:t>
      </w:r>
      <w:r>
        <w:t xml:space="preserve"> </w:t>
      </w:r>
      <w:r>
        <w:t xml:space="preserve">“</w:t>
      </w:r>
      <w:r>
        <w:t xml:space="preserve">Blob</w:t>
      </w:r>
      <w:r>
        <w:t xml:space="preserve">”</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w:t>
      </w:r>
      <w:hyperlink w:anchor="ref-smale2019marine">
        <w:r>
          <w:rPr>
            <w:rStyle w:val="Hyperlink"/>
          </w:rPr>
          <w:t xml:space="preserve">Smale et al., 2019</w:t>
        </w:r>
      </w:hyperlink>
      <w:r>
        <w:t xml:space="preserve">)</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w:t>
      </w:r>
      <w:hyperlink w:anchor="ref-devi2024intensity">
        <w:r>
          <w:rPr>
            <w:rStyle w:val="Hyperlink"/>
          </w:rPr>
          <w:t xml:space="preserve">Devi et al., 2024</w:t>
        </w:r>
      </w:hyperlink>
      <w:r>
        <w:t xml:space="preserve">;</w:t>
      </w:r>
      <w:r>
        <w:t xml:space="preserve"> </w:t>
      </w:r>
      <w:hyperlink w:anchor="ref-stillman2019heat">
        <w:r>
          <w:rPr>
            <w:rStyle w:val="Hyperlink"/>
          </w:rPr>
          <w:t xml:space="preserve">Stillman, 2019</w:t>
        </w:r>
      </w:hyperlink>
      <w:r>
        <w:t xml:space="preserve">)</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w:t>
      </w:r>
      <w:hyperlink w:anchor="ref-oliver2019projected">
        <w:r>
          <w:rPr>
            <w:rStyle w:val="Hyperlink"/>
          </w:rPr>
          <w:t xml:space="preserve">Oliver et al., 2019</w:t>
        </w:r>
      </w:hyperlink>
      <w:r>
        <w:t xml:space="preserve">;</w:t>
      </w:r>
      <w:r>
        <w:t xml:space="preserve"> </w:t>
      </w:r>
      <w:hyperlink w:anchor="ref-simolo2022quantifying">
        <w:r>
          <w:rPr>
            <w:rStyle w:val="Hyperlink"/>
          </w:rPr>
          <w:t xml:space="preserve">Simolo and Corti, 2022</w:t>
        </w:r>
      </w:hyperlink>
      <w:r>
        <w:t xml:space="preserve">)</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w:t>
      </w:r>
      <w:hyperlink w:anchor="ref-pansch2018heat">
        <w:r>
          <w:rPr>
            <w:rStyle w:val="Hyperlink"/>
          </w:rPr>
          <w:t xml:space="preserve">Pansch et al., 2018</w:t>
        </w:r>
      </w:hyperlink>
      <w:r>
        <w:t xml:space="preserve">)</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w:t>
      </w:r>
      <w:hyperlink w:anchor="ref-oliver2019projected">
        <w:r>
          <w:rPr>
            <w:rStyle w:val="Hyperlink"/>
          </w:rPr>
          <w:t xml:space="preserve">Oliver et al., 2019</w:t>
        </w:r>
      </w:hyperlink>
      <w:r>
        <w:t xml:space="preserve">;</w:t>
      </w:r>
      <w:r>
        <w:t xml:space="preserve"> </w:t>
      </w:r>
      <w:hyperlink w:anchor="ref-smale2019marine">
        <w:r>
          <w:rPr>
            <w:rStyle w:val="Hyperlink"/>
          </w:rPr>
          <w:t xml:space="preserve">Smale et al., 2019</w:t>
        </w:r>
      </w:hyperlink>
      <w:r>
        <w:t xml:space="preserve">)</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w:t>
      </w:r>
      <w:hyperlink w:anchor="ref-deguette2022physiological">
        <w:r>
          <w:rPr>
            <w:rStyle w:val="Hyperlink"/>
          </w:rPr>
          <w:t xml:space="preserve">Deguette et al., 2022</w:t>
        </w:r>
      </w:hyperlink>
      <w:r>
        <w:t xml:space="preserve">;</w:t>
      </w:r>
      <w:r>
        <w:t xml:space="preserve"> </w:t>
      </w:r>
      <w:hyperlink w:anchor="ref-guerrero2020heat">
        <w:r>
          <w:rPr>
            <w:rStyle w:val="Hyperlink"/>
          </w:rPr>
          <w:t xml:space="preserve">Guerrero-Meseguer et al., 2020</w:t>
        </w:r>
      </w:hyperlink>
      <w:r>
        <w:t xml:space="preserve">;</w:t>
      </w:r>
      <w:r>
        <w:t xml:space="preserve"> </w:t>
      </w:r>
      <w:hyperlink w:anchor="ref-sawall2021chronically">
        <w:r>
          <w:rPr>
            <w:rStyle w:val="Hyperlink"/>
          </w:rPr>
          <w:t xml:space="preserve">Sawall et al., 2021</w:t>
        </w:r>
      </w:hyperlink>
      <w:r>
        <w:t xml:space="preserve">;</w:t>
      </w:r>
      <w:r>
        <w:t xml:space="preserve"> </w:t>
      </w:r>
      <w:hyperlink w:anchor="ref-winters2011effects">
        <w:r>
          <w:rPr>
            <w:rStyle w:val="Hyperlink"/>
          </w:rPr>
          <w:t xml:space="preserve">Winters et al., 2011</w:t>
        </w:r>
      </w:hyperlink>
      <w:r>
        <w:t xml:space="preserve">)</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w:t>
      </w:r>
      <w:hyperlink w:anchor="ref-mazdiyasni2019hidf">
        <w:r>
          <w:rPr>
            <w:rStyle w:val="Hyperlink"/>
          </w:rPr>
          <w:t xml:space="preserve">Mazdiyasni et al., 2019</w:t>
        </w:r>
      </w:hyperlink>
      <w:r>
        <w:t xml:space="preserve">)</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w:t>
      </w:r>
      <w:hyperlink w:anchor="ref-russo2023intensity">
        <w:r>
          <w:rPr>
            <w:rStyle w:val="Hyperlink"/>
          </w:rPr>
          <w:t xml:space="preserve">Russo and Domeisen, 2023</w:t>
        </w:r>
      </w:hyperlink>
      <w:r>
        <w:t xml:space="preserve">;</w:t>
      </w:r>
      <w:r>
        <w:t xml:space="preserve"> </w:t>
      </w:r>
      <w:hyperlink w:anchor="ref-stillman2019heat">
        <w:r>
          <w:rPr>
            <w:rStyle w:val="Hyperlink"/>
          </w:rPr>
          <w:t xml:space="preserve">Stillman, 2019</w:t>
        </w:r>
      </w:hyperlink>
      <w:r>
        <w:t xml:space="preserve">)</w:t>
      </w:r>
      <w:r>
        <w:t xml:space="preserve">.</w:t>
      </w:r>
    </w:p>
    <w:p>
      <w:pPr>
        <w:pStyle w:val="BodyText"/>
      </w:pPr>
      <w:r>
        <w:t xml:space="preserve">Seagrass resilience to heatwaves is a complex and multifaceted issue shaped by species-specific traits, geographical location, and concurrent environmental stressors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w:t>
      </w:r>
      <w:hyperlink w:anchor="ref-hatum2024predicting">
        <w:r>
          <w:rPr>
            <w:rStyle w:val="Hyperlink"/>
          </w:rPr>
          <w:t xml:space="preserve">Hatum et al., 2024</w:t>
        </w:r>
      </w:hyperlink>
      <w:r>
        <w:t xml:space="preserve">)</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w:t>
      </w:r>
      <w:hyperlink w:anchor="ref-o2018seagrass">
        <w:r>
          <w:rPr>
            <w:rStyle w:val="Hyperlink"/>
          </w:rPr>
          <w:t xml:space="preserve">O’Brien et al., 2018</w:t>
        </w:r>
      </w:hyperlink>
      <w:r>
        <w:t xml:space="preserve">)</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w:t>
      </w:r>
      <w:hyperlink w:anchor="ref-davies2024sentinel">
        <w:r>
          <w:rPr>
            <w:rStyle w:val="Hyperlink"/>
          </w:rPr>
          <w:t xml:space="preserve">Davies et al., 2024a</w:t>
        </w:r>
      </w:hyperlink>
      <w:r>
        <w:t xml:space="preserve">,</w:t>
      </w:r>
      <w:r>
        <w:t xml:space="preserve"> </w:t>
      </w:r>
      <w:hyperlink w:anchor="ref-davies2024intertidal">
        <w:r>
          <w:rPr>
            <w:rStyle w:val="Hyperlink"/>
          </w:rPr>
          <w:t xml:space="preserve">2024b</w:t>
        </w:r>
      </w:hyperlink>
      <w:r>
        <w:t xml:space="preserve">)</w:t>
      </w:r>
      <w:r>
        <w:t xml:space="preserve">. These patterns reflect the species’ adaptation to seasonal variations in temperature and light, but they also make N. noltei 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In these cooler areas,</w:t>
      </w:r>
      <w:r>
        <w:t xml:space="preserve"> </w:t>
      </w:r>
      <w:r>
        <w:rPr>
          <w:i/>
          <w:iCs/>
        </w:rPr>
        <w:t xml:space="preserve">Nanostera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w:t>
      </w:r>
      <w:hyperlink w:anchor="ref-franssen2014genome">
        <w:r>
          <w:rPr>
            <w:rStyle w:val="Hyperlink"/>
          </w:rPr>
          <w:t xml:space="preserve">Franssen et al., 2014</w:t>
        </w:r>
      </w:hyperlink>
      <w:r>
        <w:t xml:space="preserve">)</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w:t>
      </w:r>
      <w:hyperlink w:anchor="ref-hatum2024predicting">
        <w:r>
          <w:rPr>
            <w:rStyle w:val="Hyperlink"/>
          </w:rPr>
          <w:t xml:space="preserve">Hatum et al., 2024</w:t>
        </w:r>
      </w:hyperlink>
      <w:r>
        <w:t xml:space="preserve">)</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w:t>
      </w:r>
      <w:hyperlink w:anchor="ref-de2022increased">
        <w:r>
          <w:rPr>
            <w:rStyle w:val="Hyperlink"/>
          </w:rPr>
          <w:t xml:space="preserve">De Fouw et al., 2022</w:t>
        </w:r>
      </w:hyperlink>
      <w:r>
        <w:t xml:space="preserve">)</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w:t>
      </w:r>
      <w:hyperlink w:anchor="ref-franssen2014genome">
        <w:r>
          <w:rPr>
            <w:rStyle w:val="Hyperlink"/>
          </w:rPr>
          <w:t xml:space="preserve">Franssen et al., 2014</w:t>
        </w:r>
      </w:hyperlink>
      <w:r>
        <w:t xml:space="preserve">;</w:t>
      </w:r>
      <w:r>
        <w:t xml:space="preserve"> </w:t>
      </w:r>
      <w:hyperlink w:anchor="ref-massa2009temperature">
        <w:r>
          <w:rPr>
            <w:rStyle w:val="Hyperlink"/>
          </w:rPr>
          <w:t xml:space="preserve">Massa et al., 2009</w:t>
        </w:r>
      </w:hyperlink>
      <w:r>
        <w:t xml:space="preserve">)</w:t>
      </w:r>
      <w:r>
        <w:t xml:space="preserve">. The long-term impact of heatwaves is especially evident in changes to seagrass cover (SPC). Before the heatwave 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w:t>
      </w:r>
      <w:r>
        <w:t xml:space="preserve"> </w:t>
      </w:r>
      <w:hyperlink w:anchor="fig-Resilience_of_seagrasses">
        <w:r>
          <w:rPr>
            <w:rStyle w:val="Hyperlink"/>
          </w:rPr>
          <w:t xml:space="preserve">Figure 14</w:t>
        </w:r>
      </w:hyperlink>
      <w:r>
        <w:t xml:space="preserve">. The observed decrease in seagrass cover (SPC) on 6th September was primarily due to leaf darkening, which influenced the NDVI measurements used to estimate SPC. This darkening effect reduced the NDVI values, creating an apparent decrease in SPC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w:t>
      </w:r>
      <w:r>
        <w:t xml:space="preserve"> </w:t>
      </w:r>
      <w:hyperlink w:anchor="fig-Resilience_of_seagrasses">
        <w:r>
          <w:rPr>
            <w:rStyle w:val="Hyperlink"/>
          </w:rPr>
          <w:t xml:space="preserve">Figure 14</w:t>
        </w:r>
      </w:hyperlink>
      <w:r>
        <w:t xml:space="preserve">.</w:t>
      </w:r>
    </w:p>
    <w:bookmarkStart w:id="122" w:name="cell-fig-Resilience_of_seagrasses"/>
    <w:bookmarkStart w:id="121" w:name="fig-Resilience_of_seagrasses"/>
    <w:p>
      <w:pPr>
        <w:pStyle w:val="FigureTitle"/>
      </w:pPr>
      <w:r>
        <w:t xml:space="preserve">Figure 14</w:t>
      </w:r>
    </w:p>
    <w:p>
      <w:pPr>
        <w:pStyle w:val="Caption"/>
      </w:pPr>
      <w:r>
        <w:t xml:space="preserve">Comparison of the seagrass percent cover before (left), during (center) and after (right) the heatwaves for seagrasses that have not been impacted by heatwaves (i.e. remains green) and seagrasses that have been impacted by the events (i.e. seagrasses that darkened).</w:t>
      </w:r>
    </w:p>
    <w:p>
      <w:pPr>
        <w:pStyle w:val="FigureWithoutNote"/>
      </w:pPr>
      <w:r>
        <w:drawing>
          <wp:inline>
            <wp:extent cx="5943600" cy="2971800"/>
            <wp:effectExtent b="0" l="0" r="0" t="0"/>
            <wp:docPr descr="" title="" id="119" name="Picture"/>
            <a:graphic>
              <a:graphicData uri="http://schemas.openxmlformats.org/drawingml/2006/picture">
                <pic:pic>
                  <pic:nvPicPr>
                    <pic:cNvPr descr="Figs/Low_res/plot_resilience.png" id="120" name="Picture"/>
                    <pic:cNvPicPr>
                      <a:picLocks noChangeArrowheads="1" noChangeAspect="1"/>
                    </pic:cNvPicPr>
                  </pic:nvPicPr>
                  <pic:blipFill>
                    <a:blip r:embed="rId118"/>
                    <a:stretch>
                      <a:fillRect/>
                    </a:stretch>
                  </pic:blipFill>
                  <pic:spPr bwMode="auto">
                    <a:xfrm>
                      <a:off x="0" y="0"/>
                      <a:ext cx="5943600" cy="2971800"/>
                    </a:xfrm>
                    <a:prstGeom prst="rect">
                      <a:avLst/>
                    </a:prstGeom>
                    <a:noFill/>
                    <a:ln w="9525">
                      <a:noFill/>
                      <a:headEnd/>
                      <a:tailEnd/>
                    </a:ln>
                  </pic:spPr>
                </pic:pic>
              </a:graphicData>
            </a:graphic>
          </wp:inline>
        </w:drawing>
      </w:r>
    </w:p>
    <w:bookmarkEnd w:id="121"/>
    <w:bookmarkEnd w:id="122"/>
    <w:p>
      <w:pPr>
        <w:pStyle w:val="AfterWithoutNote"/>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w:t>
      </w:r>
      <w:hyperlink w:anchor="ref-hughes2004genetic">
        <w:r>
          <w:rPr>
            <w:rStyle w:val="Hyperlink"/>
          </w:rPr>
          <w:t xml:space="preserve">Hughes and Stachowicz, 2004</w:t>
        </w:r>
      </w:hyperlink>
      <w:r>
        <w:t xml:space="preserve">;</w:t>
      </w:r>
      <w:r>
        <w:t xml:space="preserve"> </w:t>
      </w:r>
      <w:hyperlink w:anchor="ref-reusch2005ecosystem">
        <w:r>
          <w:rPr>
            <w:rStyle w:val="Hyperlink"/>
          </w:rPr>
          <w:t xml:space="preserve">Reusch et al., 2005</w:t>
        </w:r>
      </w:hyperlink>
      <w:r>
        <w:t xml:space="preserve">)</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w:t>
      </w:r>
      <w:hyperlink w:anchor="ref-franssen2014genome">
        <w:r>
          <w:rPr>
            <w:rStyle w:val="Hyperlink"/>
          </w:rPr>
          <w:t xml:space="preserve">Franssen et al., 2014</w:t>
        </w:r>
      </w:hyperlink>
      <w:r>
        <w:t xml:space="preserve">)</w:t>
      </w:r>
      <w:r>
        <w:t xml:space="preserve">.</w:t>
      </w:r>
    </w:p>
    <w:p>
      <w:pPr>
        <w:pStyle w:val="BodyText"/>
      </w:pPr>
      <w:r>
        <w:t xml:space="preserve">Given the combined pressures of temperature extremes, eutrophication, and other anthropogenic impacts, targeted management strategies are essential for enhancing seagrass resilience</w:t>
      </w:r>
      <w:r>
        <w:t xml:space="preserve"> </w:t>
      </w:r>
      <w:r>
        <w:t xml:space="preserve">(</w:t>
      </w:r>
      <w:hyperlink w:anchor="ref-loarie2009velocity">
        <w:r>
          <w:rPr>
            <w:rStyle w:val="Hyperlink"/>
          </w:rPr>
          <w:t xml:space="preserve">Loarie et al., 2009</w:t>
        </w:r>
      </w:hyperlink>
      <w:r>
        <w:t xml:space="preserve">)</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w:t>
      </w:r>
      <w:hyperlink w:anchor="ref-canadell2021ecosystem">
        <w:r>
          <w:rPr>
            <w:rStyle w:val="Hyperlink"/>
          </w:rPr>
          <w:t xml:space="preserve">Canadell and Jackson, 2021</w:t>
        </w:r>
      </w:hyperlink>
      <w:r>
        <w:t xml:space="preserve">;</w:t>
      </w:r>
      <w:r>
        <w:t xml:space="preserve"> </w:t>
      </w:r>
      <w:hyperlink w:anchor="ref-de2022increased">
        <w:r>
          <w:rPr>
            <w:rStyle w:val="Hyperlink"/>
          </w:rPr>
          <w:t xml:space="preserve">De Fouw et al., 2022</w:t>
        </w:r>
      </w:hyperlink>
      <w:r>
        <w:t xml:space="preserve">)</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w:t>
      </w:r>
      <w:hyperlink w:anchor="ref-zoffoli2023remote">
        <w:r>
          <w:rPr>
            <w:rStyle w:val="Hyperlink"/>
          </w:rPr>
          <w:t xml:space="preserve">Zoffoli et al., 2023</w:t>
        </w:r>
      </w:hyperlink>
      <w:r>
        <w:t xml:space="preserve">)</w:t>
      </w:r>
      <w:r>
        <w:t xml:space="preserve">. Their dense canopies stabilize sediment and protect shorelines from erosion, an increasingly crucial role as sea levels rise due to climate change</w:t>
      </w:r>
      <w:r>
        <w:t xml:space="preserve"> </w:t>
      </w:r>
      <w:r>
        <w:t xml:space="preserve">(</w:t>
      </w:r>
      <w:hyperlink w:anchor="ref-folmer2012seagrass">
        <w:r>
          <w:rPr>
            <w:rStyle w:val="Hyperlink"/>
          </w:rPr>
          <w:t xml:space="preserve">Folmer et al., 2012</w:t>
        </w:r>
      </w:hyperlink>
      <w:r>
        <w:t xml:space="preserve">;</w:t>
      </w:r>
      <w:r>
        <w:t xml:space="preserve"> </w:t>
      </w:r>
      <w:hyperlink w:anchor="ref-gacia1999approach">
        <w:r>
          <w:rPr>
            <w:rStyle w:val="Hyperlink"/>
          </w:rPr>
          <w:t xml:space="preserve">Gacia et al., 1999</w:t>
        </w:r>
      </w:hyperlink>
      <w:r>
        <w:t xml:space="preserve">)</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w:t>
      </w:r>
      <w:hyperlink w:anchor="ref-calleja2007relationship">
        <w:r>
          <w:rPr>
            <w:rStyle w:val="Hyperlink"/>
          </w:rPr>
          <w:t xml:space="preserve">Calleja et al., 2007</w:t>
        </w:r>
      </w:hyperlink>
      <w:r>
        <w:t xml:space="preserve">)</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w:t>
      </w:r>
      <w:hyperlink w:anchor="ref-unsworth2014biodiversity">
        <w:r>
          <w:rPr>
            <w:rStyle w:val="Hyperlink"/>
          </w:rPr>
          <w:t xml:space="preserve">Unsworth and Cullen-Unsworth, 2014</w:t>
        </w:r>
      </w:hyperlink>
      <w:r>
        <w:t xml:space="preserve">)</w:t>
      </w:r>
      <w:r>
        <w:t xml:space="preserve">. Furthermore, as seagrasses decline, their capacity to act as a blue carbon sink—critical for climate mitigation—also diminishes, inadvertently contributing to increased atmospheric carbon levels</w:t>
      </w:r>
      <w:r>
        <w:t xml:space="preserve"> </w:t>
      </w:r>
      <w:r>
        <w:t xml:space="preserve">(</w:t>
      </w:r>
      <w:hyperlink w:anchor="ref-armitage2016carbon">
        <w:r>
          <w:rPr>
            <w:rStyle w:val="Hyperlink"/>
          </w:rPr>
          <w:t xml:space="preserve">Armitage and Fourqurean, 2016</w:t>
        </w:r>
      </w:hyperlink>
      <w:r>
        <w:t xml:space="preserve">;</w:t>
      </w:r>
      <w:r>
        <w:t xml:space="preserve"> </w:t>
      </w:r>
      <w:hyperlink w:anchor="ref-samper2020characterization">
        <w:r>
          <w:rPr>
            <w:rStyle w:val="Hyperlink"/>
          </w:rPr>
          <w:t xml:space="preserve">Samper-Villarreal et al., 2020</w:t>
        </w:r>
      </w:hyperlink>
      <w:r>
        <w:t xml:space="preserve">)</w:t>
      </w:r>
    </w:p>
    <w:bookmarkEnd w:id="123"/>
    <w:bookmarkStart w:id="124" w:name="conclusion"/>
    <w:p>
      <w:pPr>
        <w:pStyle w:val="Heading1"/>
      </w:pPr>
      <w:r>
        <w:t xml:space="preserve">5.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w:t>
      </w:r>
      <w:r>
        <w:t xml:space="preserve"> </w:t>
      </w:r>
      <w:r>
        <w:t xml:space="preserve">Our findings reveal that heatwaves lead to substantial declines in seagrass reflectance, particularly in the green and near-infrared regions,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w:t>
      </w:r>
      <w:r>
        <w:t xml:space="preserve"> </w:t>
      </w:r>
      <w:r>
        <w:t xml:space="preserve">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w:t>
      </w:r>
      <w:r>
        <w:t xml:space="preserve"> </w:t>
      </w:r>
      <w:r>
        <w:t xml:space="preserve">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24"/>
    <w:bookmarkStart w:id="213" w:name="bibliography"/>
    <w:p>
      <w:pPr>
        <w:pStyle w:val="Heading1"/>
      </w:pPr>
      <w:r>
        <w:t xml:space="preserve">6. Bibliography</w:t>
      </w:r>
    </w:p>
    <w:bookmarkStart w:id="212" w:name="refs"/>
    <w:bookmarkStart w:id="125"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5"/>
    <w:bookmarkStart w:id="126"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6"/>
    <w:bookmarkStart w:id="128"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7">
        <w:r>
          <w:rPr>
            <w:rStyle w:val="Hyperlink"/>
          </w:rPr>
          <w:t xml:space="preserve">https://doi.org/10.3354/meps14588</w:t>
        </w:r>
      </w:hyperlink>
    </w:p>
    <w:bookmarkEnd w:id="128"/>
    <w:bookmarkStart w:id="129"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29"/>
    <w:bookmarkStart w:id="130"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30"/>
    <w:bookmarkStart w:id="131" w:name="ref-canadell2021ecosystem"/>
    <w:p>
      <w:pPr>
        <w:pStyle w:val="Bibliography"/>
      </w:pPr>
      <w:r>
        <w:t xml:space="preserve">Canadell, J.G., Jackson, R.B., 2021. Ecosystem collapse and climate change. Springer.</w:t>
      </w:r>
    </w:p>
    <w:bookmarkEnd w:id="131"/>
    <w:bookmarkStart w:id="132"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32"/>
    <w:bookmarkStart w:id="134"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3">
        <w:r>
          <w:rPr>
            <w:rStyle w:val="Hyperlink"/>
          </w:rPr>
          <w:t xml:space="preserve">https://doi.org/10.48670/moi-00311</w:t>
        </w:r>
      </w:hyperlink>
    </w:p>
    <w:bookmarkEnd w:id="134"/>
    <w:bookmarkStart w:id="136"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5">
        <w:r>
          <w:rPr>
            <w:rStyle w:val="Hyperlink"/>
          </w:rPr>
          <w:t xml:space="preserve">https://doi.org/10.1007/s11099-007-0084-3</w:t>
        </w:r>
      </w:hyperlink>
    </w:p>
    <w:bookmarkEnd w:id="136"/>
    <w:bookmarkStart w:id="138"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7">
        <w:r>
          <w:rPr>
            <w:rStyle w:val="Hyperlink"/>
          </w:rPr>
          <w:t xml:space="preserve">https://doi.org/10.1038/s43247-024-01543-z</w:t>
        </w:r>
      </w:hyperlink>
    </w:p>
    <w:bookmarkEnd w:id="138"/>
    <w:bookmarkStart w:id="140"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9">
        <w:r>
          <w:rPr>
            <w:rStyle w:val="Hyperlink"/>
          </w:rPr>
          <w:t xml:space="preserve">https://doi.org/10.1016/j.rse.2024.114340</w:t>
        </w:r>
      </w:hyperlink>
    </w:p>
    <w:bookmarkEnd w:id="140"/>
    <w:bookmarkStart w:id="141"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1"/>
    <w:bookmarkStart w:id="142" w:name="ref-deguette2022physiological"/>
    <w:p>
      <w:pPr>
        <w:pStyle w:val="Bibliography"/>
      </w:pPr>
      <w:r>
        <w:t xml:space="preserve">Deguette, A., Barrote, I., Silva, J., 2022. Physiological and morphological effects of a marine heatwave on the seagrass cymodocea nodosa. Scientific Reports 12, 7950.</w:t>
      </w:r>
    </w:p>
    <w:bookmarkEnd w:id="142"/>
    <w:bookmarkStart w:id="143" w:name="ref-devi2024intensity"/>
    <w:p>
      <w:pPr>
        <w:pStyle w:val="Bibliography"/>
      </w:pPr>
      <w:r>
        <w:t xml:space="preserve">Devi, R., Gouda, K., Lenka, S., 2024. Intensity duration and frequency of heat wave in different phases of MJO over india. Atmospheric Research 300, 107250.</w:t>
      </w:r>
    </w:p>
    <w:bookmarkEnd w:id="143"/>
    <w:bookmarkStart w:id="144" w:name="ref-sen2cor"/>
    <w:p>
      <w:pPr>
        <w:pStyle w:val="Bibliography"/>
      </w:pPr>
      <w:r>
        <w:t xml:space="preserve">European Space Agency, 2024b. Sen2Cor: Sentinel-2 atmospheric correction processor.</w:t>
      </w:r>
    </w:p>
    <w:bookmarkEnd w:id="144"/>
    <w:bookmarkStart w:id="145" w:name="ref-copernicus_sentinel2"/>
    <w:p>
      <w:pPr>
        <w:pStyle w:val="Bibliography"/>
      </w:pPr>
      <w:r>
        <w:t xml:space="preserve">European Space Agency, 2024a. Copernicus open access hub.</w:t>
      </w:r>
    </w:p>
    <w:bookmarkEnd w:id="145"/>
    <w:bookmarkStart w:id="146"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46"/>
    <w:bookmarkStart w:id="147"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47"/>
    <w:bookmarkStart w:id="148" w:name="ref-gacia1999approach"/>
    <w:p>
      <w:pPr>
        <w:pStyle w:val="Bibliography"/>
      </w:pPr>
      <w:r>
        <w:t xml:space="preserve">Gacia, E., Granata, T., Duarte, C., 1999. An approach to measurement of particle flux and sediment retention within seagrass (posidonia oceanica) meadows. Aquatic Botany 65, 255–268.</w:t>
      </w:r>
    </w:p>
    <w:bookmarkEnd w:id="148"/>
    <w:bookmarkStart w:id="149" w:name="ref-gardner2018global"/>
    <w:p>
      <w:pPr>
        <w:pStyle w:val="Bibliography"/>
      </w:pPr>
      <w:r>
        <w:t xml:space="preserve">Gardner, R.C., Finlayson, C., 2018. Global wetland outlook: State of the world’s wetlands and their services to people, in: Ramsar Convention Secretariat. pp. 2020–5.</w:t>
      </w:r>
    </w:p>
    <w:bookmarkEnd w:id="149"/>
    <w:bookmarkStart w:id="150"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0"/>
    <w:bookmarkStart w:id="152"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51">
        <w:r>
          <w:rPr>
            <w:rStyle w:val="Hyperlink"/>
          </w:rPr>
          <w:t xml:space="preserve">https://doi.org/10.1002/aqc.4210</w:t>
        </w:r>
      </w:hyperlink>
    </w:p>
    <w:bookmarkEnd w:id="152"/>
    <w:bookmarkStart w:id="153"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53"/>
    <w:bookmarkStart w:id="154"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54"/>
    <w:bookmarkStart w:id="155" w:name="ref-huete2012vegetation"/>
    <w:p>
      <w:pPr>
        <w:pStyle w:val="Bibliography"/>
      </w:pPr>
      <w:r>
        <w:t xml:space="preserve">Huete, A.R., 2012. Vegetation indices, remote sensing and forest monitoring. Geography Compass 6, 513–532.</w:t>
      </w:r>
    </w:p>
    <w:bookmarkEnd w:id="155"/>
    <w:bookmarkStart w:id="157"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56">
        <w:r>
          <w:rPr>
            <w:rStyle w:val="Hyperlink"/>
          </w:rPr>
          <w:t xml:space="preserve">https://doi.org/10.1073/pnas.0402642101</w:t>
        </w:r>
      </w:hyperlink>
    </w:p>
    <w:bookmarkEnd w:id="157"/>
    <w:bookmarkStart w:id="159" w:name="ref-ioc_sea_level_lecy"/>
    <w:p>
      <w:pPr>
        <w:pStyle w:val="Bibliography"/>
      </w:pPr>
      <w:r>
        <w:t xml:space="preserve">IOC, 2024.</w:t>
      </w:r>
      <w:r>
        <w:t xml:space="preserve"> </w:t>
      </w:r>
      <w:hyperlink r:id="rId158">
        <w:r>
          <w:rPr>
            <w:rStyle w:val="Hyperlink"/>
          </w:rPr>
          <w:t xml:space="preserve">Intergovernmental oceanographic commission ; sea level monitoring station - le conquet, france (LECY)</w:t>
        </w:r>
      </w:hyperlink>
      <w:r>
        <w:t xml:space="preserve">.</w:t>
      </w:r>
    </w:p>
    <w:bookmarkEnd w:id="159"/>
    <w:bookmarkStart w:id="160"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0"/>
    <w:bookmarkStart w:id="162"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1">
        <w:r>
          <w:rPr>
            <w:rStyle w:val="Hyperlink"/>
          </w:rPr>
          <w:t xml:space="preserve">https://doi.org/10.1016/S0304-4238(05)80016-0</w:t>
        </w:r>
      </w:hyperlink>
    </w:p>
    <w:bookmarkEnd w:id="162"/>
    <w:bookmarkStart w:id="163" w:name="ref-kloos2021agricultural"/>
    <w:p>
      <w:pPr>
        <w:pStyle w:val="Bibliography"/>
      </w:pPr>
      <w:r>
        <w:t xml:space="preserve">Kloos, S., Yuan, Y., Castelli, M., Menzel, A., 2021. Agricultural drought detection with MODIS based vegetation health indices in southeast germany. Remote Sensing 13, 3907.</w:t>
      </w:r>
    </w:p>
    <w:bookmarkEnd w:id="163"/>
    <w:bookmarkStart w:id="165"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4">
        <w:r>
          <w:rPr>
            <w:rStyle w:val="Hyperlink"/>
          </w:rPr>
          <w:t xml:space="preserve">https://doi.org/10.1016/S0034-4257(70)80021-9</w:t>
        </w:r>
      </w:hyperlink>
    </w:p>
    <w:bookmarkEnd w:id="165"/>
    <w:bookmarkStart w:id="166" w:name="ref-loarie2009velocity"/>
    <w:p>
      <w:pPr>
        <w:pStyle w:val="Bibliography"/>
      </w:pPr>
      <w:r>
        <w:t xml:space="preserve">Loarie, S.R., Duffy, P.B., Hamilton, H., Asner, G.P., Field, C.B., Ackerly, D.D., 2009. The velocity of climate change. Nature 462, 1052–1055.</w:t>
      </w:r>
    </w:p>
    <w:bookmarkEnd w:id="166"/>
    <w:bookmarkStart w:id="167"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67"/>
    <w:bookmarkStart w:id="168"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68"/>
    <w:bookmarkStart w:id="170"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69">
        <w:r>
          <w:rPr>
            <w:rStyle w:val="Hyperlink"/>
          </w:rPr>
          <w:t xml:space="preserve">https://doi.org/10.1038/s41598-019-50643-w</w:t>
        </w:r>
      </w:hyperlink>
    </w:p>
    <w:bookmarkEnd w:id="170"/>
    <w:bookmarkStart w:id="171"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71"/>
    <w:bookmarkStart w:id="173"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72">
        <w:r>
          <w:rPr>
            <w:rStyle w:val="Hyperlink"/>
          </w:rPr>
          <w:t xml:space="preserve">https://doi.org/10.3389/fmars.2019.00734</w:t>
        </w:r>
      </w:hyperlink>
    </w:p>
    <w:bookmarkEnd w:id="173"/>
    <w:bookmarkStart w:id="175"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74">
        <w:r>
          <w:rPr>
            <w:rStyle w:val="Hyperlink"/>
          </w:rPr>
          <w:t xml:space="preserve">https://doi.org/10.1111/gcb.14282</w:t>
        </w:r>
      </w:hyperlink>
    </w:p>
    <w:bookmarkEnd w:id="175"/>
    <w:bookmarkStart w:id="176"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76"/>
    <w:bookmarkStart w:id="177" w:name="ref-perkins2013measurement"/>
    <w:p>
      <w:pPr>
        <w:pStyle w:val="Bibliography"/>
      </w:pPr>
      <w:r>
        <w:t xml:space="preserve">Perkins, S.E., Alexander, L.V., 2013. On the measurement of heat waves. Journal of climate 26, 4500–4517.</w:t>
      </w:r>
    </w:p>
    <w:bookmarkEnd w:id="177"/>
    <w:bookmarkStart w:id="178" w:name="ref-ramesh2020seagrass"/>
    <w:p>
      <w:pPr>
        <w:pStyle w:val="Bibliography"/>
      </w:pPr>
      <w:r>
        <w:t xml:space="preserve">Ramesh, C., Mohanraju, R., 2020. Seagrass ecosystems of andaman and nicobar islands: Status and future perspective. Environmental &amp; Earth Sciences Research Journal 7.</w:t>
      </w:r>
    </w:p>
    <w:bookmarkEnd w:id="178"/>
    <w:bookmarkStart w:id="180"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79">
        <w:r>
          <w:rPr>
            <w:rStyle w:val="Hyperlink"/>
          </w:rPr>
          <w:t xml:space="preserve">https://doi.org/10.1073/pnas.0500008102</w:t>
        </w:r>
      </w:hyperlink>
    </w:p>
    <w:bookmarkEnd w:id="180"/>
    <w:bookmarkStart w:id="181" w:name="ref-rouse1974monitoring"/>
    <w:p>
      <w:pPr>
        <w:pStyle w:val="Bibliography"/>
      </w:pPr>
      <w:r>
        <w:t xml:space="preserve">Rouse, J.W., Haas, R.H., Schell, J.A., Deering, D.W., others, 1974. Monitoring vegetation systems in the great plains with ERTS. NASA Spec. Publ 351, 309.</w:t>
      </w:r>
    </w:p>
    <w:bookmarkEnd w:id="181"/>
    <w:bookmarkStart w:id="183"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82">
        <w:r>
          <w:rPr>
            <w:rStyle w:val="Hyperlink"/>
          </w:rPr>
          <w:t xml:space="preserve">https://doi.org/10.1029/2023GL103540</w:t>
        </w:r>
      </w:hyperlink>
    </w:p>
    <w:bookmarkEnd w:id="183"/>
    <w:bookmarkStart w:id="184"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84"/>
    <w:bookmarkStart w:id="185"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85"/>
    <w:bookmarkStart w:id="186" w:name="ref-schlegel2017nearshore"/>
    <w:p>
      <w:pPr>
        <w:pStyle w:val="Bibliography"/>
      </w:pPr>
      <w:r>
        <w:t xml:space="preserve">Schlegel, R.W., Oliver, E.C., Wernberg, T., Smit, A.J., 2017. Nearshore and offshore co-occurrence of marine heatwaves and cold-spells. Progress in Oceanography 151, 189–205.</w:t>
      </w:r>
    </w:p>
    <w:bookmarkEnd w:id="186"/>
    <w:bookmarkStart w:id="188"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87">
        <w:r>
          <w:rPr>
            <w:rStyle w:val="Hyperlink"/>
          </w:rPr>
          <w:t xml:space="preserve">https://doi.org/10.21105/joss.00821</w:t>
        </w:r>
      </w:hyperlink>
    </w:p>
    <w:bookmarkEnd w:id="188"/>
    <w:bookmarkStart w:id="189"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89"/>
    <w:bookmarkStart w:id="190"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90"/>
    <w:bookmarkStart w:id="192" w:name="ref-shom_ram_2022"/>
    <w:p>
      <w:pPr>
        <w:pStyle w:val="Bibliography"/>
      </w:pPr>
      <w:r>
        <w:t xml:space="preserve">Shom, 2022.</w:t>
      </w:r>
      <w:r>
        <w:t xml:space="preserve"> </w:t>
      </w:r>
      <w:hyperlink r:id="rId191">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92"/>
    <w:bookmarkStart w:id="194" w:name="Xbef41143b4d4042e58f11cfc27e216202646012"/>
    <w:p>
      <w:pPr>
        <w:pStyle w:val="Bibliography"/>
      </w:pPr>
      <w:r>
        <w:t xml:space="preserve">SHOM, 2021.</w:t>
      </w:r>
      <w:r>
        <w:t xml:space="preserve"> </w:t>
      </w:r>
      <w:hyperlink r:id="rId193">
        <w:r>
          <w:rPr>
            <w:rStyle w:val="Hyperlink"/>
          </w:rPr>
          <w:t xml:space="preserve">Service hydrographique et océanographique de la marine ; bathymétrie Litto3D® bretagne 2018-2021</w:t>
        </w:r>
      </w:hyperlink>
      <w:r>
        <w:t xml:space="preserve">.</w:t>
      </w:r>
    </w:p>
    <w:bookmarkEnd w:id="194"/>
    <w:bookmarkStart w:id="196" w:name="ref-simolo2022quantifying"/>
    <w:p>
      <w:pPr>
        <w:pStyle w:val="Bibliography"/>
      </w:pPr>
      <w:r>
        <w:t xml:space="preserve">Simolo, C., Corti, S., 2022. Quantifying the role of variability in future intensification of heat extremes. Nature Communications 13.</w:t>
      </w:r>
      <w:r>
        <w:t xml:space="preserve"> </w:t>
      </w:r>
      <w:hyperlink r:id="rId195">
        <w:r>
          <w:rPr>
            <w:rStyle w:val="Hyperlink"/>
          </w:rPr>
          <w:t xml:space="preserve">https://doi.org/10.1038/s41467-022-35571-0</w:t>
        </w:r>
      </w:hyperlink>
    </w:p>
    <w:bookmarkEnd w:id="196"/>
    <w:bookmarkStart w:id="197"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97"/>
    <w:bookmarkStart w:id="199"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198">
        <w:r>
          <w:rPr>
            <w:rStyle w:val="Hyperlink"/>
          </w:rPr>
          <w:t xml:space="preserve">https://doi.org/10.1038/s41558-019-0412-1</w:t>
        </w:r>
      </w:hyperlink>
    </w:p>
    <w:bookmarkEnd w:id="199"/>
    <w:bookmarkStart w:id="200"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00"/>
    <w:bookmarkStart w:id="202"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01">
        <w:r>
          <w:rPr>
            <w:rStyle w:val="Hyperlink"/>
          </w:rPr>
          <w:t xml:space="preserve">https://doi.org/10.1152/physiol.00040.2018</w:t>
        </w:r>
      </w:hyperlink>
    </w:p>
    <w:bookmarkEnd w:id="202"/>
    <w:bookmarkStart w:id="203"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03"/>
    <w:bookmarkStart w:id="204" w:name="ref-unsworth2014biodiversity"/>
    <w:p>
      <w:pPr>
        <w:pStyle w:val="Bibliography"/>
      </w:pPr>
      <w:r>
        <w:t xml:space="preserve">Unsworth, R., Cullen-Unsworth, L.C., 2014. Biodiversity, ecosystem services, and the conservation of seagrass meadows. Coast. Conserv 19, 95.</w:t>
      </w:r>
    </w:p>
    <w:bookmarkEnd w:id="204"/>
    <w:bookmarkStart w:id="205" w:name="ref-unsworth2022planetary"/>
    <w:p>
      <w:pPr>
        <w:pStyle w:val="Bibliography"/>
      </w:pPr>
      <w:r>
        <w:t xml:space="preserve">Unsworth, R.K., Cullen-Unsworth, L.C., Jones, B.L., Lilley, R.J., 2022. The planetary role of seagrass conservation. Science 377, 609–613.</w:t>
      </w:r>
    </w:p>
    <w:bookmarkEnd w:id="205"/>
    <w:bookmarkStart w:id="206"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06"/>
    <w:bookmarkStart w:id="207"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07"/>
    <w:bookmarkStart w:id="208"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08"/>
    <w:bookmarkStart w:id="210"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09">
        <w:r>
          <w:rPr>
            <w:rStyle w:val="Hyperlink"/>
          </w:rPr>
          <w:t xml:space="preserve">https://doi.org/10.1002/rse2.319</w:t>
        </w:r>
      </w:hyperlink>
    </w:p>
    <w:bookmarkEnd w:id="210"/>
    <w:bookmarkStart w:id="211"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11"/>
    <w:bookmarkEnd w:id="212"/>
    <w:sectPr>
      <w:lnNumType w:countBy="1" w:restart="continuous"/>
    </w:sectPr>
    <w:bookmarkEnd w:id="21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94" Target="media/rId94.png" /><Relationship Type="http://schemas.openxmlformats.org/officeDocument/2006/relationships/image" Id="rId25" Target="media/rId25.png" /><Relationship Type="http://schemas.openxmlformats.org/officeDocument/2006/relationships/image" Id="rId105" Target="media/rId105.png" /><Relationship Type="http://schemas.openxmlformats.org/officeDocument/2006/relationships/image" Id="rId88" Target="media/rId88.png" /><Relationship Type="http://schemas.openxmlformats.org/officeDocument/2006/relationships/image" Id="rId100" Target="media/rId100.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113" Target="media/rId113.png" /><Relationship Type="http://schemas.openxmlformats.org/officeDocument/2006/relationships/image" Id="rId67" Target="media/rId67.png" /><Relationship Type="http://schemas.openxmlformats.org/officeDocument/2006/relationships/image" Id="rId118" Target="media/rId118.png" /><Relationship Type="http://schemas.openxmlformats.org/officeDocument/2006/relationships/hyperlink" Id="rId191" Target="https://diffusion.shom.fr/references-altimetriques-maritimes-ram.html" TargetMode="External" /><Relationship Type="http://schemas.openxmlformats.org/officeDocument/2006/relationships/hyperlink" Id="rId151" Target="https://doi.org/10.1002/aqc.4210" TargetMode="External" /><Relationship Type="http://schemas.openxmlformats.org/officeDocument/2006/relationships/hyperlink" Id="rId209" Target="https://doi.org/10.1002/rse2.319" TargetMode="External" /><Relationship Type="http://schemas.openxmlformats.org/officeDocument/2006/relationships/hyperlink" Id="rId135" Target="https://doi.org/10.1007/s11099-007-0084-3" TargetMode="External" /><Relationship Type="http://schemas.openxmlformats.org/officeDocument/2006/relationships/hyperlink" Id="rId164" Target="https://doi.org/10.1016/S0034-4257(70)80021-9" TargetMode="External" /><Relationship Type="http://schemas.openxmlformats.org/officeDocument/2006/relationships/hyperlink" Id="rId161" Target="https://doi.org/10.1016/S0304-4238(05)80016-0" TargetMode="External" /><Relationship Type="http://schemas.openxmlformats.org/officeDocument/2006/relationships/hyperlink" Id="rId139" Target="https://doi.org/10.1016/j.rse.2024.114340" TargetMode="External" /><Relationship Type="http://schemas.openxmlformats.org/officeDocument/2006/relationships/hyperlink" Id="rId182" Target="https://doi.org/10.1029/2023GL103540" TargetMode="External" /><Relationship Type="http://schemas.openxmlformats.org/officeDocument/2006/relationships/hyperlink" Id="rId195" Target="https://doi.org/10.1038/s41467-022-35571-0" TargetMode="External" /><Relationship Type="http://schemas.openxmlformats.org/officeDocument/2006/relationships/hyperlink" Id="rId198" Target="https://doi.org/10.1038/s41558-019-0412-1" TargetMode="External" /><Relationship Type="http://schemas.openxmlformats.org/officeDocument/2006/relationships/hyperlink" Id="rId169" Target="https://doi.org/10.1038/s41598-019-50643-w" TargetMode="External" /><Relationship Type="http://schemas.openxmlformats.org/officeDocument/2006/relationships/hyperlink" Id="rId137" Target="https://doi.org/10.1038/s43247-024-01543-z" TargetMode="External" /><Relationship Type="http://schemas.openxmlformats.org/officeDocument/2006/relationships/hyperlink" Id="rId156" Target="https://doi.org/10.1073/pnas.0402642101" TargetMode="External" /><Relationship Type="http://schemas.openxmlformats.org/officeDocument/2006/relationships/hyperlink" Id="rId179" Target="https://doi.org/10.1073/pnas.0500008102" TargetMode="External" /><Relationship Type="http://schemas.openxmlformats.org/officeDocument/2006/relationships/hyperlink" Id="rId174" Target="https://doi.org/10.1111/gcb.14282" TargetMode="External" /><Relationship Type="http://schemas.openxmlformats.org/officeDocument/2006/relationships/hyperlink" Id="rId201" Target="https://doi.org/10.1152/physiol.00040.2018" TargetMode="External" /><Relationship Type="http://schemas.openxmlformats.org/officeDocument/2006/relationships/hyperlink" Id="rId187"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72" Target="https://doi.org/10.3389/fmars.2019.00734" TargetMode="External" /><Relationship Type="http://schemas.openxmlformats.org/officeDocument/2006/relationships/hyperlink" Id="rId133"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93"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8"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91" Target="https://diffusion.shom.fr/references-altimetriques-maritimes-ram.html" TargetMode="External" /><Relationship Type="http://schemas.openxmlformats.org/officeDocument/2006/relationships/hyperlink" Id="rId151" Target="https://doi.org/10.1002/aqc.4210" TargetMode="External" /><Relationship Type="http://schemas.openxmlformats.org/officeDocument/2006/relationships/hyperlink" Id="rId209" Target="https://doi.org/10.1002/rse2.319" TargetMode="External" /><Relationship Type="http://schemas.openxmlformats.org/officeDocument/2006/relationships/hyperlink" Id="rId135" Target="https://doi.org/10.1007/s11099-007-0084-3" TargetMode="External" /><Relationship Type="http://schemas.openxmlformats.org/officeDocument/2006/relationships/hyperlink" Id="rId164" Target="https://doi.org/10.1016/S0034-4257(70)80021-9" TargetMode="External" /><Relationship Type="http://schemas.openxmlformats.org/officeDocument/2006/relationships/hyperlink" Id="rId161" Target="https://doi.org/10.1016/S0304-4238(05)80016-0" TargetMode="External" /><Relationship Type="http://schemas.openxmlformats.org/officeDocument/2006/relationships/hyperlink" Id="rId139" Target="https://doi.org/10.1016/j.rse.2024.114340" TargetMode="External" /><Relationship Type="http://schemas.openxmlformats.org/officeDocument/2006/relationships/hyperlink" Id="rId182" Target="https://doi.org/10.1029/2023GL103540" TargetMode="External" /><Relationship Type="http://schemas.openxmlformats.org/officeDocument/2006/relationships/hyperlink" Id="rId195" Target="https://doi.org/10.1038/s41467-022-35571-0" TargetMode="External" /><Relationship Type="http://schemas.openxmlformats.org/officeDocument/2006/relationships/hyperlink" Id="rId198" Target="https://doi.org/10.1038/s41558-019-0412-1" TargetMode="External" /><Relationship Type="http://schemas.openxmlformats.org/officeDocument/2006/relationships/hyperlink" Id="rId169" Target="https://doi.org/10.1038/s41598-019-50643-w" TargetMode="External" /><Relationship Type="http://schemas.openxmlformats.org/officeDocument/2006/relationships/hyperlink" Id="rId137" Target="https://doi.org/10.1038/s43247-024-01543-z" TargetMode="External" /><Relationship Type="http://schemas.openxmlformats.org/officeDocument/2006/relationships/hyperlink" Id="rId156" Target="https://doi.org/10.1073/pnas.0402642101" TargetMode="External" /><Relationship Type="http://schemas.openxmlformats.org/officeDocument/2006/relationships/hyperlink" Id="rId179" Target="https://doi.org/10.1073/pnas.0500008102" TargetMode="External" /><Relationship Type="http://schemas.openxmlformats.org/officeDocument/2006/relationships/hyperlink" Id="rId174" Target="https://doi.org/10.1111/gcb.14282" TargetMode="External" /><Relationship Type="http://schemas.openxmlformats.org/officeDocument/2006/relationships/hyperlink" Id="rId201" Target="https://doi.org/10.1152/physiol.00040.2018" TargetMode="External" /><Relationship Type="http://schemas.openxmlformats.org/officeDocument/2006/relationships/hyperlink" Id="rId187"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72" Target="https://doi.org/10.3389/fmars.2019.00734" TargetMode="External" /><Relationship Type="http://schemas.openxmlformats.org/officeDocument/2006/relationships/hyperlink" Id="rId133"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93"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8"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EFFECT OF HEATWAVES ON SEAGRASSES</dc:description>
  <cp:keywords>Remote Sensing, Pigment Composition, Seagrass, Coastal Ecosystems, Heatwaves</cp:keywords>
  <dcterms:created xsi:type="dcterms:W3CDTF">2024-11-05T10:42:11Z</dcterms:created>
  <dcterms:modified xsi:type="dcterms:W3CDTF">2024-11-05T10:42:11Z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2024-11-05</vt:lpwstr>
  </property>
  <property fmtid="{D5CDD505-2E9C-101B-9397-08002B2CF9AE}" pid="7" name="apatitle">
    <vt:lpwstr>Effect of Marine and Atmospheric Heatwaves on Reflectance and Pigment Composition of Intertidal Zostera noltei</vt:lpwstr>
  </property>
  <property fmtid="{D5CDD505-2E9C-101B-9397-08002B2CF9AE}" pid="8" name="apatitledisplay">
    <vt:lpwstr>Effect of Marine and Atmospheric Heatwaves on Reflectance and Pigment Composition of Intertidal 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lear-hidden-classes">
    <vt:lpwstr>none</vt:lpwstr>
  </property>
  <property fmtid="{D5CDD505-2E9C-101B-9397-08002B2CF9AE}" pid="16" name="csl">
    <vt:lpwstr>RSE.csl</vt:lpwstr>
  </property>
  <property fmtid="{D5CDD505-2E9C-101B-9397-08002B2CF9AE}" pid="17" name="documentmode">
    <vt:lpwstr>man</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ey-points">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ghtbox">
    <vt:lpwstr>auto</vt:lpwstr>
  </property>
  <property fmtid="{D5CDD505-2E9C-101B-9397-08002B2CF9AE}" pid="30" name="link-citations">
    <vt:lpwstr>True</vt:lpwstr>
  </property>
  <property fmtid="{D5CDD505-2E9C-101B-9397-08002B2CF9AE}" pid="31" name="manuscript">
    <vt:lpwstr/>
  </property>
  <property fmtid="{D5CDD505-2E9C-101B-9397-08002B2CF9AE}" pid="32" name="no-ampersand-parenthetical">
    <vt:lpwstr>False</vt:lpwstr>
  </property>
  <property fmtid="{D5CDD505-2E9C-101B-9397-08002B2CF9AE}" pid="33" name="notebook-preview-options">
    <vt:lpwstr/>
  </property>
  <property fmtid="{D5CDD505-2E9C-101B-9397-08002B2CF9AE}" pid="34" name="numbered-lines">
    <vt:lpwstr>True</vt:lpwstr>
  </property>
  <property fmtid="{D5CDD505-2E9C-101B-9397-08002B2CF9AE}" pid="35" name="oneaffiliation">
    <vt:lpwstr>False</vt:lpwstr>
  </property>
  <property fmtid="{D5CDD505-2E9C-101B-9397-08002B2CF9AE}" pid="36" name="oneauthor">
    <vt:lpwstr>False</vt:lpwstr>
  </property>
  <property fmtid="{D5CDD505-2E9C-101B-9397-08002B2CF9AE}" pid="37" name="plain-language-summary">
    <vt:lpwstr>To be written</vt:lpwstr>
  </property>
  <property fmtid="{D5CDD505-2E9C-101B-9397-08002B2CF9AE}" pid="38" name="quarto-internal">
    <vt:lpwstr/>
  </property>
  <property fmtid="{D5CDD505-2E9C-101B-9397-08002B2CF9AE}" pid="39" name="references">
    <vt:lpwstr/>
  </property>
  <property fmtid="{D5CDD505-2E9C-101B-9397-08002B2CF9AE}" pid="40" name="remove-hidden">
    <vt:lpwstr>all</vt:lpwstr>
  </property>
  <property fmtid="{D5CDD505-2E9C-101B-9397-08002B2CF9AE}" pid="41" name="resources">
    <vt:lpwstr/>
  </property>
  <property fmtid="{D5CDD505-2E9C-101B-9397-08002B2CF9AE}" pid="42" name="revealjs-plugins">
    <vt:lpwstr/>
  </property>
  <property fmtid="{D5CDD505-2E9C-101B-9397-08002B2CF9AE}" pid="43" name="shorttitle">
    <vt:lpwstr>EFFECT OF HEATWAVES ON SEAGRASSES</vt:lpwstr>
  </property>
  <property fmtid="{D5CDD505-2E9C-101B-9397-08002B2CF9AE}" pid="44" name="suppress-abstract">
    <vt:lpwstr>False</vt:lpwstr>
  </property>
  <property fmtid="{D5CDD505-2E9C-101B-9397-08002B2CF9AE}" pid="45" name="suppress-affiliation">
    <vt:lpwstr>False</vt:lpwstr>
  </property>
  <property fmtid="{D5CDD505-2E9C-101B-9397-08002B2CF9AE}" pid="46" name="suppress-author">
    <vt:lpwstr>False</vt:lpwstr>
  </property>
  <property fmtid="{D5CDD505-2E9C-101B-9397-08002B2CF9AE}" pid="47" name="suppress-author-note">
    <vt:lpwstr>False</vt:lpwstr>
  </property>
  <property fmtid="{D5CDD505-2E9C-101B-9397-08002B2CF9AE}" pid="48" name="suppress-corresponding-address">
    <vt:lpwstr>False</vt:lpwstr>
  </property>
  <property fmtid="{D5CDD505-2E9C-101B-9397-08002B2CF9AE}" pid="49" name="suppress-corresponding-affiliation-name">
    <vt:lpwstr>False</vt:lpwstr>
  </property>
  <property fmtid="{D5CDD505-2E9C-101B-9397-08002B2CF9AE}" pid="50" name="suppress-corresponding-city">
    <vt:lpwstr>False</vt:lpwstr>
  </property>
  <property fmtid="{D5CDD505-2E9C-101B-9397-08002B2CF9AE}" pid="51" name="suppress-corresponding-department">
    <vt:lpwstr>False</vt:lpwstr>
  </property>
  <property fmtid="{D5CDD505-2E9C-101B-9397-08002B2CF9AE}" pid="52" name="suppress-corresponding-email">
    <vt:lpwstr>False</vt:lpwstr>
  </property>
  <property fmtid="{D5CDD505-2E9C-101B-9397-08002B2CF9AE}" pid="53" name="suppress-corresponding-group">
    <vt:lpwstr>False</vt:lpwstr>
  </property>
  <property fmtid="{D5CDD505-2E9C-101B-9397-08002B2CF9AE}" pid="54" name="suppress-corresponding-paragraph">
    <vt:lpwstr>False</vt:lpwstr>
  </property>
  <property fmtid="{D5CDD505-2E9C-101B-9397-08002B2CF9AE}" pid="55" name="suppress-corresponding-postal-code">
    <vt:lpwstr>False</vt:lpwstr>
  </property>
  <property fmtid="{D5CDD505-2E9C-101B-9397-08002B2CF9AE}" pid="56" name="suppress-corresponding-region">
    <vt:lpwstr>False</vt:lpwstr>
  </property>
  <property fmtid="{D5CDD505-2E9C-101B-9397-08002B2CF9AE}" pid="57" name="suppress-credit-statement">
    <vt:lpwstr>False</vt:lpwstr>
  </property>
  <property fmtid="{D5CDD505-2E9C-101B-9397-08002B2CF9AE}" pid="58" name="suppress-disclosures-paragraph">
    <vt:lpwstr>False</vt:lpwstr>
  </property>
  <property fmtid="{D5CDD505-2E9C-101B-9397-08002B2CF9AE}" pid="59" name="suppress-keywords">
    <vt:lpwstr>False</vt:lpwstr>
  </property>
  <property fmtid="{D5CDD505-2E9C-101B-9397-08002B2CF9AE}" pid="60" name="suppress-orcid">
    <vt:lpwstr>False</vt:lpwstr>
  </property>
  <property fmtid="{D5CDD505-2E9C-101B-9397-08002B2CF9AE}" pid="61" name="suppress-short-title">
    <vt:lpwstr>False</vt:lpwstr>
  </property>
  <property fmtid="{D5CDD505-2E9C-101B-9397-08002B2CF9AE}" pid="62" name="suppress-status-change-paragraph">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emplate-partials">
    <vt:lpwstr/>
  </property>
  <property fmtid="{D5CDD505-2E9C-101B-9397-08002B2CF9AE}" pid="69" name="theme">
    <vt:lpwstr>cosmo</vt:lpwstr>
  </property>
  <property fmtid="{D5CDD505-2E9C-101B-9397-08002B2CF9AE}" pid="70" name="title-block-style">
    <vt:lpwstr>manuscript</vt:lpwstr>
  </property>
  <property fmtid="{D5CDD505-2E9C-101B-9397-08002B2CF9AE}" pid="71" name="toc-title">
    <vt:lpwstr>Table of contents</vt:lpwstr>
  </property>
  <property fmtid="{D5CDD505-2E9C-101B-9397-08002B2CF9AE}" pid="72" name="unroll-markdown-cells">
    <vt:lpwstr>True</vt:lpwstr>
  </property>
  <property fmtid="{D5CDD505-2E9C-101B-9397-08002B2CF9AE}" pid="73" name="zerocitations">
    <vt:lpwstr>False</vt:lpwstr>
  </property>
</Properties>
</file>