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6.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2025-01-23</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and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plans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This coring devices reduced the variability between each sample.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transition between low tide and high tide was binary and took about 15 minutes to be completed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tansk,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For this station, more than 395,000 hourly observations were available since 1952.</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Sentinel-2 images of the study site were selected in 2021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indices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measurments. The color indicates the progression along the experiment from the beginning (Day 1: Green), middle (Day 2: Yellow) and end (Day 3: Brown). A min-max standardization has been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were impacted by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at the start of the experiment (day 1 ;</w:t>
      </w:r>
      <w:r>
        <w:t xml:space="preserve">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Control and the Treatment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In the following section, a negative SHSI will be considered indicative of non-impacted seagrasses, while a positive SHSI will be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4" w:name="discussion"/>
    <w:p>
      <w:pPr>
        <w:pStyle w:val="Heading1"/>
      </w:pPr>
      <w:r>
        <w:t xml:space="preserve">5. Discussion</w:t>
      </w:r>
    </w:p>
    <w:bookmarkStart w:id="110"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w:t>
      </w:r>
      <w:r>
        <w:t xml:space="preserve"> </w:t>
      </w:r>
      <w:r>
        <w:t xml:space="preserve">(Arias-Ortiz et al., 2018; Deguette et al., 2022; Strydom et al., 2020)</w:t>
      </w:r>
      <w:r>
        <w:t xml:space="preserve">, little attention has been given to intertidal habitats and even less to the effect of atmospheric extreme events on intertidal seagrass. This study initiates an exploration of how intertidal seagrasses respond to the dual influence of MHWs and AHWs, underscoring the need for further investigation in this under-explored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A, B &amp; C) all demonstrated a clear decline over the experimental period. These changes suggest a progressive reduction in photosynthetic activity as well as potential structural or physiological changes to the leaves, such as degraded pigmentation or altered light absorption in the treatment group relative to the control as a consequence of the simulated HW event. In contrast, SHSI showed a marked increase, reaching up to 600% for some samples by day 3 (</w:t>
      </w:r>
      <w:hyperlink w:anchor="fig-Exp_Spectral_indices">
        <w:r>
          <w:rPr>
            <w:rStyle w:val="Hyperlink"/>
          </w:rPr>
          <w:t xml:space="preserve">Figure 7</w:t>
        </w:r>
      </w:hyperlink>
      <w:r>
        <w:t xml:space="preserve"> </w:t>
      </w:r>
      <w:r>
        <w:t xml:space="preserve">D). This positive trend in SHSI demonstrates its sensitivity at quantifing seagrass browning.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shifts,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emerged during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In healthy plant leaves, the high infrared reflectance in the near-infrared spectral range (700 - 1300 nm) is primarily due to the internal cellular structure that scatters light, as well as the absence of light absorption by pigments in that spectral range. Once sunlight enters the leaf, it is diffused through various layers, particularly the spongy mesophyll, which contains air spaces and cell walls with different refractive indices. The scattering effect in the NIR is intensified because there is minimal absorption allowing light to reflect back through the leaf surface. Once the membranes (chloroplasts, thylakoids, cell walls) are destroyed due to oxidative stress, the reflectance in the Red Edge and the NIR regions decreases significantly</w:t>
      </w:r>
      <w:r>
        <w:t xml:space="preserve"> </w:t>
      </w:r>
      <w:r>
        <w:t xml:space="preserve">(Knipling, 1970)</w:t>
      </w:r>
      <w:r>
        <w:t xml:space="preserve">.</w:t>
      </w:r>
    </w:p>
    <w:p>
      <w:pPr>
        <w:pStyle w:val="BodyText"/>
      </w:pPr>
      <w:r>
        <w:t xml:space="preserve">The influence of heat stress on seagrass enables the detection of leaves darkening using remote sensing.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 physiological and structural changes occur at the cellular level over short temporal scales, their synchronous manifestation across the entire meadow causes changes in large spatial extensions. Remote sensing, with its synoptic views and real-time acquisition capabilities, enables the monitoring of these rapid biological responses to anthropogenic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0"/>
    <w:bookmarkStart w:id="111" w:name="climate-change-and-heatwaves"/>
    <w:p>
      <w:pPr>
        <w:pStyle w:val="Heading2"/>
      </w:pPr>
      <w:r>
        <w:t xml:space="preserve">5.2 Climate change and heatwaves</w:t>
      </w:r>
    </w:p>
    <w:p>
      <w:pPr>
        <w:pStyle w:val="FirstParagraph"/>
      </w:pPr>
      <w:r>
        <w:t xml:space="preserve">The rapid global escalation of HW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is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days</w:t>
      </w:r>
      <w:r>
        <w:t xml:space="preserve"> </w:t>
      </w:r>
      <w:r>
        <w:t xml:space="preserve">(Simolo and Corti, 2022)</w:t>
      </w:r>
      <w:r>
        <w:t xml:space="preserve">.</w:t>
      </w:r>
    </w:p>
    <w:p>
      <w:pPr>
        <w:pStyle w:val="BodyText"/>
      </w:pPr>
      <w:r>
        <w:t xml:space="preserve">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1"/>
    <w:bookmarkStart w:id="112"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or</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increasing their vulnerability to AHWs. Conversely, seagrasses in the lower intertidal zone experience prolonged immersion throughout the tidal cycle, making them susceptible to extreme MHWs. As a result, both marine and atmospheric HWs can increase stress on intertidal seagrass meadows, with effects that may be intensified by tidal timing and amplitude. In our study, we observed a darkening effect in the seagrasses, using an experimental setup simulating tides with a uniformed period of daily exposure. In natural settings, however, bathymetry plays a significant role, and depending on depth variations, seagrasses may be exposed for even longer periods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the impact on meadow resilience can be quite severe if a heatwave coincides with early developmental stages, and less severe if it occurs after the biomass peak when leaf senescence has already begun.</w:t>
      </w:r>
    </w:p>
    <w:p>
      <w:pPr>
        <w:pStyle w:val="BodyText"/>
      </w:pPr>
      <w:r>
        <w:t xml:space="preserve">Environmental conditions can moderate seagrass resilience to thermal stress. Seagrass meadows located in areas benefiting from tidal cooling or positioned in the middle of their geographical ranges (i.e., far away from the warmer edges)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stress.In the present study, Sentinel-2 images acquiring before, during, and after an HW event made it possible to document the long-term impact of HW on seagrass cover (SC). During the HW, Sentinel-2 imagery suggested that impacted seagrass patches (i.e. areas showing seagrass darkening) also displayed a sharp decline in seagrass cover. The S2 image acquired one month after the HW showed that the SC of impacted seagrasses patches did not recover up to its initial level (</w:t>
      </w:r>
      <w:hyperlink w:anchor="fig-NDVI_GLI_SPC">
        <w:r>
          <w:rPr>
            <w:rStyle w:val="Hyperlink"/>
          </w:rPr>
          <w:t xml:space="preserve">Figure 10</w:t>
        </w:r>
      </w:hyperlink>
      <w:r>
        <w:t xml:space="preserve">). However, the satellite-derived SC might be misleading because field pictures did not show any significant reduction in SC during the HW (</w:t>
      </w:r>
      <w:hyperlink w:anchor="fig-QuiberonImg">
        <w:r>
          <w:rPr>
            <w:rStyle w:val="Hyperlink"/>
          </w:rPr>
          <w:t xml:space="preserve">Figure 5</w:t>
        </w:r>
      </w:hyperlink>
      <w:r>
        <w:t xml:space="preserve">). The decrease in SC apparently observed on satellite imagery was therefore most likely due to leaf darkening rather than to a real decrease in seagrass density. Seagrass darkening resulted in a decrease in NDVI, thus creating an apparent decrease in SC because seagrass cover was computed from NDVI</w:t>
      </w:r>
      <w:r>
        <w:t xml:space="preserve"> </w:t>
      </w:r>
      <w:r>
        <w:t xml:space="preserve">(Zoffoli et al., 2020)</w:t>
      </w:r>
      <w:r>
        <w:t xml:space="preserve">. The bias introduced by remote sensing in this instance reflects a limitation in accurately capturing true seagrass cover during stress events. It was only after the heatwave that leaves began to detach, leading to an actual decline in seagrass density. The delayed response in SC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bookmarkEnd w:id="112"/>
    <w:bookmarkStart w:id="113" w:name="big-picture"/>
    <w:p>
      <w:pPr>
        <w:pStyle w:val="Heading2"/>
      </w:pPr>
      <w:r>
        <w:t xml:space="preserve">5.4 Big picture</w:t>
      </w:r>
    </w:p>
    <w:p>
      <w:pPr>
        <w:pStyle w:val="FirstParagraph"/>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3"/>
    <w:bookmarkEnd w:id="114"/>
    <w:bookmarkStart w:id="115"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As climate change accelerates, with a predicted increase in the frequency and intensity of heatwaves in the next decades,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5"/>
    <w:bookmarkStart w:id="120" w:name="annexes"/>
    <w:p>
      <w:pPr>
        <w:pStyle w:val="Heading1"/>
      </w:pPr>
      <w:r>
        <w:t xml:space="preserve">7. Annexes</w:t>
      </w:r>
    </w:p>
    <w:bookmarkStart w:id="119"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7" name="Picture"/>
            <a:graphic>
              <a:graphicData uri="http://schemas.openxmlformats.org/drawingml/2006/picture">
                <pic:pic>
                  <pic:nvPicPr>
                    <pic:cNvPr descr="Figs/High_res/Temperature_compare.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9"/>
    <w:bookmarkEnd w:id="120"/>
    <w:bookmarkStart w:id="233" w:name="references"/>
    <w:p>
      <w:pPr>
        <w:pStyle w:val="Heading1"/>
      </w:pPr>
      <w:r>
        <w:t xml:space="preserve">8. References</w:t>
      </w:r>
    </w:p>
    <w:bookmarkStart w:id="232" w:name="refs"/>
    <w:bookmarkStart w:id="121"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3"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3"/>
    <w:bookmarkStart w:id="125"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4">
        <w:r>
          <w:rPr>
            <w:rStyle w:val="Hyperlink"/>
          </w:rPr>
          <w:t xml:space="preserve">https://doi.org/10.3354/meps14588</w:t>
        </w:r>
      </w:hyperlink>
    </w:p>
    <w:bookmarkEnd w:id="125"/>
    <w:bookmarkStart w:id="126"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6"/>
    <w:bookmarkStart w:id="128" w:name="ref-JSSv100i05"/>
    <w:p>
      <w:pPr>
        <w:pStyle w:val="Bibliography"/>
      </w:pPr>
      <w:r>
        <w:t xml:space="preserve">Bürkner, P.-C., 2021. Bayesian item response modeling in r with brms and stan. Journal of Statistical Software 100, 1–54.</w:t>
      </w:r>
      <w:r>
        <w:t xml:space="preserve"> </w:t>
      </w:r>
      <w:hyperlink r:id="rId127">
        <w:r>
          <w:rPr>
            <w:rStyle w:val="Hyperlink"/>
          </w:rPr>
          <w:t xml:space="preserve">https://doi.org/10.18637/jss.v100.i05</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nadell2021ecosystem"/>
    <w:p>
      <w:pPr>
        <w:pStyle w:val="Bibliography"/>
      </w:pPr>
      <w:r>
        <w:t xml:space="preserve">Canadell, J.G., Jackson, R.B., 2021. Ecosystem collapse and climate change. Springer.</w:t>
      </w:r>
    </w:p>
    <w:bookmarkEnd w:id="131"/>
    <w:bookmarkStart w:id="132"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2"/>
    <w:bookmarkStart w:id="134"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3">
        <w:r>
          <w:rPr>
            <w:rStyle w:val="Hyperlink"/>
          </w:rPr>
          <w:t xml:space="preserve">https://doi.org/10.18637/jss.v076.i01</w:t>
        </w:r>
      </w:hyperlink>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3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9"/>
    <w:bookmarkStart w:id="141"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0">
        <w:r>
          <w:rPr>
            <w:rStyle w:val="Hyperlink"/>
          </w:rPr>
          <w:t xml:space="preserve">https://doi.org/10.1038/s43247-024-01543-z</w:t>
        </w:r>
      </w:hyperlink>
    </w:p>
    <w:bookmarkEnd w:id="141"/>
    <w:bookmarkStart w:id="143"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2">
        <w:r>
          <w:rPr>
            <w:rStyle w:val="Hyperlink"/>
          </w:rPr>
          <w:t xml:space="preserve">https://doi.org/10.1016/j.rse.2024.114340</w:t>
        </w:r>
      </w:hyperlink>
    </w:p>
    <w:bookmarkEnd w:id="143"/>
    <w:bookmarkStart w:id="144"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evi2024intensity"/>
    <w:p>
      <w:pPr>
        <w:pStyle w:val="Bibliography"/>
      </w:pPr>
      <w:r>
        <w:t xml:space="preserve">Devi, R., Gouda, K., Lenka, S., 2024. Intensity duration and frequency of heat wave in different phases of MJO over india. Atmospheric Research 300, 107250.</w:t>
      </w:r>
    </w:p>
    <w:bookmarkEnd w:id="146"/>
    <w:bookmarkStart w:id="147" w:name="ref-douay2022new"/>
    <w:p>
      <w:pPr>
        <w:pStyle w:val="Bibliography"/>
      </w:pPr>
      <w:r>
        <w:t xml:space="preserve">Douay, F., Verpoorter, C., Duong, G., Spilmont, N., Gevaert, F., 2022. New hyperspectral procedure to discriminate intertidal macroalgae. Remote Sensing 14, 346.</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7"/>
    <w:bookmarkStart w:id="158" w:name="ref-green2021historical"/>
    <w:p>
      <w:pPr>
        <w:pStyle w:val="Bibliography"/>
      </w:pPr>
      <w:r>
        <w:t xml:space="preserve">Green, A.E., Unsworth, R.K., Chadwick, M.A., Jones, P.J., 2021. Historical analysis exposes catastrophic seagrass loss for the united kingdom. Frontiers in plant science 12, 629962.</w:t>
      </w:r>
    </w:p>
    <w:bookmarkEnd w:id="158"/>
    <w:bookmarkStart w:id="15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9"/>
    <w:bookmarkStart w:id="161"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60">
        <w:r>
          <w:rPr>
            <w:rStyle w:val="Hyperlink"/>
          </w:rPr>
          <w:t xml:space="preserve">https://doi.org/10.1002/aqc.4210</w:t>
        </w:r>
      </w:hyperlink>
    </w:p>
    <w:bookmarkEnd w:id="161"/>
    <w:bookmarkStart w:id="16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2"/>
    <w:bookmarkStart w:id="16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3"/>
    <w:bookmarkStart w:id="164"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4"/>
    <w:bookmarkStart w:id="166" w:name="ref-ioc_sea_level_lecy"/>
    <w:p>
      <w:pPr>
        <w:pStyle w:val="Bibliography"/>
      </w:pPr>
      <w:r>
        <w:t xml:space="preserve">IOC, 2024.</w:t>
      </w:r>
      <w:r>
        <w:t xml:space="preserve"> </w:t>
      </w:r>
      <w:hyperlink r:id="rId165">
        <w:r>
          <w:rPr>
            <w:rStyle w:val="Hyperlink"/>
          </w:rPr>
          <w:t xml:space="preserve">Intergovernmental oceanographic commission ; sea level monitoring station - le conquet, france (LECY)</w:t>
        </w:r>
      </w:hyperlink>
      <w:r>
        <w:t xml:space="preserve">.</w:t>
      </w:r>
    </w:p>
    <w:bookmarkEnd w:id="166"/>
    <w:bookmarkStart w:id="16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7"/>
    <w:bookmarkStart w:id="16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8">
        <w:r>
          <w:rPr>
            <w:rStyle w:val="Hyperlink"/>
          </w:rPr>
          <w:t xml:space="preserve">https://doi.org/10.1016/S0304-4238(05)80016-0</w:t>
        </w:r>
      </w:hyperlink>
    </w:p>
    <w:bookmarkEnd w:id="169"/>
    <w:bookmarkStart w:id="17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0">
        <w:r>
          <w:rPr>
            <w:rStyle w:val="Hyperlink"/>
          </w:rPr>
          <w:t xml:space="preserve">https://doi.org/10.1016/S0034-4257(70)80021-9</w:t>
        </w:r>
      </w:hyperlink>
    </w:p>
    <w:bookmarkEnd w:id="171"/>
    <w:bookmarkStart w:id="172" w:name="ref-hsdar"/>
    <w:p>
      <w:pPr>
        <w:pStyle w:val="Bibliography"/>
      </w:pPr>
      <w:r>
        <w:t xml:space="preserve">Lehnert, L.W., Meyer, H., Bendix, J., 2017. Hsdar: Manage, analyse and simulate hyperspectral data in r.</w:t>
      </w:r>
    </w:p>
    <w:bookmarkEnd w:id="172"/>
    <w:bookmarkStart w:id="173" w:name="ref-loarie2009velocity"/>
    <w:p>
      <w:pPr>
        <w:pStyle w:val="Bibliography"/>
      </w:pPr>
      <w:r>
        <w:t xml:space="preserve">Loarie, S.R., Duffy, P.B., Hamilton, H., Asner, G.P., Field, C.B., Ackerly, D.D., 2009. The velocity of climate change. Nature 462, 1052–1055.</w:t>
      </w:r>
    </w:p>
    <w:bookmarkEnd w:id="173"/>
    <w:bookmarkStart w:id="17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4"/>
    <w:bookmarkStart w:id="176" w:name="ref-malvern_panalytical_rs3"/>
    <w:p>
      <w:pPr>
        <w:pStyle w:val="Bibliography"/>
      </w:pPr>
      <w:r>
        <w:t xml:space="preserve">Malvern Panalytical, 2023.</w:t>
      </w:r>
      <w:r>
        <w:t xml:space="preserve"> </w:t>
      </w:r>
      <w:hyperlink r:id="rId175">
        <w:r>
          <w:rPr>
            <w:rStyle w:val="Hyperlink"/>
          </w:rPr>
          <w:t xml:space="preserve">RS3 software</w:t>
        </w:r>
      </w:hyperlink>
      <w:r>
        <w:t xml:space="preserve">.</w:t>
      </w:r>
    </w:p>
    <w:bookmarkEnd w:id="176"/>
    <w:bookmarkStart w:id="177" w:name="ref-marba2010mediterranean"/>
    <w:p>
      <w:pPr>
        <w:pStyle w:val="Bibliography"/>
      </w:pPr>
      <w:r>
        <w:t xml:space="preserve">Marbà, N., Duarte, C.M., 2010. Mediterranean warming triggers seagrass (posidonia oceanica) shoot mortality. Global change biology 16, 2366–2375.</w:t>
      </w:r>
    </w:p>
    <w:bookmarkEnd w:id="177"/>
    <w:bookmarkStart w:id="178"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8"/>
    <w:bookmarkStart w:id="179"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9"/>
    <w:bookmarkStart w:id="181"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80">
        <w:r>
          <w:rPr>
            <w:rStyle w:val="Hyperlink"/>
          </w:rPr>
          <w:t xml:space="preserve">https://doi.org/10.1038/s41598-019-50643-w</w:t>
        </w:r>
      </w:hyperlink>
    </w:p>
    <w:bookmarkEnd w:id="181"/>
    <w:bookmarkStart w:id="182"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2"/>
    <w:bookmarkStart w:id="183"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3"/>
    <w:bookmarkStart w:id="185"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4">
        <w:r>
          <w:rPr>
            <w:rStyle w:val="Hyperlink"/>
          </w:rPr>
          <w:t xml:space="preserve">https://doi.org/10.3390/rs16234383</w:t>
        </w:r>
      </w:hyperlink>
    </w:p>
    <w:bookmarkEnd w:id="185"/>
    <w:bookmarkStart w:id="187"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6">
        <w:r>
          <w:rPr>
            <w:rStyle w:val="Hyperlink"/>
          </w:rPr>
          <w:t xml:space="preserve">https://doi.org/10.3389/fmars.2019.00734</w:t>
        </w:r>
      </w:hyperlink>
    </w:p>
    <w:bookmarkEnd w:id="187"/>
    <w:bookmarkStart w:id="188"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8"/>
    <w:bookmarkStart w:id="190"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9">
        <w:r>
          <w:rPr>
            <w:rStyle w:val="Hyperlink"/>
          </w:rPr>
          <w:t xml:space="preserve">https://doi.org/10.1111/gcb.14282</w:t>
        </w:r>
      </w:hyperlink>
    </w:p>
    <w:bookmarkEnd w:id="190"/>
    <w:bookmarkStart w:id="191"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1"/>
    <w:bookmarkStart w:id="192" w:name="ref-perkins2013measurement"/>
    <w:p>
      <w:pPr>
        <w:pStyle w:val="Bibliography"/>
      </w:pPr>
      <w:r>
        <w:t xml:space="preserve">Perkins, S.E., Alexander, L.V., 2013. On the measurement of heat waves. Journal of climate 26, 4500–4517.</w:t>
      </w:r>
    </w:p>
    <w:bookmarkEnd w:id="192"/>
    <w:bookmarkStart w:id="194" w:name="ref-Rbase"/>
    <w:p>
      <w:pPr>
        <w:pStyle w:val="Bibliography"/>
      </w:pPr>
      <w:r>
        <w:t xml:space="preserve">R Core Team, 2023.</w:t>
      </w:r>
      <w:r>
        <w:t xml:space="preserve"> </w:t>
      </w:r>
      <w:hyperlink r:id="rId193">
        <w:r>
          <w:rPr>
            <w:rStyle w:val="Hyperlink"/>
          </w:rPr>
          <w:t xml:space="preserve">R: A language and environment for statistical computing</w:t>
        </w:r>
      </w:hyperlink>
      <w:r>
        <w:t xml:space="preserve">. R Foundation for Statistical Computing, Vienna, Austria.</w:t>
      </w:r>
    </w:p>
    <w:bookmarkEnd w:id="194"/>
    <w:bookmarkStart w:id="195" w:name="ref-ramesh2020seagrass"/>
    <w:p>
      <w:pPr>
        <w:pStyle w:val="Bibliography"/>
      </w:pPr>
      <w:r>
        <w:t xml:space="preserve">Ramesh, C., Mohanraju, R., 2020. Seagrass ecosystems of andaman and nicobar islands: Status and future perspective. Environmental &amp; Earth Sciences Research Journal 7.</w:t>
      </w:r>
    </w:p>
    <w:bookmarkEnd w:id="195"/>
    <w:bookmarkStart w:id="196" w:name="ref-roman2021using"/>
    <w:p>
      <w:pPr>
        <w:pStyle w:val="Bibliography"/>
      </w:pPr>
      <w:r>
        <w:t xml:space="preserve">Román, A., Tovar-Sánchez, A., Olivé, I., Navarro, G., 2021. Using a UAV-mounted multispectral camera for the monitoring of marine macrophytes. Frontiers in Marine Science 8, 722698.</w:t>
      </w:r>
    </w:p>
    <w:bookmarkEnd w:id="196"/>
    <w:bookmarkStart w:id="197" w:name="ref-rouse1974monitoring"/>
    <w:p>
      <w:pPr>
        <w:pStyle w:val="Bibliography"/>
      </w:pPr>
      <w:r>
        <w:t xml:space="preserve">Rouse, J.W., Haas, R.H., Schell, J.A., Deering, D.W., others, 1974. Monitoring vegetation systems in the great plains with ERTS. NASA Spec. Publ 351, 309.</w:t>
      </w:r>
    </w:p>
    <w:bookmarkEnd w:id="197"/>
    <w:bookmarkStart w:id="19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8">
        <w:r>
          <w:rPr>
            <w:rStyle w:val="Hyperlink"/>
          </w:rPr>
          <w:t xml:space="preserve">https://doi.org/10.1029/2023GL103540</w:t>
        </w:r>
      </w:hyperlink>
    </w:p>
    <w:bookmarkEnd w:id="199"/>
    <w:bookmarkStart w:id="20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0"/>
    <w:bookmarkStart w:id="20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1"/>
    <w:bookmarkStart w:id="20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2">
        <w:r>
          <w:rPr>
            <w:rStyle w:val="Hyperlink"/>
          </w:rPr>
          <w:t xml:space="preserve">https://doi.org/10.21105/joss.00821</w:t>
        </w:r>
      </w:hyperlink>
    </w:p>
    <w:bookmarkEnd w:id="203"/>
    <w:bookmarkStart w:id="20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4"/>
    <w:bookmarkStart w:id="206" w:name="ref-shom_ram_2022"/>
    <w:p>
      <w:pPr>
        <w:pStyle w:val="Bibliography"/>
      </w:pPr>
      <w:r>
        <w:t xml:space="preserve">SHOM, 2022.</w:t>
      </w:r>
      <w:r>
        <w:t xml:space="preserve"> </w:t>
      </w:r>
      <w:hyperlink r:id="rId20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6"/>
    <w:bookmarkStart w:id="208" w:name="Xbef41143b4d4042e58f11cfc27e216202646012"/>
    <w:p>
      <w:pPr>
        <w:pStyle w:val="Bibliography"/>
      </w:pPr>
      <w:r>
        <w:t xml:space="preserve">SHOM, 2021.</w:t>
      </w:r>
      <w:r>
        <w:t xml:space="preserve"> </w:t>
      </w:r>
      <w:hyperlink r:id="rId207">
        <w:r>
          <w:rPr>
            <w:rStyle w:val="Hyperlink"/>
          </w:rPr>
          <w:t xml:space="preserve">Service hydrographique et océanographique de la marine ; bathymétrie Litto3D® bretagne 2018-2021</w:t>
        </w:r>
      </w:hyperlink>
      <w:r>
        <w:t xml:space="preserve">.</w:t>
      </w:r>
    </w:p>
    <w:bookmarkEnd w:id="208"/>
    <w:bookmarkStart w:id="210" w:name="ref-simolo2022quantifying"/>
    <w:p>
      <w:pPr>
        <w:pStyle w:val="Bibliography"/>
      </w:pPr>
      <w:r>
        <w:t xml:space="preserve">Simolo, C., Corti, S., 2022. Quantifying the role of variability in future intensification of heat extremes. Nature Communications 13.</w:t>
      </w:r>
      <w:r>
        <w:t xml:space="preserve"> </w:t>
      </w:r>
      <w:hyperlink r:id="rId209">
        <w:r>
          <w:rPr>
            <w:rStyle w:val="Hyperlink"/>
          </w:rPr>
          <w:t xml:space="preserve">https://doi.org/10.1038/s41467-022-35571-0</w:t>
        </w:r>
      </w:hyperlink>
    </w:p>
    <w:bookmarkEnd w:id="210"/>
    <w:bookmarkStart w:id="211"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1"/>
    <w:bookmarkStart w:id="21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2">
        <w:r>
          <w:rPr>
            <w:rStyle w:val="Hyperlink"/>
          </w:rPr>
          <w:t xml:space="preserve">https://doi.org/10.1038/s41558-019-0412-1</w:t>
        </w:r>
      </w:hyperlink>
    </w:p>
    <w:bookmarkEnd w:id="213"/>
    <w:bookmarkStart w:id="21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4"/>
    <w:bookmarkStart w:id="215" w:name="ref-stan2020rstan"/>
    <w:p>
      <w:pPr>
        <w:pStyle w:val="Bibliography"/>
      </w:pPr>
      <w:r>
        <w:t xml:space="preserve">Stan Development Team, C., others, 2020. RStan: The r interface to stan. R package version 2.21. 2.</w:t>
      </w:r>
    </w:p>
    <w:bookmarkEnd w:id="215"/>
    <w:bookmarkStart w:id="217"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6">
        <w:r>
          <w:rPr>
            <w:rStyle w:val="Hyperlink"/>
          </w:rPr>
          <w:t xml:space="preserve">https://doi.org/10.1152/physiol.00040.2018</w:t>
        </w:r>
      </w:hyperlink>
    </w:p>
    <w:bookmarkEnd w:id="217"/>
    <w:bookmarkStart w:id="218"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18"/>
    <w:bookmarkStart w:id="21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9"/>
    <w:bookmarkStart w:id="220"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0"/>
    <w:bookmarkStart w:id="221" w:name="ref-unsworth2014biodiversity"/>
    <w:p>
      <w:pPr>
        <w:pStyle w:val="Bibliography"/>
      </w:pPr>
      <w:r>
        <w:t xml:space="preserve">Unsworth, R., Cullen-Unsworth, L.C., 2014. Biodiversity, ecosystem services, and the conservation of seagrass meadows. Coast. Conserv 19, 95.</w:t>
      </w:r>
    </w:p>
    <w:bookmarkEnd w:id="221"/>
    <w:bookmarkStart w:id="222" w:name="ref-unsworth2021seagrass"/>
    <w:p>
      <w:pPr>
        <w:pStyle w:val="Bibliography"/>
      </w:pPr>
      <w:r>
        <w:t xml:space="preserve">Unsworth, R.K., Butterworth, E.G., 2021. Seagrass meadows provide a significant resource in support of avifauna. Diversity 13, 363.</w:t>
      </w:r>
    </w:p>
    <w:bookmarkEnd w:id="222"/>
    <w:bookmarkStart w:id="223" w:name="ref-unsworth2022planetary"/>
    <w:p>
      <w:pPr>
        <w:pStyle w:val="Bibliography"/>
      </w:pPr>
      <w:r>
        <w:t xml:space="preserve">Unsworth, R.K., Cullen-Unsworth, L.C., Jones, B.L., Lilley, R.J., 2022. The planetary role of seagrass conservation. Science 377, 609–613.</w:t>
      </w:r>
    </w:p>
    <w:bookmarkEnd w:id="223"/>
    <w:bookmarkStart w:id="224"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4"/>
    <w:bookmarkStart w:id="22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5"/>
    <w:bookmarkStart w:id="22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6"/>
    <w:bookmarkStart w:id="227" w:name="ref-zahoor2023water"/>
    <w:p>
      <w:pPr>
        <w:pStyle w:val="Bibliography"/>
      </w:pPr>
      <w:r>
        <w:t xml:space="preserve">Zahoor, I., Mushtaq, A., 2023. Water pollution from agricultural activities: A critical global review. Int. J. Chem. Biochem. Sci 23, 164–176.</w:t>
      </w:r>
    </w:p>
    <w:bookmarkEnd w:id="227"/>
    <w:bookmarkStart w:id="22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8"/>
    <w:bookmarkStart w:id="23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9">
        <w:r>
          <w:rPr>
            <w:rStyle w:val="Hyperlink"/>
          </w:rPr>
          <w:t xml:space="preserve">https://doi.org/10.1002/rse2.319</w:t>
        </w:r>
      </w:hyperlink>
    </w:p>
    <w:bookmarkEnd w:id="230"/>
    <w:bookmarkStart w:id="23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1"/>
    <w:bookmarkEnd w:id="232"/>
    <w:bookmarkEnd w:id="233"/>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6" Target="media/rId116.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205" Target="https://diffusion.shom.fr/references-altimetriques-maritimes-ram.html" TargetMode="External" /><Relationship Type="http://schemas.openxmlformats.org/officeDocument/2006/relationships/hyperlink" Id="rId160" Target="https://doi.org/10.1002/aqc.4210" TargetMode="External" /><Relationship Type="http://schemas.openxmlformats.org/officeDocument/2006/relationships/hyperlink" Id="rId229"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80"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89"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4" Target="https://doi.org/10.3354/meps14588" TargetMode="External" /><Relationship Type="http://schemas.openxmlformats.org/officeDocument/2006/relationships/hyperlink" Id="rId186" Target="https://doi.org/10.3389/fmars.2019.00734" TargetMode="External" /><Relationship Type="http://schemas.openxmlformats.org/officeDocument/2006/relationships/hyperlink" Id="rId184"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3"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5" Target="https://diffusion.shom.fr/references-altimetriques-maritimes-ram.html" TargetMode="External" /><Relationship Type="http://schemas.openxmlformats.org/officeDocument/2006/relationships/hyperlink" Id="rId160" Target="https://doi.org/10.1002/aqc.4210" TargetMode="External" /><Relationship Type="http://schemas.openxmlformats.org/officeDocument/2006/relationships/hyperlink" Id="rId229"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80"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89"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4" Target="https://doi.org/10.3354/meps14588" TargetMode="External" /><Relationship Type="http://schemas.openxmlformats.org/officeDocument/2006/relationships/hyperlink" Id="rId186" Target="https://doi.org/10.3389/fmars.2019.00734" TargetMode="External" /><Relationship Type="http://schemas.openxmlformats.org/officeDocument/2006/relationships/hyperlink" Id="rId184"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3"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2025-01-23T16:30:45Z</dcterms:created>
  <dcterms:modified xsi:type="dcterms:W3CDTF">2025-01-23T16:30:45Z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and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2025-01-23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