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7.png" ContentType="image/png"/>
  <Override PartName="/word/media/rId31.png" ContentType="image/png"/>
  <Override PartName="/word/media/rId25.png" ContentType="image/png"/>
  <Override PartName="/word/media/rId103.png" ContentType="image/png"/>
  <Override PartName="/word/media/rId87.png" ContentType="image/png"/>
  <Override PartName="/word/media/rId49.png" ContentType="image/png"/>
  <Override PartName="/word/media/rId80.png" ContentType="image/png"/>
  <Override PartName="/word/media/rId93.png" ContentType="image/png"/>
  <Override PartName="/word/media/rId98.png" ContentType="image/png"/>
  <Override PartName="/word/media/rId54.png" ContentType="image/png"/>
  <Override PartName="/word/media/rId75.png" ContentType="image/png"/>
  <Override PartName="/word/media/rId6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2024-12-10</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w:t>
      </w:r>
      <w:r>
        <w:t xml:space="preserve"> </w:t>
      </w:r>
      <w:r>
        <w:t xml:space="preserve">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heatwaves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integrated with</w:t>
      </w:r>
      <w:r>
        <w:t xml:space="preserve"> </w:t>
      </w:r>
      <w:r>
        <w:rPr>
          <w:i/>
          <w:iCs/>
        </w:rPr>
        <w:t xml:space="preserve">in situ</w:t>
      </w:r>
      <w:r>
        <w:t xml:space="preserve"> </w:t>
      </w:r>
      <w:r>
        <w:t xml:space="preserve">satellite remote sensing data, providing critical insights into the spatial extent and temporal dynamics of heatwave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8"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June 2024. A metal sampling box was used to sample seagrass from an area of 30 cm by 15 cm and 5 cm deep, maintaining the sediment structure and avoiding damage to the rhizomes and the leaves of the seagrass (</w:t>
      </w:r>
      <w:hyperlink w:anchor="fig-design">
        <w:r>
          <w:rPr>
            <w:rStyle w:val="Hyperlink"/>
          </w:rPr>
          <w:t xml:space="preserve">Figure 1</w:t>
        </w:r>
      </w:hyperlink>
      <w:r>
        <w:t xml:space="preserve"> </w:t>
      </w:r>
      <w:r>
        <w:t xml:space="preserve">A). This sampling box limited variability between replicates. The sampled sediment, including seagrass, sediment, meiofauna, and macrofauna, was placed in plastic trays. Keeping the entire biota allowed for the natural interactions between components to be maintained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heatwave.</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t xml:space="preserve">To closely reproduce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atmospheric heatwave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heatwave conditions, starting at the seasonal baseline (18°C) and rising incrementally by 0.5°C daily to simulate the increasing temperatures during the heatwave. This aimed to reproduce the thermal stress experienced by the seagrass meadow during this heatwave event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7"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heatwaves.</w:t>
      </w:r>
    </w:p>
    <w:p>
      <w:pPr>
        <w:pStyle w:val="BodyText"/>
      </w:pPr>
      <w:r>
        <w:t xml:space="preserve">Two additional well-established radiometric indices were also tested :</w:t>
      </w:r>
    </w:p>
    <w:p>
      <w:pPr>
        <w:pStyle w:val="Compact"/>
        <w:numPr>
          <w:ilvl w:val="0"/>
          <w:numId w:val="1001"/>
        </w:numPr>
      </w:pPr>
      <w:r>
        <w:t xml:space="preserve">The 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Green Leaf Index (GLI,</w:t>
      </w:r>
      <w:r>
        <w:t xml:space="preserve"> </w:t>
      </w:r>
      <w:r>
        <w:t xml:space="preserve">Louhaichi et al. (2001)</w:t>
      </w:r>
      <w:r>
        <w:t xml:space="preserve">), a measurement of the greenness of seagrass leaves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heatwaves, we developed a new radiometric index to detect colour changes in the visible but also near-infrared slope variations, a significant spectral feature for seagrasses</w:t>
      </w:r>
      <w:r>
        <w:t xml:space="preserve"> </w:t>
      </w:r>
      <w:r>
        <w:t xml:space="preserve">(Davies et al., 2023)</w:t>
      </w:r>
      <w:r>
        <w:t xml:space="preserve">. The observed green colour of the leaves turning brown was characterized by a reduction in reflectance within the green region and a substantial decrease in the red-edge portion of the electromagnetic spectrum.</w:t>
      </w:r>
    </w:p>
    <w:p>
      <w:pPr>
        <w:pStyle w:val="BodyText"/>
      </w:pPr>
      <w:r>
        <w:t xml:space="preserve">the Seagrass Heat Shock Index (SHSI) is introduced here to measure the difference between the interpolated value between 560 and 842 nm and the observed value at 740 nm (</w:t>
      </w:r>
      <w:hyperlink w:anchor="fig-SHSI">
        <w:r>
          <w:rPr>
            <w:rStyle w:val="Hyperlink"/>
          </w:rPr>
          <w:t xml:space="preserve">Figure 3</w:t>
        </w:r>
      </w:hyperlink>
      <w:r>
        <w:t xml:space="preserve">).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map leaves browning from satellite data. When applied to unimpacted seagrass spectra, the interpolated line between 560 and 842 nm falls below the reflectance value at 740 nm, resulting in a negative SHSI value (</w:t>
      </w:r>
      <w:hyperlink w:anchor="fig-SHSI">
        <w:r>
          <w:rPr>
            <w:rStyle w:val="Hyperlink"/>
          </w:rPr>
          <w:t xml:space="preserve">Figure 3</w:t>
        </w:r>
      </w:hyperlink>
      <w:r>
        <w:t xml:space="preserve"> </w:t>
      </w:r>
      <w:r>
        <w:t xml:space="preserve">A). In contrast, when applied to impacted seagrass spectra, the interpolated line lies above the 740 nm reflectance value, resulting in a positive SHSI value (</w:t>
      </w:r>
      <w:hyperlink w:anchor="fig-SHSI">
        <w:r>
          <w:rPr>
            <w:rStyle w:val="Hyperlink"/>
          </w:rPr>
          <w:t xml:space="preserve">Figure 3</w:t>
        </w:r>
      </w:hyperlink>
      <w:r>
        <w:t xml:space="preserve"> </w:t>
      </w:r>
      <w:r>
        <w:t xml:space="preserve">B).</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Seagrass Heat Shock Index (SHSI) from Reflectance Spectra of Impacted (A) and Unimpacted (B) seagrass. Hard darkline represents the interpolation between 560 and 842 nm while the red line represents the SHSI value, mesured at 740 nm.</w:t>
            </w:r>
          </w:p>
          <w:bookmarkEnd w:id="44"/>
        </w:tc>
      </w:tr>
    </w:tbl>
    <w:bookmarkEnd w:id="45"/>
    <w:bookmarkEnd w:id="46"/>
    <w:bookmarkEnd w:id="47"/>
    <w:bookmarkEnd w:id="48"/>
    <w:bookmarkStart w:id="66" w:name="Xd96f772c51862643a253d0b9599313841505cdc"/>
    <w:p>
      <w:pPr>
        <w:pStyle w:val="Heading2"/>
      </w:pPr>
      <w:r>
        <w:t xml:space="preserve">3.2 Observation of a seagrass bed impacted by a heatwave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 in a seagrass meadow impacted by a heatwave that occured on the 10th of September 2021 in Quiberon, South Brittany, France. The red line indicates the intertidal zone (Zone between high tide and low tide, exposed during low tide), white polygons indicates land areas, the dark green polygon indicates the extent of the seagrass meadow and the olive polygons indicates saltmarshes. Greendots indicate the location of quadrat picture over unimpacted seagrasses (i.e. showing a green colour on the field), while orange-red dots indicate the location of the quadrat taken over impacted seagrasses (i.e. showing a brown colour on the field).</w:t>
            </w:r>
          </w:p>
          <w:bookmarkEnd w:id="52"/>
        </w:tc>
      </w:tr>
    </w:tbl>
    <w:bookmarkEnd w:id="53"/>
    <w:p>
      <w:pPr>
        <w:pStyle w:val="BodyText"/>
      </w:pPr>
      <w:r>
        <w:t xml:space="preserve">A field campaign, aiming to map a seagrass meadow near Quiberon (France : 46°57’32.0”N, 2°10’37.0”W), occurred on September 10th 2021 after a heatwave (</w:t>
      </w:r>
      <w:hyperlink w:anchor="fig-quiberonMap">
        <w:r>
          <w:rPr>
            <w:rStyle w:val="Hyperlink"/>
          </w:rPr>
          <w:t xml:space="preserve">Figure 4</w:t>
        </w:r>
      </w:hyperlink>
      <w:r>
        <w:t xml:space="preserve">). Seagrass leaves turning brown were observed over large areas of the meadow alongside normal green seagrass (</w:t>
      </w:r>
      <w:hyperlink w:anchor="fig-QuiberonImg">
        <w:r>
          <w:rPr>
            <w:rStyle w:val="Hyperlink"/>
          </w:rPr>
          <w:t xml:space="preserve">Figure 5</w:t>
        </w:r>
      </w:hyperlink>
      <w:r>
        <w:t xml:space="preserve">). A total of 96 Quadrat Points (QPs) were collected as georeferenced quadrat images across the meadow. These images allow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 xml:space="preserve">Figure 4</w:t>
        </w:r>
      </w:hyperlink>
      <w:r>
        <w:t xml:space="preserve">).</w:t>
      </w:r>
    </w:p>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colorations of seagrass leaves observed in the field. A: View of a green meadow; B: Quadrat with green leaves; C: Quadrat with brown leaves; D: View of a meadow with all leaves turned brown. All images were taken on September 10th, 2021, in Quiberon, South Brittany, France, after a heatwave.</w:t>
            </w:r>
          </w:p>
          <w:bookmarkEnd w:id="57"/>
        </w:tc>
      </w:tr>
    </w:tbl>
    <w:bookmarkEnd w:id="58"/>
    <w:bookmarkStart w:id="63" w:name="X8e7c484dbeabc4aff70b42e3c9729c052fb9663"/>
    <w:p>
      <w:pPr>
        <w:pStyle w:val="Heading3"/>
      </w:pPr>
      <w:r>
        <w:t xml:space="preserve">3.2.1 Temperature data and identification of the heatwave</w:t>
      </w:r>
    </w:p>
    <w:bookmarkStart w:id="60" w:name="air-temperature"/>
    <w:p>
      <w:pPr>
        <w:pStyle w:val="Heading4"/>
      </w:pPr>
      <w:r>
        <w:t xml:space="preserve">3.2.1.1 Air temperature</w:t>
      </w:r>
    </w:p>
    <w:p>
      <w:pPr>
        <w:pStyle w:val="FirstParagraph"/>
      </w:pPr>
      <w:r>
        <w:t xml:space="preserve">Since January 1st, 2024, Meteo France weather data has been freely and openly accessible. Hourly air temperature data (°C) was retrieved using a</w:t>
      </w:r>
      <w:r>
        <w:t xml:space="preserve"> </w:t>
      </w:r>
      <w:hyperlink r:id="rId59">
        <w:r>
          <w:rPr>
            <w:rStyle w:val="Hyperlink"/>
          </w:rPr>
          <w:t xml:space="preserve">custom script</w:t>
        </w:r>
      </w:hyperlink>
      <w:r>
        <w:t xml:space="preserve"> </w:t>
      </w:r>
      <w:r>
        <w:t xml:space="preserve">as no API was available at the time of this study. Data from the nearest weather station of our study site (Lorient-Lann Bihoue, 47°45’46”N 3°26’11”W) were downloaded. For this station more than 395000 observations since the February 1</w:t>
      </w:r>
      <w:r>
        <w:t xml:space="preserve">, 1952, were available.</w:t>
      </w:r>
    </w:p>
    <w:bookmarkEnd w:id="60"/>
    <w:bookmarkStart w:id="61" w:name="water-temperature"/>
    <w:p>
      <w:pPr>
        <w:pStyle w:val="Heading4"/>
      </w:pPr>
      <w:r>
        <w:t xml:space="preserve">3.2.1.2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61"/>
    <w:bookmarkStart w:id="62" w:name="heatwave-detection-and-characterization"/>
    <w:p>
      <w:pPr>
        <w:pStyle w:val="Heading4"/>
      </w:pPr>
      <w:r>
        <w:t xml:space="preserve">3.2.1.3 Heatwave detection and characterization</w:t>
      </w:r>
    </w:p>
    <w:p>
      <w:pPr>
        <w:pStyle w:val="FirstParagraph"/>
      </w:pPr>
      <w:r>
        <w:t xml:space="preserve">Marine and Atmospheric 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of both air and water temperature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62"/>
    <w:bookmarkEnd w:id="63"/>
    <w:bookmarkStart w:id="64" w:name="satellite-observation"/>
    <w:p>
      <w:pPr>
        <w:pStyle w:val="Heading3"/>
      </w:pPr>
      <w:r>
        <w:t xml:space="preserve">3.2.2 Satellite observation</w:t>
      </w:r>
    </w:p>
    <w:p>
      <w:pPr>
        <w:pStyle w:val="FirstParagraph"/>
      </w:pPr>
      <w:r>
        <w:t xml:space="preserve">Three Sentinel-2 images covering the field campaign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1st, 2021, the second image during the event on September 6th,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The reflectance value of each QPs (</w:t>
      </w:r>
      <w:hyperlink w:anchor="fig-quiberonMap">
        <w:r>
          <w:rPr>
            <w:rStyle w:val="Hyperlink"/>
          </w:rPr>
          <w:t xml:space="preserve">Figure 4</w:t>
        </w:r>
      </w:hyperlink>
      <w:r>
        <w:t xml:space="preserve">) was extracted and compared before and after the heatwave event.</w:t>
      </w:r>
    </w:p>
    <w:bookmarkEnd w:id="64"/>
    <w:bookmarkStart w:id="65" w:name="emersion-time-of-the-seagrass-meadow"/>
    <w:p>
      <w:pPr>
        <w:pStyle w:val="Heading3"/>
      </w:pPr>
      <w:r>
        <w:t xml:space="preserve">3.2.3 Emersion time of the seagrass meadow</w:t>
      </w:r>
    </w:p>
    <w:p>
      <w:pPr>
        <w:pStyle w:val="FirstParagraph"/>
      </w:pPr>
      <w:r>
        <w:t xml:space="preserve">To estimate the spatial distribution of emersion time of the seagrass meadow during low tide, bathymetric and tidal data were used. The hypothesis was that the leaf’s discoloration follwing the heatwave was related to the emersion time and intertidal topography.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with a spatial resolution of 1 m per pixel,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The correction factor for Le Crouesty port data from 2022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5"/>
    <w:bookmarkEnd w:id="66"/>
    <w:bookmarkStart w:id="67"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Replicate (henceforth Runs;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7"/>
    <w:bookmarkEnd w:id="68"/>
    <w:bookmarkStart w:id="110" w:name="results"/>
    <w:p>
      <w:pPr>
        <w:pStyle w:val="Heading1"/>
      </w:pPr>
      <w:r>
        <w:t xml:space="preserve">4. Results</w:t>
      </w:r>
    </w:p>
    <w:bookmarkStart w:id="86" w:name="laboratory-experiment-1"/>
    <w:p>
      <w:pPr>
        <w:pStyle w:val="Heading2"/>
      </w:pPr>
      <w:r>
        <w:t xml:space="preserve">4.1 Laboratory Experiment</w:t>
      </w:r>
    </w:p>
    <w:bookmarkStart w:id="74" w:name="Xe1a7b7b5932d13b2037503f99cd25d770f111ea"/>
    <w:p>
      <w:pPr>
        <w:pStyle w:val="Heading3"/>
      </w:pPr>
      <w:r>
        <w:t xml:space="preserve">4.1.1 Seagrass spectra variations related to a heatwave</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6</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simulted heatwave showed more pronounced changes in reflectance throughout the experiment (</w:t>
      </w:r>
      <w:hyperlink w:anchor="fig-Exp_Spectra">
        <w:r>
          <w:rPr>
            <w:rStyle w:val="Hyperlink"/>
          </w:rPr>
          <w:t xml:space="preserve">Figure 6</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646420" cy="282321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of</w:t>
            </w:r>
            <w:r>
              <w:t xml:space="preserve"> </w:t>
            </w:r>
            <w:r>
              <w:rPr>
                <w:i/>
                <w:iCs/>
              </w:rPr>
              <w:t xml:space="preserve">Z. noltei</w:t>
            </w:r>
            <w:r>
              <w:t xml:space="preserve"> </w:t>
            </w:r>
            <w:r>
              <w:t xml:space="preserve">leaves measured during the heatwave experiment for both the Control (Left) and the Treatment (Right). Color denotes the progression along the experiment from the beginning (Day 1: green), middle (Day 2: Yellow) and end (Day 3: Brown). A min-max standardization has been applied to each individual spectrum.</w:t>
            </w:r>
          </w:p>
          <w:bookmarkEnd w:id="72"/>
        </w:tc>
      </w:tr>
    </w:tbl>
    <w:bookmarkEnd w:id="73"/>
    <w:bookmarkEnd w:id="74"/>
    <w:bookmarkStart w:id="85" w:name="evolution-of-spectral-metrics"/>
    <w:p>
      <w:pPr>
        <w:pStyle w:val="Heading3"/>
      </w:pPr>
      <w:r>
        <w:t xml:space="preserve">4.1.2 Evolution of spectral metrics</w:t>
      </w:r>
    </w:p>
    <w:p>
      <w:pPr>
        <w:pStyle w:val="FirstParagraph"/>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7</w:t>
        </w:r>
      </w:hyperlink>
      <w:r>
        <w:t xml:space="preserve"> </w:t>
      </w:r>
      <w:r>
        <w:t xml:space="preserve">A, B and C)</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SHSI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7</w:t>
        </w:r>
      </w:hyperlink>
      <w:r>
        <w:t xml:space="preserve"> </w:t>
      </w:r>
      <w:r>
        <w:t xml:space="preserve">D).</w:t>
      </w:r>
    </w:p>
    <w:p>
      <w:pPr>
        <w:pStyle w:val="BodyText"/>
      </w:pPr>
      <w:r>
        <w:t xml:space="preserve">With a maximum deviation of 420 %, SHSI emerges as the most sensitive index for detecting seagrass browning. Consequently, only this index will be considered for the next steps of this study.</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646420" cy="564642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heatwave. A: Relative difference of the second derivative at 665 nm between the Control and the Treatment over time; B: Relative difference of the NDVI; C: Relative difference of the GLI; D: Relative difference of the SHSI. Points indicate raw data, the line represents a generalized linear model, and the shaded area is the model’s standard error. The dased lines represent no difference between the Control and the Treatment.</w:t>
            </w:r>
          </w:p>
          <w:bookmarkEnd w:id="78"/>
        </w:tc>
      </w:tr>
    </w:tbl>
    <w:bookmarkEnd w:id="79"/>
    <w:p>
      <w:pPr>
        <w:pStyle w:val="BodyText"/>
      </w:pPr>
      <w:r>
        <w:t xml:space="preserve">Looking at row SHSI values revealed clear distinctions between the Control and Treatment groups (</w:t>
      </w:r>
      <w:hyperlink w:anchor="fig-SDI_over_Time">
        <w:r>
          <w:rPr>
            <w:rStyle w:val="Hyperlink"/>
          </w:rPr>
          <w:t xml:space="preserve">Figure 8</w:t>
        </w:r>
      </w:hyperlink>
      <w:r>
        <w:t xml:space="preserve">). At day 1, the SHSI of the Control and Treatment groups are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w:t>
      </w:r>
    </w:p>
    <w:bookmarkStart w:id="84" w:name="cell-fig-SDI_over_Time"/>
    <w:tbl>
      <w:tblPr>
        <w:tblStyle w:val="Table"/>
        <w:tblW w:type="pct" w:w="5000"/>
        <w:tblLayout w:type="fixed"/>
        <w:tblLook w:firstRow="0" w:lastRow="0" w:firstColumn="0" w:lastColumn="0" w:noHBand="0" w:noVBand="0" w:val="0000"/>
      </w:tblPr>
      <w:tblGrid>
        <w:gridCol w:w="7920"/>
      </w:tblGrid>
      <w:tr>
        <w:tc>
          <w:tcPr/>
          <w:bookmarkStart w:id="83" w:name="fig-SDI_over_Time"/>
          <w:p>
            <w:pPr>
              <w:pStyle w:val="Compact"/>
              <w:jc w:val="center"/>
            </w:pPr>
            <w:r>
              <w:drawing>
                <wp:inline>
                  <wp:extent cx="5646420" cy="3387852"/>
                  <wp:effectExtent b="0" l="0" r="0" t="0"/>
                  <wp:docPr descr="" title="" id="81" name="Picture"/>
                  <a:graphic>
                    <a:graphicData uri="http://schemas.openxmlformats.org/drawingml/2006/picture">
                      <pic:pic>
                        <pic:nvPicPr>
                          <pic:cNvPr descr="Figs/Low_res/SDI_exp_overtime.png" id="82" name="Picture"/>
                          <pic:cNvPicPr>
                            <a:picLocks noChangeArrowheads="1" noChangeAspect="1"/>
                          </pic:cNvPicPr>
                        </pic:nvPicPr>
                        <pic:blipFill>
                          <a:blip r:embed="rId80"/>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and standard deviation of the Seagrass Heat Shock Index (SHSI) across expimental runs, at each day of the experiment. The green line shows values of the Control group while the orange line indicates values of the Treatment group.</w:t>
            </w:r>
          </w:p>
          <w:bookmarkEnd w:id="83"/>
        </w:tc>
      </w:tr>
    </w:tbl>
    <w:bookmarkEnd w:id="84"/>
    <w:bookmarkEnd w:id="85"/>
    <w:bookmarkEnd w:id="86"/>
    <w:bookmarkStart w:id="109" w:name="Xdf073e99b5a53e6d679024e75096f6174ef2303"/>
    <w:p>
      <w:pPr>
        <w:pStyle w:val="Heading2"/>
      </w:pPr>
      <w:r>
        <w:t xml:space="preserve">4.2 Heatwave of September 2021 in Quiberon, South Brittany</w:t>
      </w:r>
    </w:p>
    <w:bookmarkStart w:id="92" w:name="spectral-changes"/>
    <w:p>
      <w:pPr>
        <w:pStyle w:val="Heading3"/>
      </w:pPr>
      <w:r>
        <w:t xml:space="preserve">4.2.1 Spectral changes</w:t>
      </w:r>
    </w:p>
    <w:p>
      <w:pPr>
        <w:pStyle w:val="FirstParagraph"/>
      </w:pPr>
      <w:r>
        <w:t xml:space="preserve">The Sentinel-2 images analyzed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the 4th of September and lasted until the 7th of September, while the Marine Heat Wave (MHW) started on the 3rd of September and ended on the 8th of September 2021 (</w:t>
      </w:r>
      <w:hyperlink w:anchor="fig-S2_comparison">
        <w:r>
          <w:rPr>
            <w:rStyle w:val="Hyperlink"/>
          </w:rPr>
          <w:t xml:space="preserve">Figure 9</w:t>
        </w:r>
      </w:hyperlink>
      <w:r>
        <w:t xml:space="preserve"> </w:t>
      </w:r>
      <w:r>
        <w:t xml:space="preserve">B). Both air and water temperatures experienced a sharp increase. Between September 1st and 6th, the daily average air temperature rose from 22.2 to 30.8 while the daily average water temperature increased from 17.7 to 19.3 °C. During this period, the 90th percentile temperatures were 25.3 °C for air and 18.8 °C for water. The air temperature anomaly of 9.9 °C classified the atmospheric heatwave as a strong event, whereas the 1.7 °C anomaly in water temperature classified the marine heatwave as a moderate event.</w:t>
      </w:r>
    </w:p>
    <w:p>
      <w:pPr>
        <w:pStyle w:val="BodyText"/>
      </w:pPr>
      <w:r>
        <w:t xml:space="preserve">The Sentinel-2 image from the 6th of September, captured two days after the start of the AHW already revealed brown seagrass leaves in the true-color composition (</w:t>
      </w:r>
      <w:hyperlink w:anchor="fig-S2_comparison">
        <w:r>
          <w:rPr>
            <w:rStyle w:val="Hyperlink"/>
          </w:rPr>
          <w:t xml:space="preserve">Figure 9</w:t>
        </w:r>
      </w:hyperlink>
      <w:r>
        <w:t xml:space="preserve"> </w:t>
      </w:r>
      <w:r>
        <w:t xml:space="preserve">C). This contrasts with the reference image from the 1st of September 2021, taken before the heatwave began (</w:t>
      </w:r>
      <w:hyperlink w:anchor="fig-S2_comparison">
        <w:r>
          <w:rPr>
            <w:rStyle w:val="Hyperlink"/>
          </w:rPr>
          <w:t xml:space="preserve">Figure 9</w:t>
        </w:r>
      </w:hyperlink>
      <w:r>
        <w:t xml:space="preserve"> </w:t>
      </w:r>
      <w:r>
        <w:t xml:space="preserve">A), where no brown patches can be observed. Before the event,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w:t>
      </w:r>
      <w:r>
        <w:t xml:space="preserve"> </w:t>
      </w:r>
      <w:r>
        <w:t xml:space="preserve">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areas within the meadow could also be observered in the true color composition (</w:t>
      </w:r>
      <w:hyperlink w:anchor="fig-S2_comparison">
        <w:r>
          <w:rPr>
            <w:rStyle w:val="Hyperlink"/>
          </w:rPr>
          <w:t xml:space="preserve">Figure 9</w:t>
        </w:r>
      </w:hyperlink>
      <w:r>
        <w:t xml:space="preserve"> </w:t>
      </w:r>
      <w:r>
        <w:t xml:space="preserve">C)</w:t>
      </w:r>
    </w:p>
    <w:bookmarkStart w:id="91" w:name="cell-fig-S2_comparison"/>
    <w:tbl>
      <w:tblPr>
        <w:tblStyle w:val="Table"/>
        <w:tblW w:type="pct" w:w="5000"/>
        <w:tblLayout w:type="fixed"/>
        <w:tblLook w:firstRow="0" w:lastRow="0" w:firstColumn="0" w:lastColumn="0" w:noHBand="0" w:noVBand="0" w:val="0000"/>
      </w:tblPr>
      <w:tblGrid>
        <w:gridCol w:w="7920"/>
      </w:tblGrid>
      <w:tr>
        <w:tc>
          <w:tcPr/>
          <w:bookmarkStart w:id="90" w:name="fig-S2_comparison"/>
          <w:p>
            <w:pPr>
              <w:pStyle w:val="Compact"/>
              <w:jc w:val="center"/>
            </w:pPr>
            <w:r>
              <w:drawing>
                <wp:inline>
                  <wp:extent cx="5646420" cy="5392331"/>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Quadrat Points (QPs) collected on the 10th of September 2021, with unimpacted seagrass in green and impacted seagrass in orange; B: Detection of heatwave events based on both Air Temperature and Sea Surface Temperature (SST). The solid line represents the daily average temperature, while the dashed line indicates the 90th percentile of the climatology. Coloured areas identify heatwaves (marine in blue and atmospherical in red). The two vertical dashed lines represent the acquisition dates of the two Sentinel-2 images used in this analysis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90"/>
        </w:tc>
      </w:tr>
    </w:tbl>
    <w:bookmarkEnd w:id="91"/>
    <w:bookmarkEnd w:id="92"/>
    <w:bookmarkStart w:id="108" w:name="shsi-metric-applied-to-sentinel-2"/>
    <w:p>
      <w:pPr>
        <w:pStyle w:val="Heading3"/>
      </w:pPr>
      <w:r>
        <w:t xml:space="preserve">4.2.2 SHSI metric applied to Sentinel-2</w:t>
      </w:r>
    </w:p>
    <w:p>
      <w:pPr>
        <w:pStyle w:val="FirstParagraph"/>
      </w:pPr>
      <w:r>
        <w:t xml:space="preserve">Using Sentinel-2 data and the QPs, SHSI was calculated for green seagrass unaffected by the heatwave (QPs unimpacted</w:t>
      </w:r>
      <w:r>
        <w:t xml:space="preserve"> </w:t>
      </w:r>
      <w:hyperlink w:anchor="fig-S2_comparison">
        <w:r>
          <w:rPr>
            <w:rStyle w:val="Hyperlink"/>
          </w:rPr>
          <w:t xml:space="preserve">Figure 9</w:t>
        </w:r>
      </w:hyperlink>
      <w:r>
        <w:t xml:space="preserve"> </w:t>
      </w:r>
      <w:r>
        <w:t xml:space="preserve">C), showing minimal changes of 3 % between the 1st and the 6th of September (</w:t>
      </w:r>
      <w:hyperlink w:anchor="fig-NDVI_GLI_SPC">
        <w:r>
          <w:rPr>
            <w:rStyle w:val="Hyperlink"/>
          </w:rPr>
          <w:t xml:space="preserve">Figure 10</w:t>
        </w:r>
      </w:hyperlink>
      <w:r>
        <w:t xml:space="preserve">). In contrast, seagrass impacted by the heatwave and turned brown (QPs impacted</w:t>
      </w:r>
      <w:r>
        <w:t xml:space="preserve"> </w:t>
      </w:r>
      <w:hyperlink w:anchor="fig-S2_comparison">
        <w:r>
          <w:rPr>
            <w:rStyle w:val="Hyperlink"/>
          </w:rPr>
          <w:t xml:space="preserve">Figure 9</w:t>
        </w:r>
      </w:hyperlink>
      <w:r>
        <w:t xml:space="preserve"> </w:t>
      </w:r>
      <w:r>
        <w:t xml:space="preserve">C) exhibited significant SHSI changes, showing an increase of 97 % during the heatwave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7" w:name="cell-fig-NDVI_GLI_SPC"/>
    <w:tbl>
      <w:tblPr>
        <w:tblStyle w:val="Table"/>
        <w:tblW w:type="pct" w:w="5000"/>
        <w:tblLayout w:type="fixed"/>
        <w:tblLook w:firstRow="0" w:lastRow="0" w:firstColumn="0" w:lastColumn="0" w:noHBand="0" w:noVBand="0" w:val="0000"/>
      </w:tblPr>
      <w:tblGrid>
        <w:gridCol w:w="7920"/>
      </w:tblGrid>
      <w:tr>
        <w:tc>
          <w:tcPr/>
          <w:bookmarkStart w:id="96" w:name="fig-NDVI_GLI_SPC"/>
          <w:p>
            <w:pPr>
              <w:pStyle w:val="Compact"/>
              <w:jc w:val="center"/>
            </w:pPr>
            <w:r>
              <w:drawing>
                <wp:inline>
                  <wp:extent cx="5646420" cy="2823210"/>
                  <wp:effectExtent b="0" l="0" r="0" t="0"/>
                  <wp:docPr descr="" title="" id="94" name="Picture"/>
                  <a:graphic>
                    <a:graphicData uri="http://schemas.openxmlformats.org/drawingml/2006/picture">
                      <pic:pic>
                        <pic:nvPicPr>
                          <pic:cNvPr descr="Figs/Low_res/SHSI_S2.png" id="95" name="Picture"/>
                          <pic:cNvPicPr>
                            <a:picLocks noChangeArrowheads="1" noChangeAspect="1"/>
                          </pic:cNvPicPr>
                        </pic:nvPicPr>
                        <pic:blipFill>
                          <a:blip r:embed="rId9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Seagrass Heat Shock Index (SHSI) estimated from Sentinel-2, before (1st of September 2021), during (6th of September 2021) and after (8th of October 2021) a heatwave in the seagrass meadow of Quiberon (South Brittany, France). The relative SHSI difference was calulated using the 1st of September as a reference. SHSI was calculated for two categories of Quardrat Points (QPs;</w:t>
            </w:r>
            <w:r>
              <w:t xml:space="preserve"> </w:t>
            </w:r>
            <w:hyperlink w:anchor="fig-S2_comparison">
              <w:r>
                <w:rPr>
                  <w:rStyle w:val="Hyperlink"/>
                </w:rPr>
                <w:t xml:space="preserve">Figure 9</w:t>
              </w:r>
            </w:hyperlink>
            <w:r>
              <w:t xml:space="preserve">): unimpacted seagrass (green) and impacted seagrass (orange). Points represent the predicted value of the metric using a Generalized Linear Model (GLM), while th error bar repsents the 89% confidence interval.</w:t>
            </w:r>
          </w:p>
          <w:bookmarkEnd w:id="96"/>
        </w:tc>
      </w:tr>
    </w:tbl>
    <w:bookmarkEnd w:id="97"/>
    <w:p>
      <w:pPr>
        <w:pStyle w:val="BodyText"/>
      </w:pPr>
      <w:r>
        <w:t xml:space="preserve">Using the SHSI (</w:t>
      </w:r>
      <w:hyperlink w:anchor="eq-SDI">
        <w:r>
          <w:rPr>
            <w:rStyle w:val="Hyperlink"/>
          </w:rPr>
          <w:t xml:space="preserve">Equation 3</w:t>
        </w:r>
      </w:hyperlink>
      <w:r>
        <w:t xml:space="preserve">), we detected large darkened seagrass patches in the meadow at the 6th of September (</w:t>
      </w:r>
      <w:hyperlink w:anchor="fig-Map_darkening_Bathy">
        <w:r>
          <w:rPr>
            <w:rStyle w:val="Hyperlink"/>
          </w:rPr>
          <w:t xml:space="preserve">Figure 11</w:t>
        </w:r>
      </w:hyperlink>
      <w:r>
        <w:t xml:space="preserve">). A total of 26.9 hectares of seagrass turned brown betwwen the 1st and the 6th of September. The largest brown patch covered nearly 8 hectares. Overall, 24 % of the total seagrass meadow area showed signs of darkening between the 1st and 6th of September 2021.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the 8th of October, previously darkened areas regained their green color (</w:t>
      </w:r>
      <w:hyperlink w:anchor="fig-Map_darkening_Bathy">
        <w:r>
          <w:rPr>
            <w:rStyle w:val="Hyperlink"/>
          </w:rPr>
          <w:t xml:space="preserve">Figure 11</w:t>
        </w:r>
      </w:hyperlink>
      <w:r>
        <w:t xml:space="preserve"> </w:t>
      </w:r>
      <w:r>
        <w:t xml:space="preserve">C).</w:t>
      </w:r>
    </w:p>
    <w:bookmarkStart w:id="102" w:name="cell-fig-Map_darkening_Bathy"/>
    <w:tbl>
      <w:tblPr>
        <w:tblStyle w:val="Table"/>
        <w:tblW w:type="pct" w:w="5000"/>
        <w:tblLayout w:type="fixed"/>
        <w:tblLook w:firstRow="0" w:lastRow="0" w:firstColumn="0" w:lastColumn="0" w:noHBand="0" w:noVBand="0" w:val="0000"/>
      </w:tblPr>
      <w:tblGrid>
        <w:gridCol w:w="7920"/>
      </w:tblGrid>
      <w:tr>
        <w:tc>
          <w:tcPr/>
          <w:bookmarkStart w:id="101" w:name="fig-Map_darkening_Bathy"/>
          <w:p>
            <w:pPr>
              <w:pStyle w:val="Compact"/>
              <w:jc w:val="center"/>
            </w:pPr>
            <w:r>
              <w:drawing>
                <wp:inline>
                  <wp:extent cx="5646420" cy="4076715"/>
                  <wp:effectExtent b="0" l="0" r="0" t="0"/>
                  <wp:docPr descr="" title="" id="99" name="Picture"/>
                  <a:graphic>
                    <a:graphicData uri="http://schemas.openxmlformats.org/drawingml/2006/picture">
                      <pic:pic>
                        <pic:nvPicPr>
                          <pic:cNvPr descr="Figs/Low_res/SHSI_S2_map.png" id="100" name="Picture"/>
                          <pic:cNvPicPr>
                            <a:picLocks noChangeArrowheads="1" noChangeAspect="1"/>
                          </pic:cNvPicPr>
                        </pic:nvPicPr>
                        <pic:blipFill>
                          <a:blip r:embed="rId98"/>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During (B) and After (C) the heatwave. Seagrass Heat Shock Index applyed on Sentinel-2 images Before (D), During (E) and After (F) the heatwave.</w:t>
            </w:r>
          </w:p>
          <w:bookmarkEnd w:id="101"/>
        </w:tc>
      </w:tr>
    </w:tbl>
    <w:bookmarkEnd w:id="102"/>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12</w:t>
        </w:r>
      </w:hyperlink>
      <w:r>
        <w:t xml:space="preserve">). During the heatwave, no significant darkening occurred with less than 13 hours of daily exposure. However, above 13 hours, seagrasses began to darken, reaching peak darkening at around 14.5 hours of daily exposure.</w:t>
      </w:r>
    </w:p>
    <w:bookmarkStart w:id="107" w:name="cell-fig-GAM_Emersion"/>
    <w:tbl>
      <w:tblPr>
        <w:tblStyle w:val="Table"/>
        <w:tblW w:type="pct" w:w="5000"/>
        <w:tblLayout w:type="fixed"/>
        <w:tblLook w:firstRow="0" w:lastRow="0" w:firstColumn="0" w:lastColumn="0" w:noHBand="0" w:noVBand="0" w:val="0000"/>
      </w:tblPr>
      <w:tblGrid>
        <w:gridCol w:w="7920"/>
      </w:tblGrid>
      <w:tr>
        <w:tc>
          <w:tcPr/>
          <w:bookmarkStart w:id="106" w:name="fig-GAM_Emersion"/>
          <w:p>
            <w:pPr>
              <w:pStyle w:val="Compact"/>
              <w:jc w:val="center"/>
            </w:pPr>
            <w:r>
              <w:drawing>
                <wp:inline>
                  <wp:extent cx="5646420" cy="2823210"/>
                  <wp:effectExtent b="0" l="0" r="0" t="0"/>
                  <wp:docPr descr="" title="" id="104" name="Picture"/>
                  <a:graphic>
                    <a:graphicData uri="http://schemas.openxmlformats.org/drawingml/2006/picture">
                      <pic:pic>
                        <pic:nvPicPr>
                          <pic:cNvPr descr="Figs/Low_res/GAM_emersion.png" id="105" name="Picture"/>
                          <pic:cNvPicPr>
                            <a:picLocks noChangeArrowheads="1" noChangeAspect="1"/>
                          </pic:cNvPicPr>
                        </pic:nvPicPr>
                        <pic:blipFill>
                          <a:blip r:embed="rId10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Seagrass Darkening Index (SDI) before and during the heatwave events as a function of the daily emersion time of seagrass. The line represents a Generalized Additive Model (GAM) prediction, and the shaded area indicates the standard error. Shaded points represent raw data, each corresponding to a single pixel of the meadow.</w:t>
            </w:r>
          </w:p>
          <w:bookmarkEnd w:id="106"/>
        </w:tc>
      </w:tr>
    </w:tbl>
    <w:bookmarkEnd w:id="107"/>
    <w:bookmarkEnd w:id="108"/>
    <w:bookmarkEnd w:id="109"/>
    <w:bookmarkEnd w:id="110"/>
    <w:bookmarkStart w:id="115" w:name="discussion"/>
    <w:p>
      <w:pPr>
        <w:pStyle w:val="Heading1"/>
      </w:pPr>
      <w:r>
        <w:t xml:space="preserve">5. Discussion</w:t>
      </w:r>
    </w:p>
    <w:bookmarkStart w:id="111"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7</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1"/>
    <w:bookmarkStart w:id="112" w:name="climate-change-and-heatwaves"/>
    <w:p>
      <w:pPr>
        <w:pStyle w:val="Heading2"/>
      </w:pPr>
      <w:r>
        <w:t xml:space="preserve">5.2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2"/>
    <w:bookmarkStart w:id="113"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10</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5</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3"/>
    <w:bookmarkStart w:id="114"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4"/>
    <w:bookmarkEnd w:id="115"/>
    <w:bookmarkStart w:id="116"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6"/>
    <w:bookmarkStart w:id="121" w:name="annexes"/>
    <w:p>
      <w:pPr>
        <w:pStyle w:val="Heading1"/>
      </w:pPr>
      <w:r>
        <w:t xml:space="preserve">7. Annexes</w:t>
      </w:r>
    </w:p>
    <w:bookmarkStart w:id="120"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8" name="Picture"/>
            <a:graphic>
              <a:graphicData uri="http://schemas.openxmlformats.org/drawingml/2006/picture">
                <pic:pic>
                  <pic:nvPicPr>
                    <pic:cNvPr descr="Figs/High_res/Temperature_compare.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20"/>
    <w:bookmarkEnd w:id="121"/>
    <w:bookmarkStart w:id="229" w:name="references"/>
    <w:p>
      <w:pPr>
        <w:pStyle w:val="Heading1"/>
      </w:pPr>
      <w:r>
        <w:t xml:space="preserve">8. References</w:t>
      </w:r>
    </w:p>
    <w:bookmarkStart w:id="228" w:name="refs"/>
    <w:bookmarkStart w:id="122"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2"/>
    <w:bookmarkStart w:id="123"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3"/>
    <w:bookmarkStart w:id="124"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4"/>
    <w:bookmarkStart w:id="126"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5">
        <w:r>
          <w:rPr>
            <w:rStyle w:val="Hyperlink"/>
          </w:rPr>
          <w:t xml:space="preserve">https://doi.org/10.3354/meps14588</w:t>
        </w:r>
      </w:hyperlink>
    </w:p>
    <w:bookmarkEnd w:id="126"/>
    <w:bookmarkStart w:id="127"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7"/>
    <w:bookmarkStart w:id="129" w:name="ref-JSSv100i05"/>
    <w:p>
      <w:pPr>
        <w:pStyle w:val="Bibliography"/>
      </w:pPr>
      <w:r>
        <w:t xml:space="preserve">Bürkner, P.-C., 2021. Bayesian item response modeling in r with brms and stan. Journal of Statistical Software 100, 1–54.</w:t>
      </w:r>
      <w:r>
        <w:t xml:space="preserve"> </w:t>
      </w:r>
      <w:hyperlink r:id="rId128">
        <w:r>
          <w:rPr>
            <w:rStyle w:val="Hyperlink"/>
          </w:rPr>
          <w:t xml:space="preserve">https://doi.org/10.18637/jss.v100.i05</w:t>
        </w:r>
      </w:hyperlink>
    </w:p>
    <w:bookmarkEnd w:id="129"/>
    <w:bookmarkStart w:id="130"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0"/>
    <w:bookmarkStart w:id="131"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1"/>
    <w:bookmarkStart w:id="132" w:name="ref-canadell2021ecosystem"/>
    <w:p>
      <w:pPr>
        <w:pStyle w:val="Bibliography"/>
      </w:pPr>
      <w:r>
        <w:t xml:space="preserve">Canadell, J.G., Jackson, R.B., 2021. Ecosystem collapse and climate change. Springer.</w:t>
      </w:r>
    </w:p>
    <w:bookmarkEnd w:id="132"/>
    <w:bookmarkStart w:id="134"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3">
        <w:r>
          <w:rPr>
            <w:rStyle w:val="Hyperlink"/>
          </w:rPr>
          <w:t xml:space="preserve">https://doi.org/10.18637/jss.v076.i01</w:t>
        </w:r>
      </w:hyperlink>
    </w:p>
    <w:bookmarkEnd w:id="134"/>
    <w:bookmarkStart w:id="136"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5">
        <w:r>
          <w:rPr>
            <w:rStyle w:val="Hyperlink"/>
          </w:rPr>
          <w:t xml:space="preserve">https://doi.org/10.48670/moi-00311</w:t>
        </w:r>
      </w:hyperlink>
    </w:p>
    <w:bookmarkEnd w:id="136"/>
    <w:bookmarkStart w:id="138"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7">
        <w:r>
          <w:rPr>
            <w:rStyle w:val="Hyperlink"/>
          </w:rPr>
          <w:t xml:space="preserve">https://doi.org/10.1007/s11099-007-0084-3</w:t>
        </w:r>
      </w:hyperlink>
    </w:p>
    <w:bookmarkEnd w:id="138"/>
    <w:bookmarkStart w:id="139"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9"/>
    <w:bookmarkStart w:id="141"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0">
        <w:r>
          <w:rPr>
            <w:rStyle w:val="Hyperlink"/>
          </w:rPr>
          <w:t xml:space="preserve">https://doi.org/10.1038/s43247-024-01543-z</w:t>
        </w:r>
      </w:hyperlink>
    </w:p>
    <w:bookmarkEnd w:id="141"/>
    <w:bookmarkStart w:id="143"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2">
        <w:r>
          <w:rPr>
            <w:rStyle w:val="Hyperlink"/>
          </w:rPr>
          <w:t xml:space="preserve">https://doi.org/10.1016/j.rse.2024.114340</w:t>
        </w:r>
      </w:hyperlink>
    </w:p>
    <w:bookmarkEnd w:id="143"/>
    <w:bookmarkStart w:id="144"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4"/>
    <w:bookmarkStart w:id="145" w:name="ref-deguette2022physiological"/>
    <w:p>
      <w:pPr>
        <w:pStyle w:val="Bibliography"/>
      </w:pPr>
      <w:r>
        <w:t xml:space="preserve">Deguette, A., Barrote, I., Silva, J., 2022. Physiological and morphological effects of a marine heatwave on the seagrass cymodocea nodosa. Scientific Reports 12, 7950.</w:t>
      </w:r>
    </w:p>
    <w:bookmarkEnd w:id="145"/>
    <w:bookmarkStart w:id="146" w:name="ref-devi2024intensity"/>
    <w:p>
      <w:pPr>
        <w:pStyle w:val="Bibliography"/>
      </w:pPr>
      <w:r>
        <w:t xml:space="preserve">Devi, R., Gouda, K., Lenka, S., 2024. Intensity duration and frequency of heat wave in different phases of MJO over india. Atmospheric Research 300, 107250.</w:t>
      </w:r>
    </w:p>
    <w:bookmarkEnd w:id="146"/>
    <w:bookmarkStart w:id="147" w:name="ref-douay2022new"/>
    <w:p>
      <w:pPr>
        <w:pStyle w:val="Bibliography"/>
      </w:pPr>
      <w:r>
        <w:t xml:space="preserve">Douay, F., Verpoorter, C., Duong, G., Spilmont, N., Gevaert, F., 2022. New hyperspectral procedure to discriminate intertidal macroalgae. Remote Sensing 14, 346.</w:t>
      </w:r>
    </w:p>
    <w:bookmarkEnd w:id="147"/>
    <w:bookmarkStart w:id="149" w:name="ref-electricblue_intertidal_chamber"/>
    <w:p>
      <w:pPr>
        <w:pStyle w:val="Bibliography"/>
      </w:pPr>
      <w:r>
        <w:t xml:space="preserve">Electric Blue, 2023.</w:t>
      </w:r>
      <w:r>
        <w:t xml:space="preserve"> </w:t>
      </w:r>
      <w:hyperlink r:id="rId148">
        <w:r>
          <w:rPr>
            <w:rStyle w:val="Hyperlink"/>
          </w:rPr>
          <w:t xml:space="preserve">Intertidal chamber</w:t>
        </w:r>
      </w:hyperlink>
      <w:r>
        <w:t xml:space="preserve">.</w:t>
      </w:r>
    </w:p>
    <w:bookmarkEnd w:id="149"/>
    <w:bookmarkStart w:id="150" w:name="ref-sen2cor"/>
    <w:p>
      <w:pPr>
        <w:pStyle w:val="Bibliography"/>
      </w:pPr>
      <w:r>
        <w:t xml:space="preserve">European Space Agency, 2024b. Sen2Cor: Sentinel-2 atmospheric correction processor.</w:t>
      </w:r>
    </w:p>
    <w:bookmarkEnd w:id="150"/>
    <w:bookmarkStart w:id="151" w:name="ref-copernicus_sentinel2"/>
    <w:p>
      <w:pPr>
        <w:pStyle w:val="Bibliography"/>
      </w:pPr>
      <w:r>
        <w:t xml:space="preserve">European Space Agency, 2024a. Copernicus open access hub.</w:t>
      </w:r>
    </w:p>
    <w:bookmarkEnd w:id="151"/>
    <w:bookmarkStart w:id="15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2"/>
    <w:bookmarkStart w:id="15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3"/>
    <w:bookmarkStart w:id="15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4"/>
    <w:bookmarkStart w:id="155"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5"/>
    <w:bookmarkStart w:id="156" w:name="ref-gardner2018global"/>
    <w:p>
      <w:pPr>
        <w:pStyle w:val="Bibliography"/>
      </w:pPr>
      <w:r>
        <w:t xml:space="preserve">Gardner, R.C., Finlayson, C., 2018. Global wetland outlook: State of the world’s wetlands and their services to people, in: Ramsar Convention Secretariat. pp. 2020–5.</w:t>
      </w:r>
    </w:p>
    <w:bookmarkEnd w:id="156"/>
    <w:bookmarkStart w:id="15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7"/>
    <w:bookmarkStart w:id="159"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8">
        <w:r>
          <w:rPr>
            <w:rStyle w:val="Hyperlink"/>
          </w:rPr>
          <w:t xml:space="preserve">https://doi.org/10.1002/aqc.4210</w:t>
        </w:r>
      </w:hyperlink>
    </w:p>
    <w:bookmarkEnd w:id="159"/>
    <w:bookmarkStart w:id="160"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0"/>
    <w:bookmarkStart w:id="161"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1"/>
    <w:bookmarkStart w:id="163"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2">
        <w:r>
          <w:rPr>
            <w:rStyle w:val="Hyperlink"/>
          </w:rPr>
          <w:t xml:space="preserve">https://doi.org/10.1073/pnas.0402642101</w:t>
        </w:r>
      </w:hyperlink>
    </w:p>
    <w:bookmarkEnd w:id="163"/>
    <w:bookmarkStart w:id="165" w:name="ref-ioc_sea_level_lecy"/>
    <w:p>
      <w:pPr>
        <w:pStyle w:val="Bibliography"/>
      </w:pPr>
      <w:r>
        <w:t xml:space="preserve">IOC, 2024.</w:t>
      </w:r>
      <w:r>
        <w:t xml:space="preserve"> </w:t>
      </w:r>
      <w:hyperlink r:id="rId164">
        <w:r>
          <w:rPr>
            <w:rStyle w:val="Hyperlink"/>
          </w:rPr>
          <w:t xml:space="preserve">Intergovernmental oceanographic commission ; sea level monitoring station - le conquet, france (LECY)</w:t>
        </w:r>
      </w:hyperlink>
      <w:r>
        <w:t xml:space="preserve">.</w:t>
      </w:r>
    </w:p>
    <w:bookmarkEnd w:id="165"/>
    <w:bookmarkStart w:id="166"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6"/>
    <w:bookmarkStart w:id="168"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7">
        <w:r>
          <w:rPr>
            <w:rStyle w:val="Hyperlink"/>
          </w:rPr>
          <w:t xml:space="preserve">https://doi.org/10.1016/S0304-4238(05)80016-0</w:t>
        </w:r>
      </w:hyperlink>
    </w:p>
    <w:bookmarkEnd w:id="168"/>
    <w:bookmarkStart w:id="17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9">
        <w:r>
          <w:rPr>
            <w:rStyle w:val="Hyperlink"/>
          </w:rPr>
          <w:t xml:space="preserve">https://doi.org/10.1016/S0034-4257(70)80021-9</w:t>
        </w:r>
      </w:hyperlink>
    </w:p>
    <w:bookmarkEnd w:id="170"/>
    <w:bookmarkStart w:id="171" w:name="ref-hsdar"/>
    <w:p>
      <w:pPr>
        <w:pStyle w:val="Bibliography"/>
      </w:pPr>
      <w:r>
        <w:t xml:space="preserve">Lehnert, L.W., Meyer, H., Bendix, J., 2017. Hsdar: Manage, analyse and simulate hyperspectral data in r.</w:t>
      </w:r>
    </w:p>
    <w:bookmarkEnd w:id="171"/>
    <w:bookmarkStart w:id="172" w:name="ref-loarie2009velocity"/>
    <w:p>
      <w:pPr>
        <w:pStyle w:val="Bibliography"/>
      </w:pPr>
      <w:r>
        <w:t xml:space="preserve">Loarie, S.R., Duffy, P.B., Hamilton, H., Asner, G.P., Field, C.B., Ackerly, D.D., 2009. The velocity of climate change. Nature 462, 1052–1055.</w:t>
      </w:r>
    </w:p>
    <w:bookmarkEnd w:id="172"/>
    <w:bookmarkStart w:id="17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3"/>
    <w:bookmarkStart w:id="175" w:name="ref-malvern_panalytical_rs3"/>
    <w:p>
      <w:pPr>
        <w:pStyle w:val="Bibliography"/>
      </w:pPr>
      <w:r>
        <w:t xml:space="preserve">Malvern Panalytical, 2023.</w:t>
      </w:r>
      <w:r>
        <w:t xml:space="preserve"> </w:t>
      </w:r>
      <w:hyperlink r:id="rId174">
        <w:r>
          <w:rPr>
            <w:rStyle w:val="Hyperlink"/>
          </w:rPr>
          <w:t xml:space="preserve">RS3 software</w:t>
        </w:r>
      </w:hyperlink>
      <w:r>
        <w:t xml:space="preserve">.</w:t>
      </w:r>
    </w:p>
    <w:bookmarkEnd w:id="175"/>
    <w:bookmarkStart w:id="176"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6"/>
    <w:bookmarkStart w:id="17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7"/>
    <w:bookmarkStart w:id="17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8">
        <w:r>
          <w:rPr>
            <w:rStyle w:val="Hyperlink"/>
          </w:rPr>
          <w:t xml:space="preserve">https://doi.org/10.1038/s41598-019-50643-w</w:t>
        </w:r>
      </w:hyperlink>
    </w:p>
    <w:bookmarkEnd w:id="179"/>
    <w:bookmarkStart w:id="18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0"/>
    <w:bookmarkStart w:id="182"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1">
        <w:r>
          <w:rPr>
            <w:rStyle w:val="Hyperlink"/>
          </w:rPr>
          <w:t xml:space="preserve">https://doi.org/10.3390/rs16234383</w:t>
        </w:r>
      </w:hyperlink>
    </w:p>
    <w:bookmarkEnd w:id="182"/>
    <w:bookmarkStart w:id="184"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3">
        <w:r>
          <w:rPr>
            <w:rStyle w:val="Hyperlink"/>
          </w:rPr>
          <w:t xml:space="preserve">https://doi.org/10.3389/fmars.2019.00734</w:t>
        </w:r>
      </w:hyperlink>
    </w:p>
    <w:bookmarkEnd w:id="184"/>
    <w:bookmarkStart w:id="185"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5"/>
    <w:bookmarkStart w:id="187"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6">
        <w:r>
          <w:rPr>
            <w:rStyle w:val="Hyperlink"/>
          </w:rPr>
          <w:t xml:space="preserve">https://doi.org/10.1111/gcb.14282</w:t>
        </w:r>
      </w:hyperlink>
    </w:p>
    <w:bookmarkEnd w:id="187"/>
    <w:bookmarkStart w:id="188"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8"/>
    <w:bookmarkStart w:id="189" w:name="ref-perkins2013measurement"/>
    <w:p>
      <w:pPr>
        <w:pStyle w:val="Bibliography"/>
      </w:pPr>
      <w:r>
        <w:t xml:space="preserve">Perkins, S.E., Alexander, L.V., 2013. On the measurement of heat waves. Journal of climate 26, 4500–4517.</w:t>
      </w:r>
    </w:p>
    <w:bookmarkEnd w:id="189"/>
    <w:bookmarkStart w:id="191" w:name="ref-Rbase"/>
    <w:p>
      <w:pPr>
        <w:pStyle w:val="Bibliography"/>
      </w:pPr>
      <w:r>
        <w:t xml:space="preserve">R Core Team, 2023.</w:t>
      </w:r>
      <w:r>
        <w:t xml:space="preserve"> </w:t>
      </w:r>
      <w:hyperlink r:id="rId190">
        <w:r>
          <w:rPr>
            <w:rStyle w:val="Hyperlink"/>
          </w:rPr>
          <w:t xml:space="preserve">R: A language and environment for statistical computing</w:t>
        </w:r>
      </w:hyperlink>
      <w:r>
        <w:t xml:space="preserve">. R Foundation for Statistical Computing, Vienna, Austria.</w:t>
      </w:r>
    </w:p>
    <w:bookmarkEnd w:id="191"/>
    <w:bookmarkStart w:id="192" w:name="ref-ramesh2020seagrass"/>
    <w:p>
      <w:pPr>
        <w:pStyle w:val="Bibliography"/>
      </w:pPr>
      <w:r>
        <w:t xml:space="preserve">Ramesh, C., Mohanraju, R., 2020. Seagrass ecosystems of andaman and nicobar islands: Status and future perspective. Environmental &amp; Earth Sciences Research Journal 7.</w:t>
      </w:r>
    </w:p>
    <w:bookmarkEnd w:id="192"/>
    <w:bookmarkStart w:id="194"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3">
        <w:r>
          <w:rPr>
            <w:rStyle w:val="Hyperlink"/>
          </w:rPr>
          <w:t xml:space="preserve">https://doi.org/10.1073/pnas.0500008102</w:t>
        </w:r>
      </w:hyperlink>
    </w:p>
    <w:bookmarkEnd w:id="194"/>
    <w:bookmarkStart w:id="195" w:name="ref-roman2021using"/>
    <w:p>
      <w:pPr>
        <w:pStyle w:val="Bibliography"/>
      </w:pPr>
      <w:r>
        <w:t xml:space="preserve">Román, A., Tovar-Sánchez, A., Olivé, I., Navarro, G., 2021. Using a UAV-mounted multispectral camera for the monitoring of marine macrophytes. Frontiers in Marine Science 8, 722698.</w:t>
      </w:r>
    </w:p>
    <w:bookmarkEnd w:id="195"/>
    <w:bookmarkStart w:id="196" w:name="ref-rouse1974monitoring"/>
    <w:p>
      <w:pPr>
        <w:pStyle w:val="Bibliography"/>
      </w:pPr>
      <w:r>
        <w:t xml:space="preserve">Rouse, J.W., Haas, R.H., Schell, J.A., Deering, D.W., others, 1974. Monitoring vegetation systems in the great plains with ERTS. NASA Spec. Publ 351, 309.</w:t>
      </w:r>
    </w:p>
    <w:bookmarkEnd w:id="196"/>
    <w:bookmarkStart w:id="198"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7">
        <w:r>
          <w:rPr>
            <w:rStyle w:val="Hyperlink"/>
          </w:rPr>
          <w:t xml:space="preserve">https://doi.org/10.1029/2023GL103540</w:t>
        </w:r>
      </w:hyperlink>
    </w:p>
    <w:bookmarkEnd w:id="198"/>
    <w:bookmarkStart w:id="199"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9"/>
    <w:bookmarkStart w:id="200"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0"/>
    <w:bookmarkStart w:id="202"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1">
        <w:r>
          <w:rPr>
            <w:rStyle w:val="Hyperlink"/>
          </w:rPr>
          <w:t xml:space="preserve">https://doi.org/10.21105/joss.00821</w:t>
        </w:r>
      </w:hyperlink>
    </w:p>
    <w:bookmarkEnd w:id="202"/>
    <w:bookmarkStart w:id="203"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3"/>
    <w:bookmarkStart w:id="204"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4"/>
    <w:bookmarkStart w:id="206" w:name="ref-shom_ram_2022"/>
    <w:p>
      <w:pPr>
        <w:pStyle w:val="Bibliography"/>
      </w:pPr>
      <w:r>
        <w:t xml:space="preserve">Shom, 2022.</w:t>
      </w:r>
      <w:r>
        <w:t xml:space="preserve"> </w:t>
      </w:r>
      <w:hyperlink r:id="rId205">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6"/>
    <w:bookmarkStart w:id="208" w:name="Xbef41143b4d4042e58f11cfc27e216202646012"/>
    <w:p>
      <w:pPr>
        <w:pStyle w:val="Bibliography"/>
      </w:pPr>
      <w:r>
        <w:t xml:space="preserve">SHOM, 2021.</w:t>
      </w:r>
      <w:r>
        <w:t xml:space="preserve"> </w:t>
      </w:r>
      <w:hyperlink r:id="rId207">
        <w:r>
          <w:rPr>
            <w:rStyle w:val="Hyperlink"/>
          </w:rPr>
          <w:t xml:space="preserve">Service hydrographique et océanographique de la marine ; bathymétrie Litto3D® bretagne 2018-2021</w:t>
        </w:r>
      </w:hyperlink>
      <w:r>
        <w:t xml:space="preserve">.</w:t>
      </w:r>
    </w:p>
    <w:bookmarkEnd w:id="208"/>
    <w:bookmarkStart w:id="210" w:name="ref-simolo2022quantifying"/>
    <w:p>
      <w:pPr>
        <w:pStyle w:val="Bibliography"/>
      </w:pPr>
      <w:r>
        <w:t xml:space="preserve">Simolo, C., Corti, S., 2022. Quantifying the role of variability in future intensification of heat extremes. Nature Communications 13.</w:t>
      </w:r>
      <w:r>
        <w:t xml:space="preserve"> </w:t>
      </w:r>
      <w:hyperlink r:id="rId209">
        <w:r>
          <w:rPr>
            <w:rStyle w:val="Hyperlink"/>
          </w:rPr>
          <w:t xml:space="preserve">https://doi.org/10.1038/s41467-022-35571-0</w:t>
        </w:r>
      </w:hyperlink>
    </w:p>
    <w:bookmarkEnd w:id="210"/>
    <w:bookmarkStart w:id="211"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1"/>
    <w:bookmarkStart w:id="213"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2">
        <w:r>
          <w:rPr>
            <w:rStyle w:val="Hyperlink"/>
          </w:rPr>
          <w:t xml:space="preserve">https://doi.org/10.1038/s41558-019-0412-1</w:t>
        </w:r>
      </w:hyperlink>
    </w:p>
    <w:bookmarkEnd w:id="213"/>
    <w:bookmarkStart w:id="21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4"/>
    <w:bookmarkStart w:id="215" w:name="ref-stan2020rstan"/>
    <w:p>
      <w:pPr>
        <w:pStyle w:val="Bibliography"/>
      </w:pPr>
      <w:r>
        <w:t xml:space="preserve">Stan Development Team, C., others, 2020. RStan: The r interface to stan. R package version 2.21. 2.</w:t>
      </w:r>
    </w:p>
    <w:bookmarkEnd w:id="215"/>
    <w:bookmarkStart w:id="217"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6">
        <w:r>
          <w:rPr>
            <w:rStyle w:val="Hyperlink"/>
          </w:rPr>
          <w:t xml:space="preserve">https://doi.org/10.1152/physiol.00040.2018</w:t>
        </w:r>
      </w:hyperlink>
    </w:p>
    <w:bookmarkEnd w:id="217"/>
    <w:bookmarkStart w:id="21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8"/>
    <w:bookmarkStart w:id="219" w:name="ref-unsworth2014biodiversity"/>
    <w:p>
      <w:pPr>
        <w:pStyle w:val="Bibliography"/>
      </w:pPr>
      <w:r>
        <w:t xml:space="preserve">Unsworth, R., Cullen-Unsworth, L.C., 2014. Biodiversity, ecosystem services, and the conservation of seagrass meadows. Coast. Conserv 19, 95.</w:t>
      </w:r>
    </w:p>
    <w:bookmarkEnd w:id="219"/>
    <w:bookmarkStart w:id="220" w:name="ref-unsworth2022planetary"/>
    <w:p>
      <w:pPr>
        <w:pStyle w:val="Bibliography"/>
      </w:pPr>
      <w:r>
        <w:t xml:space="preserve">Unsworth, R.K., Cullen-Unsworth, L.C., Jones, B.L., Lilley, R.J., 2022. The planetary role of seagrass conservation. Science 377, 609–613.</w:t>
      </w:r>
    </w:p>
    <w:bookmarkEnd w:id="220"/>
    <w:bookmarkStart w:id="221"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1"/>
    <w:bookmarkStart w:id="222"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2"/>
    <w:bookmarkStart w:id="223"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3"/>
    <w:bookmarkStart w:id="224" w:name="ref-zahoor2023water"/>
    <w:p>
      <w:pPr>
        <w:pStyle w:val="Bibliography"/>
      </w:pPr>
      <w:r>
        <w:t xml:space="preserve">Zahoor, I., Mushtaq, A., 2023. Water pollution from agricultural activities: A critical global review. Int. J. Chem. Biochem. Sci 23, 164–176.</w:t>
      </w:r>
    </w:p>
    <w:bookmarkEnd w:id="224"/>
    <w:bookmarkStart w:id="225"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5"/>
    <w:bookmarkStart w:id="227"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6">
        <w:r>
          <w:rPr>
            <w:rStyle w:val="Hyperlink"/>
          </w:rPr>
          <w:t xml:space="preserve">https://doi.org/10.1002/rse2.319</w:t>
        </w:r>
      </w:hyperlink>
    </w:p>
    <w:bookmarkEnd w:id="227"/>
    <w:bookmarkEnd w:id="228"/>
    <w:bookmarkEnd w:id="229"/>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3" Target="media/rId103.png" /><Relationship Type="http://schemas.openxmlformats.org/officeDocument/2006/relationships/image" Id="rId87" Target="media/rId87.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20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26"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2" Target="https://doi.org/10.1016/j.rse.2024.114340" TargetMode="External" /><Relationship Type="http://schemas.openxmlformats.org/officeDocument/2006/relationships/hyperlink" Id="rId197" Target="https://doi.org/10.1029/2023GL103540" TargetMode="External" /><Relationship Type="http://schemas.openxmlformats.org/officeDocument/2006/relationships/hyperlink" Id="rId209" Target="https://doi.org/10.1038/s41467-022-35571-0" TargetMode="External" /><Relationship Type="http://schemas.openxmlformats.org/officeDocument/2006/relationships/hyperlink" Id="rId212" Target="https://doi.org/10.1038/s41558-019-0412-1" TargetMode="External" /><Relationship Type="http://schemas.openxmlformats.org/officeDocument/2006/relationships/hyperlink" Id="rId178" Target="https://doi.org/10.1038/s41598-019-50643-w" TargetMode="External" /><Relationship Type="http://schemas.openxmlformats.org/officeDocument/2006/relationships/hyperlink" Id="rId140" Target="https://doi.org/10.1038/s43247-024-01543-z" TargetMode="External" /><Relationship Type="http://schemas.openxmlformats.org/officeDocument/2006/relationships/hyperlink" Id="rId162" Target="https://doi.org/10.1073/pnas.0402642101" TargetMode="External" /><Relationship Type="http://schemas.openxmlformats.org/officeDocument/2006/relationships/hyperlink" Id="rId193" Target="https://doi.org/10.1073/pnas.0500008102" TargetMode="External" /><Relationship Type="http://schemas.openxmlformats.org/officeDocument/2006/relationships/hyperlink" Id="rId186" Target="https://doi.org/10.1111/gcb.14282" TargetMode="External" /><Relationship Type="http://schemas.openxmlformats.org/officeDocument/2006/relationships/hyperlink" Id="rId216" Target="https://doi.org/10.1152/physiol.00040.2018" TargetMode="External" /><Relationship Type="http://schemas.openxmlformats.org/officeDocument/2006/relationships/hyperlink" Id="rId133"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1"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3" Target="https://doi.org/10.3389/fmars.2019.00734" TargetMode="External" /><Relationship Type="http://schemas.openxmlformats.org/officeDocument/2006/relationships/hyperlink" Id="rId181" Target="https://doi.org/10.3390/rs16234383" TargetMode="External" /><Relationship Type="http://schemas.openxmlformats.org/officeDocument/2006/relationships/hyperlink" Id="rId135" Target="https://doi.org/10.48670/moi-00311" TargetMode="External" /><Relationship Type="http://schemas.openxmlformats.org/officeDocument/2006/relationships/hyperlink" Id="rId148"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7" Target="https://services.data.shom.fr/geonetwork/srv/fre/catalog.search#/metadata/BATHYMETRIE_LITTO3D_BZH_2018_2021.xml" TargetMode="External" /><Relationship Type="http://schemas.openxmlformats.org/officeDocument/2006/relationships/hyperlink" Id="rId190"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26"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2" Target="https://doi.org/10.1016/j.rse.2024.114340" TargetMode="External" /><Relationship Type="http://schemas.openxmlformats.org/officeDocument/2006/relationships/hyperlink" Id="rId197" Target="https://doi.org/10.1029/2023GL103540" TargetMode="External" /><Relationship Type="http://schemas.openxmlformats.org/officeDocument/2006/relationships/hyperlink" Id="rId209" Target="https://doi.org/10.1038/s41467-022-35571-0" TargetMode="External" /><Relationship Type="http://schemas.openxmlformats.org/officeDocument/2006/relationships/hyperlink" Id="rId212" Target="https://doi.org/10.1038/s41558-019-0412-1" TargetMode="External" /><Relationship Type="http://schemas.openxmlformats.org/officeDocument/2006/relationships/hyperlink" Id="rId178" Target="https://doi.org/10.1038/s41598-019-50643-w" TargetMode="External" /><Relationship Type="http://schemas.openxmlformats.org/officeDocument/2006/relationships/hyperlink" Id="rId140" Target="https://doi.org/10.1038/s43247-024-01543-z" TargetMode="External" /><Relationship Type="http://schemas.openxmlformats.org/officeDocument/2006/relationships/hyperlink" Id="rId162" Target="https://doi.org/10.1073/pnas.0402642101" TargetMode="External" /><Relationship Type="http://schemas.openxmlformats.org/officeDocument/2006/relationships/hyperlink" Id="rId193" Target="https://doi.org/10.1073/pnas.0500008102" TargetMode="External" /><Relationship Type="http://schemas.openxmlformats.org/officeDocument/2006/relationships/hyperlink" Id="rId186" Target="https://doi.org/10.1111/gcb.14282" TargetMode="External" /><Relationship Type="http://schemas.openxmlformats.org/officeDocument/2006/relationships/hyperlink" Id="rId216" Target="https://doi.org/10.1152/physiol.00040.2018" TargetMode="External" /><Relationship Type="http://schemas.openxmlformats.org/officeDocument/2006/relationships/hyperlink" Id="rId133"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1"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3" Target="https://doi.org/10.3389/fmars.2019.00734" TargetMode="External" /><Relationship Type="http://schemas.openxmlformats.org/officeDocument/2006/relationships/hyperlink" Id="rId181" Target="https://doi.org/10.3390/rs16234383" TargetMode="External" /><Relationship Type="http://schemas.openxmlformats.org/officeDocument/2006/relationships/hyperlink" Id="rId135" Target="https://doi.org/10.48670/moi-00311" TargetMode="External" /><Relationship Type="http://schemas.openxmlformats.org/officeDocument/2006/relationships/hyperlink" Id="rId148"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7" Target="https://services.data.shom.fr/geonetwork/srv/fre/catalog.search#/metadata/BATHYMETRIE_LITTO3D_BZH_2018_2021.xml" TargetMode="External" /><Relationship Type="http://schemas.openxmlformats.org/officeDocument/2006/relationships/hyperlink" Id="rId190"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2024-12-10T16:48:43Z</dcterms:created>
  <dcterms:modified xsi:type="dcterms:W3CDTF">2024-12-10T16:48:43Z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2024-12-10</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