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 Heatwaves in the Med Sea</w:t>
      </w:r>
    </w:p>
    <w:p>
      <w:pPr>
        <w:pStyle w:val="Subtitle"/>
      </w:pPr>
      <w:r>
        <w:t xml:space="preserve">A temporale analysis</w:t>
      </w:r>
    </w:p>
    <w:p>
      <w:pPr>
        <w:pStyle w:val="Author"/>
      </w:pPr>
      <w:r>
        <w:t xml:space="preserve">Simon Oiry</w:t>
      </w:r>
      <w:r>
        <w:rPr>
          <w:rStyle w:val="FootnoteReference"/>
        </w:rPr>
        <w:footnoteReference w:id="20"/>
      </w:r>
    </w:p>
    <w:p>
      <w:pPr>
        <w:pStyle w:val="Author"/>
      </w:pPr>
      <w:r>
        <w:t xml:space="preserve">Maria Laura Zoffoli</w:t>
      </w:r>
      <w:r>
        <w:rPr>
          <w:rStyle w:val="FootnoteReference"/>
        </w:rPr>
        <w:footnoteReference w:id="21"/>
      </w:r>
    </w:p>
    <w:p>
      <w:pPr>
        <w:pStyle w:val="Author"/>
      </w:pPr>
      <w:r>
        <w:t xml:space="preserve">Laurent Barillé</w:t>
      </w:r>
      <w:r>
        <w:rPr>
          <w:rStyle w:val="FootnoteReference"/>
        </w:rPr>
        <w:footnoteReference w:id="22"/>
      </w:r>
    </w:p>
    <w:p>
      <w:pPr>
        <w:pStyle w:val="Date"/>
      </w:pPr>
      <w:r>
        <w:t xml:space="preserve">2025-07-11</w:t>
      </w:r>
    </w:p>
    <w:p>
      <w:pPr>
        <w:pStyle w:val="AbstractTitle"/>
      </w:pPr>
      <w:r>
        <w:t xml:space="preserve">Abstract</w:t>
      </w:r>
    </w:p>
    <w:p>
      <w:pPr>
        <w:pStyle w:val="Abstract"/>
      </w:pPr>
      <w:r>
        <w:t xml:space="preserve">TBD</w:t>
      </w:r>
    </w:p>
    <w:bookmarkStart w:id="28" w:name="introduction"/>
    <w:p>
      <w:pPr>
        <w:pStyle w:val="Heading1"/>
      </w:pPr>
      <w:r>
        <w:t xml:space="preserve">1. Introduction</w:t>
      </w:r>
    </w:p>
    <w:p>
      <w:pPr>
        <w:pStyle w:val="FirstParagraph"/>
      </w:pPr>
      <w:r>
        <w:t xml:space="preserve">Marine heatwaves (MHWs) are discrete and prolonged periods of anomalously high sea temperatures that significantly exceed historical baseline conditions. Specifically, a marine heatwave is generally defined as an event lasting five or more consecutive days during which sea temperatures exceed the 90th percentile threshold based on a 30-year historical climatological period (</w:t>
      </w:r>
      <w:hyperlink w:anchor="fig-HW_explain">
        <w:r>
          <w:rPr>
            <w:rStyle w:val="Hyperlink"/>
          </w:rPr>
          <w:t xml:space="preserve">Figure 1</w:t>
        </w:r>
      </w:hyperlink>
      <w:r>
        <w:t xml:space="preserve">). These events can vary in terms of duration, intensity, and spatial extent, making a flexible yet rigorous approach necessary for accurate characterization and comparison.</w:t>
      </w:r>
    </w:p>
    <w:bookmarkStart w:id="27" w:name="cell-fig-HW_explain"/>
    <w:tbl>
      <w:tblPr>
        <w:tblStyle w:val="Table"/>
        <w:tblW w:type="pct" w:w="5000"/>
        <w:tblLayout w:type="fixed"/>
        <w:tblLook w:firstRow="0" w:lastRow="0" w:firstColumn="0" w:lastColumn="0" w:noHBand="0" w:noVBand="0" w:val="0000"/>
      </w:tblPr>
      <w:tblGrid>
        <w:gridCol w:w="7920"/>
      </w:tblGrid>
      <w:tr>
        <w:tc>
          <w:tcPr/>
          <w:bookmarkStart w:id="26" w:name="fig-HW_explain"/>
          <w:p>
            <w:pPr>
              <w:pStyle w:val="Compact"/>
              <w:jc w:val="center"/>
            </w:pPr>
            <w:r>
              <w:drawing>
                <wp:inline>
                  <wp:extent cx="5334000" cy="1440180"/>
                  <wp:effectExtent b="0" l="0" r="0" t="0"/>
                  <wp:docPr descr="" title="" id="24" name="Picture"/>
                  <a:graphic>
                    <a:graphicData uri="http://schemas.openxmlformats.org/drawingml/2006/picture">
                      <pic:pic>
                        <pic:nvPicPr>
                          <pic:cNvPr descr="Figs/plot_Tmax_flame.png" id="25" name="Picture"/>
                          <pic:cNvPicPr>
                            <a:picLocks noChangeArrowheads="1" noChangeAspect="1"/>
                          </pic:cNvPicPr>
                        </pic:nvPicPr>
                        <pic:blipFill>
                          <a:blip r:embed="rId23"/>
                          <a:stretch>
                            <a:fillRect/>
                          </a:stretch>
                        </pic:blipFill>
                        <pic:spPr bwMode="auto">
                          <a:xfrm>
                            <a:off x="0" y="0"/>
                            <a:ext cx="5334000" cy="14401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Exemple of heatwaves detection in Quiberon France during the summer 2021</w:t>
            </w:r>
          </w:p>
          <w:bookmarkEnd w:id="26"/>
        </w:tc>
      </w:tr>
    </w:tbl>
    <w:bookmarkEnd w:id="27"/>
    <w:p>
      <w:pPr>
        <w:pStyle w:val="BodyText"/>
      </w:pPr>
      <w:r>
        <w:t xml:space="preserve">The importance of studying marine heatwaves arises from their profound ecological and socioeconomic impacts. They have been associated with widespread disruptions to marine ecosystems, including shifts in species distribution, local extinctions, significant mortality events, and changes in primary productivity. Such ecological disturbances subsequently affect fisheries, aquaculture, and biodiversity, highlighting the broad-reaching implications of these events.</w:t>
      </w:r>
    </w:p>
    <w:p>
      <w:pPr>
        <w:pStyle w:val="BodyText"/>
      </w:pPr>
      <w:r>
        <w:t xml:space="preserve">The Mediterranean Sea, characterized as a climate change hotspot, has witnessed an increased frequency and intensity of marine heatwaves, especially over recent decades. Mediterranean MHWs often coincide with atmospheric heatwaves, further exacerbating their intensity and ecological impacts. Concurrent atmospheric and marine heatwaves amplify sea surface temperature anomalies, leading to intense ocean stratification and extensive ecological disruption, including mass mortalities of benthic invertebrates and seagrass decline.</w:t>
      </w:r>
    </w:p>
    <w:p>
      <w:pPr>
        <w:pStyle w:val="BodyText"/>
      </w:pPr>
      <w:r>
        <w:t xml:space="preserve">In the Mediterranean, particularly in the Adriatic Sea, studies have documented variable responses of primary productivity to MHW events. In coastal and eutrophic regions, such as areas influenced by riverine nutrient input, MHWs have resulted in increased phytoplankton biomass. Conversely, offshore and oligotrophic regions typically exhibit reduced chlorophyll-a concentrations during heatwaves, indicating a potential decline in phytoplankton productivity. Such spatial heterogeneity emphasizes the complexity of ecological responses and underscores the importance of localized assessments.</w:t>
      </w:r>
    </w:p>
    <w:p>
      <w:pPr>
        <w:pStyle w:val="BodyText"/>
      </w:pPr>
      <w:r>
        <w:t xml:space="preserve">Understanding marine heatwaves, particularly in sensitive regions like the Mediterranean Sea, is crucial for developing informed management strategies aimed at mitigating their ecological and socioeconomic consequences. This necessity is heightened by projections indicating further increases in MHW frequency, duration, and intensity, driven by ongoing climate change.</w:t>
      </w:r>
    </w:p>
    <w:bookmarkEnd w:id="28"/>
    <w:bookmarkStart w:id="45" w:name="material-methods"/>
    <w:p>
      <w:pPr>
        <w:pStyle w:val="Heading1"/>
      </w:pPr>
      <w:r>
        <w:t xml:space="preserve">2. Material &amp; Methods</w:t>
      </w:r>
    </w:p>
    <w:p>
      <w:pPr>
        <w:pStyle w:val="FirstParagraph"/>
      </w:pPr>
      <w:r>
        <w:t xml:space="preserve">Daily Sea Surface Temperature (SST) time series for the Mediterranean Sea, spanning from 1982 onwards, were obtained from the Copernicus Marine Environment Monitoring Service (CMEMS) platform</w:t>
      </w:r>
      <w:r>
        <w:t xml:space="preserve"> </w:t>
      </w:r>
      <w:r>
        <w:t xml:space="preserve">(Copernicus, 2024; Embury et al., 2024; Pisano et al., 2016)</w:t>
      </w:r>
      <w:r>
        <w:t xml:space="preserve">. Heatwave events were detected using the HeatwaveR package in R</w:t>
      </w:r>
      <w:r>
        <w:t xml:space="preserve"> </w:t>
      </w:r>
      <w:r>
        <w:t xml:space="preserve">(Schlegel and Smit, 2018)</w:t>
      </w:r>
      <w:r>
        <w:t xml:space="preserve">, adhering to the marine heatwave definition provided by</w:t>
      </w:r>
      <w:r>
        <w:t xml:space="preserve"> </w:t>
      </w:r>
      <w:r>
        <w:t xml:space="preserve">Hobday et al. (2016)</w:t>
      </w:r>
      <w:r>
        <w:t xml:space="preserve"> </w:t>
      </w:r>
      <w:r>
        <w:t xml:space="preserve">and</w:t>
      </w:r>
      <w:r>
        <w:t xml:space="preserve"> </w:t>
      </w:r>
      <w:r>
        <w:t xml:space="preserve">Hobday et al. (2018)</w:t>
      </w:r>
      <w:r>
        <w:t xml:space="preserve">.</w:t>
      </w:r>
    </w:p>
    <w:p>
      <w:pPr>
        <w:pStyle w:val="BodyText"/>
      </w:pPr>
      <w:r>
        <w:t xml:space="preserve">To establish a reference climatology, the first 30 years of the dataset were utilized for each pixel within the Mediterranean Sea. Daily SST values were subsequently compared against this baseline climatology. A heatwave event was identified whenever the daily SST exceeded the 90th percentile of the corresponding climatological distribution. Additionally, consecutive events separated by fewer than two days were merged and treated as a single continuous heatwave event.</w:t>
      </w:r>
    </w:p>
    <w:p>
      <w:pPr>
        <w:pStyle w:val="BodyText"/>
      </w:pPr>
      <w:r>
        <w:t xml:space="preserve">Results are presented as annual maps of key heatwave metrics: the total number of days classified as heatwave, the number of distinct heatwave events, and the cumulative intensity of these events, defined as the sum of daily SST exceedances above the climatological 90th percentile threshold.</w:t>
      </w:r>
    </w:p>
    <w:bookmarkStart w:id="33" w:name="cell-fig-MapMedSea"/>
    <w:tbl>
      <w:tblPr>
        <w:tblStyle w:val="Table"/>
        <w:tblW w:type="pct" w:w="5000"/>
        <w:tblLayout w:type="fixed"/>
        <w:tblLook w:firstRow="0" w:lastRow="0" w:firstColumn="0" w:lastColumn="0" w:noHBand="0" w:noVBand="0" w:val="0000"/>
      </w:tblPr>
      <w:tblGrid>
        <w:gridCol w:w="7920"/>
      </w:tblGrid>
      <w:tr>
        <w:tc>
          <w:tcPr/>
          <w:bookmarkStart w:id="32" w:name="fig-MapMedSea"/>
          <w:p>
            <w:pPr>
              <w:pStyle w:val="Compact"/>
              <w:jc w:val="center"/>
            </w:pPr>
            <w:r>
              <w:drawing>
                <wp:inline>
                  <wp:extent cx="5334000" cy="2608362"/>
                  <wp:effectExtent b="0" l="0" r="0" t="0"/>
                  <wp:docPr descr="" title="" id="30" name="Picture"/>
                  <a:graphic>
                    <a:graphicData uri="http://schemas.openxmlformats.org/drawingml/2006/picture">
                      <pic:pic>
                        <pic:nvPicPr>
                          <pic:cNvPr descr="Figs/Map_MedSea.png" id="31" name="Picture"/>
                          <pic:cNvPicPr>
                            <a:picLocks noChangeArrowheads="1" noChangeAspect="1"/>
                          </pic:cNvPicPr>
                        </pic:nvPicPr>
                        <pic:blipFill>
                          <a:blip r:embed="rId29"/>
                          <a:stretch>
                            <a:fillRect/>
                          </a:stretch>
                        </pic:blipFill>
                        <pic:spPr bwMode="auto">
                          <a:xfrm>
                            <a:off x="0" y="0"/>
                            <a:ext cx="5334000" cy="26083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Region of Mediterranean Sea as definied by Marine Strategy Framework Directive.</w:t>
            </w:r>
          </w:p>
          <w:bookmarkEnd w:id="32"/>
        </w:tc>
      </w:tr>
    </w:tbl>
    <w:bookmarkEnd w:id="33"/>
    <w:bookmarkStart w:id="44" w:name="refs"/>
    <w:bookmarkStart w:id="35" w:name="ref-Copernicus_Sentinel"/>
    <w:p>
      <w:pPr>
        <w:pStyle w:val="Bibliography"/>
      </w:pPr>
      <w:r>
        <w:t xml:space="preserve">Copernicus, 2024.</w:t>
      </w:r>
      <w:r>
        <w:t xml:space="preserve"> </w:t>
      </w:r>
      <w:hyperlink r:id="rId34">
        <w:r>
          <w:rPr>
            <w:rStyle w:val="Hyperlink"/>
          </w:rPr>
          <w:t xml:space="preserve">Copernicus open access hub</w:t>
        </w:r>
      </w:hyperlink>
      <w:r>
        <w:t xml:space="preserve">.</w:t>
      </w:r>
    </w:p>
    <w:bookmarkEnd w:id="35"/>
    <w:bookmarkStart w:id="37" w:name="ref-embury2024satellite"/>
    <w:p>
      <w:pPr>
        <w:pStyle w:val="Bibliography"/>
      </w:pPr>
      <w:r>
        <w:t xml:space="preserve">Embury, O., Merchant, C.J., Good, S.A., Rayner, N.A., Høyer, J.L., Atkinson, C., Block, T., Alerskans, E., Pearson, K.J., Worsfold, M., McCarroll, N., Donlon, C., 2024. Satellite-based time-series of sea-surface temperature since 1980 for climate applications. Scientific Data 11, 326.</w:t>
      </w:r>
      <w:r>
        <w:t xml:space="preserve"> </w:t>
      </w:r>
      <w:hyperlink r:id="rId36">
        <w:r>
          <w:rPr>
            <w:rStyle w:val="Hyperlink"/>
          </w:rPr>
          <w:t xml:space="preserve">https://doi.org/10.1038/s41597-024-03147-w</w:t>
        </w:r>
      </w:hyperlink>
    </w:p>
    <w:bookmarkEnd w:id="37"/>
    <w:bookmarkStart w:id="38" w:name="ref-hobday2016hierarchical"/>
    <w:p>
      <w:pPr>
        <w:pStyle w:val="Bibliography"/>
      </w:pPr>
      <w:r>
        <w:t xml:space="preserve">Hobday, A.J., Alexander, L.V., Perkins, S.E., Smale, D.A., Straub, S.C., Oliver, E.C., Benthuysen, J.A., Burrows, M.T., Donat, M.G., Feng, M., others, 2016. A hierarchical approach to defining marine heatwaves. Progress in oceanography 141, 227–238.</w:t>
      </w:r>
    </w:p>
    <w:bookmarkEnd w:id="38"/>
    <w:bookmarkStart w:id="39" w:name="ref-hobday2018categorizing"/>
    <w:p>
      <w:pPr>
        <w:pStyle w:val="Bibliography"/>
      </w:pPr>
      <w:r>
        <w:t xml:space="preserve">Hobday, A.J., Oliver, E.C., Gupta, A.S., Benthuysen, J.A., Burrows, M.T., Donat, M.G., Holbrook, N.J., Moore, P.J., Thomsen, M.S., Wernberg, T., others, 2018. Categorizing and naming marine heatwaves. Oceanography 31, 162–173.</w:t>
      </w:r>
    </w:p>
    <w:bookmarkEnd w:id="39"/>
    <w:bookmarkStart w:id="41" w:name="ref-pisano2016new"/>
    <w:p>
      <w:pPr>
        <w:pStyle w:val="Bibliography"/>
      </w:pPr>
      <w:r>
        <w:t xml:space="preserve">Pisano, A., Nardelli, B.B., Tronconi, C., Santoleri, R., 2016. The new mediterranean optimally interpolated pathfinder AVHRR SST dataset (1982–2012). Remote Sensing of Environment 176, 107–116.</w:t>
      </w:r>
      <w:r>
        <w:t xml:space="preserve"> </w:t>
      </w:r>
      <w:hyperlink r:id="rId40">
        <w:r>
          <w:rPr>
            <w:rStyle w:val="Hyperlink"/>
          </w:rPr>
          <w:t xml:space="preserve">https://doi.org/10.1016/j.rse.2016.01.019</w:t>
        </w:r>
      </w:hyperlink>
    </w:p>
    <w:bookmarkEnd w:id="41"/>
    <w:bookmarkStart w:id="43" w:name="ref-heatwaveR"/>
    <w:p>
      <w:pPr>
        <w:pStyle w:val="Bibliography"/>
      </w:pPr>
      <w:r>
        <w:t xml:space="preserve">Schlegel, R.W., Smit, A.J., 2018.</w:t>
      </w:r>
      <w:r>
        <w:t xml:space="preserve"> </w:t>
      </w:r>
      <w:r>
        <w:t xml:space="preserve">heatwaveR</w:t>
      </w:r>
      <w:r>
        <w:t xml:space="preserve">: A central algorithm for the detection of heatwaves and cold-spells. Journal of Open Source Software 3, 821.</w:t>
      </w:r>
      <w:r>
        <w:t xml:space="preserve"> </w:t>
      </w:r>
      <w:hyperlink r:id="rId42">
        <w:r>
          <w:rPr>
            <w:rStyle w:val="Hyperlink"/>
          </w:rPr>
          <w:t xml:space="preserve">https://doi.org/10.21105/joss.00821</w:t>
        </w:r>
      </w:hyperlink>
    </w:p>
    <w:bookmarkEnd w:id="43"/>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 des Substances et Organismes de la Mer, ISOMer, Nantes Université, UR 2160, F-44000 Nantes, France</w:t>
      </w:r>
    </w:p>
  </w:footnote>
  <w:footnote w:id="21">
    <w:p>
      <w:pPr>
        <w:pStyle w:val="FootnoteText"/>
      </w:pPr>
      <w:r>
        <w:rPr>
          <w:rStyle w:val="FootnoteReference"/>
        </w:rPr>
        <w:footnoteRef/>
      </w:r>
      <w:r>
        <w:t xml:space="preserve"> </w:t>
      </w:r>
      <w:r>
        <w:t xml:space="preserve">Consiglio Nazionale delle Ricerche, Istituto di Scienze Marine (CNR-ISMAR), 00133 Rome, Italy</w:t>
      </w:r>
    </w:p>
  </w:footnote>
  <w:footnote w:id="22">
    <w:p>
      <w:pPr>
        <w:pStyle w:val="FootnoteText"/>
      </w:pPr>
      <w:r>
        <w:rPr>
          <w:rStyle w:val="FootnoteReference"/>
        </w:rPr>
        <w:footnoteRef/>
      </w:r>
      <w:r>
        <w:t xml:space="preserve"> </w:t>
      </w:r>
      <w:r>
        <w:t xml:space="preserve">Institut des Substances et Organismes de la Mer, ISOMer, Nantes Université, UR 2160, F-44000 Nantes, France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3" Target="media/rId23.png" /><Relationship Type="http://schemas.openxmlformats.org/officeDocument/2006/relationships/hyperlink" Id="rId34" Target="https://browser.dataspace.copernicus.eu/" TargetMode="External" /><Relationship Type="http://schemas.openxmlformats.org/officeDocument/2006/relationships/hyperlink" Id="rId40" Target="https://doi.org/10.1016/j.rse.2016.01.019" TargetMode="External" /><Relationship Type="http://schemas.openxmlformats.org/officeDocument/2006/relationships/hyperlink" Id="rId36" Target="https://doi.org/10.1038/s41597-024-03147-w" TargetMode="External" /><Relationship Type="http://schemas.openxmlformats.org/officeDocument/2006/relationships/hyperlink" Id="rId42" Target="https://doi.org/10.21105/joss.00821" TargetMode="External" /></Relationships>
</file>

<file path=word/_rels/footnotes.xml.rels><?xml version="1.0" encoding="UTF-8"?><Relationships xmlns="http://schemas.openxmlformats.org/package/2006/relationships"><Relationship Type="http://schemas.openxmlformats.org/officeDocument/2006/relationships/hyperlink" Id="rId34" Target="https://browser.dataspace.copernicus.eu/" TargetMode="External" /><Relationship Type="http://schemas.openxmlformats.org/officeDocument/2006/relationships/hyperlink" Id="rId40" Target="https://doi.org/10.1016/j.rse.2016.01.019" TargetMode="External" /><Relationship Type="http://schemas.openxmlformats.org/officeDocument/2006/relationships/hyperlink" Id="rId36" Target="https://doi.org/10.1038/s41597-024-03147-w" TargetMode="External" /><Relationship Type="http://schemas.openxmlformats.org/officeDocument/2006/relationships/hyperlink" Id="rId42" Target="https://doi.org/10.21105/joss.008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Heatwaves in the Med Sea</dc:title>
  <dc:creator>Simon Oiry; Maria Laura Zoffoli; Laurent Barillé</dc:creator>
  <cp:keywords>Remote Sensing, Heatwaves</cp:keywords>
  <dcterms:created xsi:type="dcterms:W3CDTF">2025-07-11T10:15:37Z</dcterms:created>
  <dcterms:modified xsi:type="dcterms:W3CDTF">2025-07-11T10:15:37Z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TBD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library.bib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RSE.csl</vt:lpwstr>
  </property>
  <property fmtid="{D5CDD505-2E9C-101B-9397-08002B2CF9AE}" pid="12" name="date">
    <vt:lpwstr>2025-07-11</vt:lpwstr>
  </property>
  <property fmtid="{D5CDD505-2E9C-101B-9397-08002B2CF9AE}" pid="13" name="editor_options">
    <vt:lpwstr/>
  </property>
  <property fmtid="{D5CDD505-2E9C-101B-9397-08002B2CF9AE}" pid="14" name="files">
    <vt:lpwstr/>
  </property>
  <property fmtid="{D5CDD505-2E9C-101B-9397-08002B2CF9AE}" pid="15" name="google-scholar">
    <vt:lpwstr>True</vt:lpwstr>
  </property>
  <property fmtid="{D5CDD505-2E9C-101B-9397-08002B2CF9AE}" pid="16" name="header-includes">
    <vt:lpwstr/>
  </property>
  <property fmtid="{D5CDD505-2E9C-101B-9397-08002B2CF9AE}" pid="17" name="include-after">
    <vt:lpwstr/>
  </property>
  <property fmtid="{D5CDD505-2E9C-101B-9397-08002B2CF9AE}" pid="18" name="include-before">
    <vt:lpwstr/>
  </property>
  <property fmtid="{D5CDD505-2E9C-101B-9397-08002B2CF9AE}" pid="19" name="labels">
    <vt:lpwstr/>
  </property>
  <property fmtid="{D5CDD505-2E9C-101B-9397-08002B2CF9AE}" pid="20" name="lightbox">
    <vt:lpwstr>auto</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all</vt:lpwstr>
  </property>
  <property fmtid="{D5CDD505-2E9C-101B-9397-08002B2CF9AE}" pid="25" name="resources">
    <vt:lpwstr/>
  </property>
  <property fmtid="{D5CDD505-2E9C-101B-9397-08002B2CF9AE}" pid="26" name="subtitle">
    <vt:lpwstr>A temporale analysis</vt:lpwstr>
  </property>
  <property fmtid="{D5CDD505-2E9C-101B-9397-08002B2CF9AE}" pid="27" name="template-partials">
    <vt:lpwstr/>
  </property>
  <property fmtid="{D5CDD505-2E9C-101B-9397-08002B2CF9AE}" pid="28" name="theme">
    <vt:lpwstr>cosmo</vt:lpwstr>
  </property>
  <property fmtid="{D5CDD505-2E9C-101B-9397-08002B2CF9AE}" pid="29" name="title-block-style">
    <vt:lpwstr>manuscript</vt:lpwstr>
  </property>
  <property fmtid="{D5CDD505-2E9C-101B-9397-08002B2CF9AE}" pid="30" name="toc-title">
    <vt:lpwstr>Table of contents</vt:lpwstr>
  </property>
  <property fmtid="{D5CDD505-2E9C-101B-9397-08002B2CF9AE}" pid="31" name="unroll-markdown-cells">
    <vt:lpwstr>True</vt:lpwstr>
  </property>
</Properties>
</file>