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Date"/>
      </w:pPr>
      <w:r>
        <w:t xml:space="preserve">2024-07-17</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FirstParagraph"/>
      </w:pPr>
      <w:r>
        <w:t xml:space="preserve">The data and scripts used for this work can be found</w:t>
      </w:r>
      <w:r>
        <w:t xml:space="preserve"> </w:t>
      </w:r>
      <w:hyperlink r:id="rId20">
        <w:r>
          <w:rPr>
            <w:rStyle w:val="Hyperlink"/>
          </w:rPr>
          <w:t xml:space="preserve">here</w:t>
        </w:r>
      </w:hyperlink>
      <w:r>
        <w:t xml:space="preserve">.</w:t>
      </w:r>
    </w:p>
    <w:bookmarkStart w:id="24" w:name="materials-methods"/>
    <w:p>
      <w:pPr>
        <w:pStyle w:val="Heading1"/>
      </w:pPr>
      <w:r>
        <w:t xml:space="preserve">1. Materials &amp; Methods</w:t>
      </w:r>
    </w:p>
    <w:bookmarkStart w:id="23" w:name="seagrass-mapping-using-sentinel-2"/>
    <w:p>
      <w:pPr>
        <w:pStyle w:val="Heading2"/>
      </w:pPr>
      <w:r>
        <w:t xml:space="preserve">1.1 Seagrass mapping using Sentinel-2</w:t>
      </w:r>
    </w:p>
    <w:p>
      <w:pPr>
        <w:pStyle w:val="FirstParagraph"/>
      </w:pPr>
      <w:r>
        <w:t xml:space="preserve">To map the seagrass extent over time, the Sentinel-2 constellation has been used. Level-2 images, which are already orthorectified and atmospherically corrected using Sen2Cor, have been downloaded using the Copernicus Platform</w:t>
      </w:r>
      <w:r>
        <w:t xml:space="preserve"> </w:t>
      </w:r>
      <w:r>
        <w:t xml:space="preserve">(Copernicus 2024)</w:t>
      </w:r>
      <w:r>
        <w:t xml:space="preserve">. One low tide, cloud-free image per year, nearest to the period of maximum seagrass biomass at this latitude, has been used. A total of 8 images have beed used (</w:t>
      </w:r>
      <w:hyperlink w:anchor="tbl-tide-data">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tide-data"/>
          <w:p>
            <w:pPr>
              <w:jc w:val="center"/>
            </w:pPr>
            <w:pPr>
              <w:jc w:val="start"/>
              <w:spacing w:before="200"/>
              <w:pStyle w:val="ImageCaption"/>
            </w:pPr>
            <w:r>
              <w:t xml:space="preserve">Table 1: Acquisition dates of Sentinel-2 images used to map seagrass in the Auray River. Tide times were retrieved from the SHOM and correspond to the tides at the Locmariaquer tide gauge, situated approximately 2 km from the study sites.</w:t>
            </w:r>
          </w:p>
          <w:tbl>
            <w:tblPr>
              <w:tblStyle w:val="Table"/>
              <w:tblW w:type="pct" w:w="5000"/>
              <w:tblLayout w:type="fixed"/>
              <w:tblLook w:firstRow="1" w:lastRow="0" w:firstColumn="0" w:lastColumn="0" w:noHBand="0" w:noVBand="0" w:val="0020"/>
            </w:tblPr>
            <w:tblGrid>
              <w:gridCol w:w="2530"/>
              <w:gridCol w:w="2200"/>
              <w:gridCol w:w="3190"/>
            </w:tblGrid>
            <w:tr>
              <w:trPr>
                <w:tblHeader w:val="on"/>
              </w:trPr>
              <w:tc>
                <w:tcPr/>
                <w:p>
                  <w:pPr>
                    <w:pStyle w:val="Compact"/>
                    <w:jc w:val="center"/>
                    <w:jc w:val="center"/>
                  </w:pPr>
                  <w:r>
                    <w:t xml:space="preserve">Acquisition Date (UTC)</w:t>
                  </w:r>
                </w:p>
              </w:tc>
              <w:tc>
                <w:tcPr/>
                <w:p>
                  <w:pPr>
                    <w:pStyle w:val="Compact"/>
                    <w:jc w:val="center"/>
                    <w:jc w:val="center"/>
                  </w:pPr>
                  <w:r>
                    <w:t xml:space="preserve">Low Tide Time (UTC)</w:t>
                  </w:r>
                </w:p>
              </w:tc>
              <w:tc>
                <w:tcPr/>
                <w:p>
                  <w:pPr>
                    <w:pStyle w:val="Compact"/>
                    <w:jc w:val="center"/>
                    <w:jc w:val="center"/>
                  </w:pPr>
                  <w:r>
                    <w:t xml:space="preserve">Time Difference with Low tide</w:t>
                  </w:r>
                </w:p>
              </w:tc>
            </w:tr>
            <w:tr>
              <w:tc>
                <w:tcPr/>
                <w:p>
                  <w:pPr>
                    <w:pStyle w:val="Compact"/>
                    <w:jc w:val="center"/>
                    <w:jc w:val="center"/>
                  </w:pPr>
                  <w:r>
                    <w:t xml:space="preserve">2016-11-03 11:12</w:t>
                  </w:r>
                </w:p>
              </w:tc>
              <w:tc>
                <w:tcPr/>
                <w:p>
                  <w:pPr>
                    <w:pStyle w:val="Compact"/>
                    <w:jc w:val="center"/>
                    <w:jc w:val="center"/>
                  </w:pPr>
                  <w:r>
                    <w:t xml:space="preserve">12 : 08</w:t>
                  </w:r>
                </w:p>
              </w:tc>
              <w:tc>
                <w:tcPr/>
                <w:p>
                  <w:pPr>
                    <w:pStyle w:val="Compact"/>
                    <w:jc w:val="center"/>
                    <w:jc w:val="center"/>
                  </w:pPr>
                  <w:r>
                    <w:t xml:space="preserve">+ 00 : 56</w:t>
                  </w:r>
                </w:p>
              </w:tc>
            </w:tr>
            <w:tr>
              <w:tc>
                <w:tcPr/>
                <w:p>
                  <w:pPr>
                    <w:pStyle w:val="Compact"/>
                    <w:jc w:val="center"/>
                    <w:jc w:val="center"/>
                  </w:pPr>
                  <w:r>
                    <w:t xml:space="preserve">2017-10-04 11:08</w:t>
                  </w:r>
                </w:p>
              </w:tc>
              <w:tc>
                <w:tcPr/>
                <w:p>
                  <w:pPr>
                    <w:pStyle w:val="Compact"/>
                    <w:jc w:val="center"/>
                    <w:jc w:val="center"/>
                  </w:pPr>
                  <w:r>
                    <w:t xml:space="preserve">09 : 09</w:t>
                  </w:r>
                </w:p>
              </w:tc>
              <w:tc>
                <w:tcPr/>
                <w:p>
                  <w:pPr>
                    <w:pStyle w:val="Compact"/>
                    <w:jc w:val="center"/>
                    <w:jc w:val="center"/>
                  </w:pPr>
                  <w:r>
                    <w:t xml:space="preserve">- 01 : 59</w:t>
                  </w:r>
                </w:p>
              </w:tc>
            </w:tr>
            <w:tr>
              <w:tc>
                <w:tcPr/>
                <w:p>
                  <w:pPr>
                    <w:pStyle w:val="Compact"/>
                    <w:jc w:val="center"/>
                    <w:jc w:val="center"/>
                  </w:pPr>
                  <w:r>
                    <w:t xml:space="preserve">2018-09-29 11:08</w:t>
                  </w:r>
                </w:p>
              </w:tc>
              <w:tc>
                <w:tcPr/>
                <w:p>
                  <w:pPr>
                    <w:pStyle w:val="Compact"/>
                    <w:jc w:val="center"/>
                    <w:jc w:val="center"/>
                  </w:pPr>
                  <w:r>
                    <w:t xml:space="preserve">12 : 43</w:t>
                  </w:r>
                </w:p>
              </w:tc>
              <w:tc>
                <w:tcPr/>
                <w:p>
                  <w:pPr>
                    <w:pStyle w:val="Compact"/>
                    <w:jc w:val="center"/>
                    <w:jc w:val="center"/>
                  </w:pPr>
                  <w:r>
                    <w:t xml:space="preserve">+ 01 : 35</w:t>
                  </w:r>
                </w:p>
              </w:tc>
            </w:tr>
            <w:tr>
              <w:tc>
                <w:tcPr/>
                <w:p>
                  <w:pPr>
                    <w:pStyle w:val="Compact"/>
                    <w:jc w:val="center"/>
                    <w:jc w:val="center"/>
                  </w:pPr>
                  <w:r>
                    <w:t xml:space="preserve">2019-09-14 11:06</w:t>
                  </w:r>
                </w:p>
              </w:tc>
              <w:tc>
                <w:tcPr/>
                <w:p>
                  <w:pPr>
                    <w:pStyle w:val="Compact"/>
                    <w:jc w:val="center"/>
                    <w:jc w:val="center"/>
                  </w:pPr>
                  <w:r>
                    <w:t xml:space="preserve">10 : 28</w:t>
                  </w:r>
                </w:p>
              </w:tc>
              <w:tc>
                <w:tcPr/>
                <w:p>
                  <w:pPr>
                    <w:pStyle w:val="Compact"/>
                    <w:jc w:val="center"/>
                    <w:jc w:val="center"/>
                  </w:pPr>
                  <w:r>
                    <w:t xml:space="preserve">+ 00 : 38</w:t>
                  </w:r>
                </w:p>
              </w:tc>
            </w:tr>
            <w:tr>
              <w:tc>
                <w:tcPr/>
                <w:p>
                  <w:pPr>
                    <w:pStyle w:val="Compact"/>
                    <w:jc w:val="center"/>
                    <w:jc w:val="center"/>
                  </w:pPr>
                  <w:r>
                    <w:t xml:space="preserve">2020-08-04 11:06</w:t>
                  </w:r>
                </w:p>
              </w:tc>
              <w:tc>
                <w:tcPr/>
                <w:p>
                  <w:pPr>
                    <w:pStyle w:val="Compact"/>
                    <w:jc w:val="center"/>
                    <w:jc w:val="center"/>
                  </w:pPr>
                  <w:r>
                    <w:t xml:space="preserve">10 : 45</w:t>
                  </w:r>
                </w:p>
              </w:tc>
              <w:tc>
                <w:tcPr/>
                <w:p>
                  <w:pPr>
                    <w:pStyle w:val="Compact"/>
                    <w:jc w:val="center"/>
                    <w:jc w:val="center"/>
                  </w:pPr>
                  <w:r>
                    <w:t xml:space="preserve">+ 00 : 21</w:t>
                  </w:r>
                </w:p>
              </w:tc>
            </w:tr>
            <w:tr>
              <w:tc>
                <w:tcPr/>
                <w:p>
                  <w:pPr>
                    <w:pStyle w:val="Compact"/>
                    <w:jc w:val="center"/>
                    <w:jc w:val="center"/>
                  </w:pPr>
                  <w:r>
                    <w:t xml:space="preserve">2021-10-08 11:09</w:t>
                  </w:r>
                </w:p>
              </w:tc>
              <w:tc>
                <w:tcPr/>
                <w:p>
                  <w:pPr>
                    <w:pStyle w:val="Compact"/>
                    <w:jc w:val="center"/>
                    <w:jc w:val="center"/>
                  </w:pPr>
                  <w:r>
                    <w:t xml:space="preserve">11 : 18</w:t>
                  </w:r>
                </w:p>
              </w:tc>
              <w:tc>
                <w:tcPr/>
                <w:p>
                  <w:pPr>
                    <w:pStyle w:val="Compact"/>
                    <w:jc w:val="center"/>
                    <w:jc w:val="center"/>
                  </w:pPr>
                  <w:r>
                    <w:t xml:space="preserve">- 00 : 09</w:t>
                  </w:r>
                </w:p>
              </w:tc>
            </w:tr>
            <w:tr>
              <w:tc>
                <w:tcPr/>
                <w:p>
                  <w:pPr>
                    <w:pStyle w:val="Compact"/>
                    <w:jc w:val="center"/>
                    <w:jc w:val="center"/>
                  </w:pPr>
                  <w:r>
                    <w:t xml:space="preserve">2022-08-29 11:06</w:t>
                  </w:r>
                </w:p>
              </w:tc>
              <w:tc>
                <w:tcPr/>
                <w:p>
                  <w:pPr>
                    <w:pStyle w:val="Compact"/>
                    <w:jc w:val="center"/>
                    <w:jc w:val="center"/>
                  </w:pPr>
                  <w:r>
                    <w:t xml:space="preserve">11 : 27</w:t>
                  </w:r>
                </w:p>
              </w:tc>
              <w:tc>
                <w:tcPr/>
                <w:p>
                  <w:pPr>
                    <w:pStyle w:val="Compact"/>
                    <w:jc w:val="center"/>
                    <w:jc w:val="center"/>
                  </w:pPr>
                  <w:r>
                    <w:t xml:space="preserve">- 00 : 21</w:t>
                  </w:r>
                </w:p>
              </w:tc>
            </w:tr>
            <w:tr>
              <w:tc>
                <w:tcPr/>
                <w:p>
                  <w:pPr>
                    <w:pStyle w:val="Compact"/>
                    <w:jc w:val="center"/>
                    <w:jc w:val="center"/>
                  </w:pPr>
                  <w:r>
                    <w:t xml:space="preserve">2023-09-03 11:06</w:t>
                  </w:r>
                </w:p>
              </w:tc>
              <w:tc>
                <w:tcPr/>
                <w:p>
                  <w:pPr>
                    <w:pStyle w:val="Compact"/>
                    <w:jc w:val="center"/>
                    <w:jc w:val="center"/>
                  </w:pPr>
                  <w:r>
                    <w:t xml:space="preserve">12 : 28</w:t>
                  </w:r>
                </w:p>
              </w:tc>
              <w:tc>
                <w:tcPr/>
                <w:p>
                  <w:pPr>
                    <w:pStyle w:val="Compact"/>
                    <w:jc w:val="center"/>
                    <w:jc w:val="center"/>
                  </w:pPr>
                  <w:r>
                    <w:t xml:space="preserve">- 01 : 22</w:t>
                  </w:r>
                </w:p>
              </w:tc>
            </w:tr>
          </w:tbl>
          <w:bookmarkEnd w:id="21"/>
          <w:p/>
        </w:tc>
      </w:tr>
    </w:tbl>
    <w:p>
      <w:pPr>
        <w:pStyle w:val="BodyText"/>
      </w:pPr>
      <w:r>
        <w:t xml:space="preserve">The</w:t>
      </w:r>
      <w:r>
        <w:t xml:space="preserve"> </w:t>
      </w:r>
      <w:r>
        <w:rPr>
          <w:i/>
          <w:iCs/>
        </w:rPr>
        <w:t xml:space="preserve">Intertidal Classification of Europe: Categorising Reflectance of Emerged Areas of Marine vegetation with Sentinel-2</w:t>
      </w:r>
      <w:r>
        <w:t xml:space="preserve"> </w:t>
      </w:r>
      <w:r>
        <w:t xml:space="preserve">model (ICE CREAMS,</w:t>
      </w:r>
      <w:r>
        <w:t xml:space="preserve"> </w:t>
      </w:r>
      <w:r>
        <w:t xml:space="preserve">Davies et al. (2024)</w:t>
      </w:r>
      <w:r>
        <w:t xml:space="preserve">), a neural network classifier designed to identify and discriminate intertidal vegetation in Europe, has been applied to each Sentinel-2 image. Pixels of the Magnoliopsida class (seagrasses) have been isolated, and the Normalized Difference Vegetation Index (NDVI,</w:t>
      </w:r>
      <w:r>
        <w:t xml:space="preserve"> </w:t>
      </w:r>
      <w:r>
        <w:t xml:space="preserve">Rouse et al. (1974)</w:t>
      </w:r>
      <w:r>
        <w:t xml:space="preserve">), a commonly used remote sensing biomass proxy for vegetation, has been employed. The equation of</w:t>
      </w:r>
      <w:r>
        <w:t xml:space="preserve"> </w:t>
      </w:r>
      <w:r>
        <w:t xml:space="preserve">Zoffoli et al. (2020)</w:t>
      </w:r>
      <w:r>
        <w:t xml:space="preserve"> </w:t>
      </w:r>
      <w:r>
        <w:t xml:space="preserve">have been used to transform NDVI values into Seagrass Percent Cover (</w:t>
      </w:r>
      <w:hyperlink w:anchor="eq-std">
        <w:r>
          <w:rPr>
            <w:rStyle w:val="Hyperlink"/>
          </w:rPr>
          <w:t xml:space="preserve">Equation 1</w:t>
        </w:r>
      </w:hyperlink>
      <w:r>
        <w:t xml:space="preserve">). SPC values below 20%, corresponding to low biomass pixel, with a high risk of confusion with other vegetation classes, have been remove from the rest of the analysis.</w:t>
      </w:r>
    </w:p>
    <w:p>
      <w:pPr>
        <w:pStyle w:val="BodyText"/>
      </w:pPr>
      <w:bookmarkStart w:id="22" w:name="eq-std"/>
      <m:oMathPara>
        <m:oMathParaPr>
          <m:jc m:val="center"/>
        </m:oMathParaPr>
        <m:oMath>
          <m:r>
            <m:t>S</m:t>
          </m:r>
          <m:r>
            <m:t>P</m:t>
          </m:r>
          <m:r>
            <m:t>C</m:t>
          </m:r>
          <m:r>
            <m:rPr>
              <m:sty m:val="p"/>
            </m:rPr>
            <m:t>=</m:t>
          </m:r>
          <m:r>
            <m:t>172.06</m:t>
          </m:r>
          <m:r>
            <m:rPr>
              <m:sty m:val="p"/>
            </m:rPr>
            <m:t>×</m:t>
          </m:r>
          <m:r>
            <m:t>N</m:t>
          </m:r>
          <m:r>
            <m:t>D</m:t>
          </m:r>
          <m:r>
            <m:t>V</m:t>
          </m:r>
          <m:r>
            <m:t>I</m:t>
          </m:r>
          <m:r>
            <m:rPr>
              <m:sty m:val="p"/>
            </m:rPr>
            <m:t>−</m:t>
          </m:r>
          <m:r>
            <m:t>22.18</m:t>
          </m:r>
          <m:r>
            <m:t>  </m:t>
          </m:r>
          <m:d>
            <m:dPr>
              <m:begChr m:val="("/>
              <m:endChr m:val=")"/>
              <m:sepChr m:val=""/>
              <m:grow/>
            </m:dPr>
            <m:e>
              <m:r>
                <m:t>1</m:t>
              </m:r>
            </m:e>
          </m:d>
        </m:oMath>
      </m:oMathPara>
      <w:bookmarkEnd w:id="22"/>
    </w:p>
    <w:p>
      <w:pPr>
        <w:pStyle w:val="FirstParagraph"/>
      </w:pPr>
      <w:r>
        <w:t xml:space="preserve">Maps and analysis have then been performed using the</w:t>
      </w:r>
      <w:r>
        <w:t xml:space="preserve"> </w:t>
      </w:r>
      <w:r>
        <w:rPr>
          <w:i/>
          <w:iCs/>
        </w:rPr>
        <w:t xml:space="preserve">Terra</w:t>
      </w:r>
      <w:r>
        <w:t xml:space="preserve"> </w:t>
      </w:r>
      <w:r>
        <w:t xml:space="preserve">package of R, in a</w:t>
      </w:r>
      <w:r>
        <w:t xml:space="preserve"> </w:t>
      </w:r>
      <w:r>
        <w:rPr>
          <w:i/>
          <w:iCs/>
        </w:rPr>
        <w:t xml:space="preserve">Tidyverse</w:t>
      </w:r>
      <w:r>
        <w:t xml:space="preserve"> </w:t>
      </w:r>
      <w:r>
        <w:t xml:space="preserve">workflow</w:t>
      </w:r>
      <w:r>
        <w:t xml:space="preserve"> </w:t>
      </w:r>
      <w:r>
        <w:t xml:space="preserve">(Hijmans 2023; Wickham 2017)</w:t>
      </w:r>
      <w:r>
        <w:t xml:space="preserve">.</w:t>
      </w:r>
    </w:p>
    <w:bookmarkEnd w:id="23"/>
    <w:bookmarkEnd w:id="24"/>
    <w:bookmarkStart w:id="36" w:name="results"/>
    <w:p>
      <w:pPr>
        <w:pStyle w:val="Heading1"/>
      </w:pPr>
      <w:r>
        <w:t xml:space="preserve">2. Results</w:t>
      </w:r>
    </w:p>
    <w:bookmarkStart w:id="35" w:name="Xed18199de155ce347db9f9c643682aecef20d82"/>
    <w:p>
      <w:pPr>
        <w:pStyle w:val="Heading2"/>
      </w:pPr>
      <w:r>
        <w:t xml:space="preserve">2.1 Evolution of the spatial distribution of seagrasses over time</w:t>
      </w:r>
    </w:p>
    <w:bookmarkStart w:id="34" w:name="refs"/>
    <w:bookmarkStart w:id="26" w:name="ref-Copernicus_Sentinel"/>
    <w:p>
      <w:pPr>
        <w:pStyle w:val="Bibliography"/>
      </w:pPr>
      <w:r>
        <w:t xml:space="preserve">Copernicus. 2024.</w:t>
      </w:r>
      <w:r>
        <w:t xml:space="preserve"> </w:t>
      </w:r>
      <w:r>
        <w:t xml:space="preserve">“Copernicus Open Access Hub.”</w:t>
      </w:r>
      <w:r>
        <w:t xml:space="preserve"> </w:t>
      </w:r>
      <w:hyperlink r:id="rId25">
        <w:r>
          <w:rPr>
            <w:rStyle w:val="Hyperlink"/>
          </w:rPr>
          <w:t xml:space="preserve">https://browser.dataspace.copernicus.eu/</w:t>
        </w:r>
      </w:hyperlink>
      <w:r>
        <w:t xml:space="preserve">.</w:t>
      </w:r>
    </w:p>
    <w:bookmarkEnd w:id="26"/>
    <w:bookmarkStart w:id="28" w:name="ref-Davies2024"/>
    <w:p>
      <w:pPr>
        <w:pStyle w:val="Bibliography"/>
      </w:pPr>
      <w:r>
        <w:t xml:space="preserve">Davies, Bede Ffinian Rowe, Simon Oiry, Philippe Rosa, Maria Laura Zoffoli, Ana I. Sousa, Oliver R. Thomas, Dan A. Smale, et al. 2024.</w:t>
      </w:r>
      <w:r>
        <w:t xml:space="preserve"> </w:t>
      </w:r>
      <w:r>
        <w:t xml:space="preserve">“A Sentinel Watching over Inter-Tidal Seagrass Phenology Across Western Europe and North Africa.”</w:t>
      </w:r>
      <w:r>
        <w:t xml:space="preserve"> </w:t>
      </w:r>
      <w:r>
        <w:rPr>
          <w:i/>
          <w:iCs/>
        </w:rPr>
        <w:t xml:space="preserve">Communications Earth</w:t>
      </w:r>
      <w:r>
        <w:rPr>
          <w:i/>
          <w:iCs/>
        </w:rPr>
        <w:t xml:space="preserve"> </w:t>
      </w:r>
      <w:r>
        <w:rPr>
          <w:i/>
          <w:iCs/>
        </w:rPr>
        <w:t xml:space="preserve">&amp;</w:t>
      </w:r>
      <w:r>
        <w:rPr>
          <w:i/>
          <w:iCs/>
        </w:rPr>
        <w:t xml:space="preserve"> </w:t>
      </w:r>
      <w:r>
        <w:rPr>
          <w:i/>
          <w:iCs/>
        </w:rPr>
        <w:t xml:space="preserve">Environment</w:t>
      </w:r>
      <w:r>
        <w:t xml:space="preserve"> </w:t>
      </w:r>
      <w:r>
        <w:t xml:space="preserve">5 (1): 382.</w:t>
      </w:r>
      <w:r>
        <w:t xml:space="preserve"> </w:t>
      </w:r>
      <w:hyperlink r:id="rId27">
        <w:r>
          <w:rPr>
            <w:rStyle w:val="Hyperlink"/>
          </w:rPr>
          <w:t xml:space="preserve">https://doi.org/10.1038/s43247-024-01543-z</w:t>
        </w:r>
      </w:hyperlink>
      <w:r>
        <w:t xml:space="preserve">.</w:t>
      </w:r>
    </w:p>
    <w:bookmarkEnd w:id="28"/>
    <w:bookmarkStart w:id="29" w:name="ref-hijmans2023terra"/>
    <w:p>
      <w:pPr>
        <w:pStyle w:val="Bibliography"/>
      </w:pPr>
      <w:r>
        <w:t xml:space="preserve">Hijmans, R. 2023.</w:t>
      </w:r>
      <w:r>
        <w:t xml:space="preserve"> </w:t>
      </w:r>
      <w:r>
        <w:t xml:space="preserve">“Terra: Spatial Data Analysis. R Package Version 1.7-39.”</w:t>
      </w:r>
      <w:r>
        <w:t xml:space="preserve"> </w:t>
      </w:r>
      <w:r>
        <w:rPr>
          <w:i/>
          <w:iCs/>
        </w:rPr>
        <w:t xml:space="preserve">The R Foundation for Statistical Computing</w:t>
      </w:r>
      <w:r>
        <w:t xml:space="preserve">.</w:t>
      </w:r>
    </w:p>
    <w:bookmarkEnd w:id="29"/>
    <w:bookmarkStart w:id="30" w:name="ref-rouse1974monitoring"/>
    <w:p>
      <w:pPr>
        <w:pStyle w:val="Bibliography"/>
      </w:pPr>
      <w:r>
        <w:t xml:space="preserve">Rouse, John Wilson, Rüdiger H Haas, John A Schell, Donald W Deering, et al. 1974.</w:t>
      </w:r>
      <w:r>
        <w:t xml:space="preserve"> </w:t>
      </w:r>
      <w:r>
        <w:t xml:space="preserve">“Monitoring Vegetation Systems in the Great Plains with ERTS.”</w:t>
      </w:r>
      <w:r>
        <w:t xml:space="preserve"> </w:t>
      </w:r>
      <w:r>
        <w:rPr>
          <w:i/>
          <w:iCs/>
        </w:rPr>
        <w:t xml:space="preserve">NASA Spec. Publ</w:t>
      </w:r>
      <w:r>
        <w:t xml:space="preserve"> </w:t>
      </w:r>
      <w:r>
        <w:t xml:space="preserve">351 (1): 309.</w:t>
      </w:r>
    </w:p>
    <w:bookmarkEnd w:id="30"/>
    <w:bookmarkStart w:id="31" w:name="ref-wickham2017easily"/>
    <w:p>
      <w:pPr>
        <w:pStyle w:val="Bibliography"/>
      </w:pPr>
      <w:r>
        <w:t xml:space="preserve">Wickham, Hadley. 2017.</w:t>
      </w:r>
      <w:r>
        <w:t xml:space="preserve"> </w:t>
      </w:r>
      <w:r>
        <w:t xml:space="preserve">“Easily Install and Load the</w:t>
      </w:r>
      <w:r>
        <w:t xml:space="preserve"> </w:t>
      </w:r>
      <w:r>
        <w:t xml:space="preserve">‘Tidyverse’</w:t>
      </w:r>
      <w:r>
        <w:t xml:space="preserve">.”</w:t>
      </w:r>
      <w:r>
        <w:t xml:space="preserve"> </w:t>
      </w:r>
      <w:r>
        <w:rPr>
          <w:i/>
          <w:iCs/>
        </w:rPr>
        <w:t xml:space="preserve">R Package Version</w:t>
      </w:r>
      <w:r>
        <w:t xml:space="preserve"> </w:t>
      </w:r>
      <w:r>
        <w:t xml:space="preserve">1 (1).</w:t>
      </w:r>
    </w:p>
    <w:bookmarkEnd w:id="31"/>
    <w:bookmarkStart w:id="33" w:name="ref-zoffoli2020sentinel"/>
    <w:p>
      <w:pPr>
        <w:pStyle w:val="Bibliography"/>
      </w:pPr>
      <w:r>
        <w:t xml:space="preserve">Zoffoli, Maria Laura, Pierre Gernez, Philippe Rosa, Anthony Le Bris, Vittorio E Brando, Anne-Laure Barillé, Nicolas Harin, et al. 2020.</w:t>
      </w:r>
      <w:r>
        <w:t xml:space="preserve"> </w:t>
      </w:r>
      <w:r>
        <w:t xml:space="preserve">“Sentinel-2 Remote Sensing of Zostera Noltei-Dominated Intertidal Seagrass Meadows.”</w:t>
      </w:r>
      <w:r>
        <w:t xml:space="preserve"> </w:t>
      </w:r>
      <w:r>
        <w:rPr>
          <w:i/>
          <w:iCs/>
        </w:rPr>
        <w:t xml:space="preserve">Remote Sensing of Environment</w:t>
      </w:r>
      <w:r>
        <w:t xml:space="preserve"> </w:t>
      </w:r>
      <w:r>
        <w:t xml:space="preserve">251: 112020.</w:t>
      </w:r>
      <w:r>
        <w:t xml:space="preserve"> </w:t>
      </w:r>
      <w:hyperlink r:id="rId32">
        <w:r>
          <w:rPr>
            <w:rStyle w:val="Hyperlink"/>
          </w:rPr>
          <w:t xml:space="preserve">https://doi.org/10.1016/j.rse.2020.112020</w:t>
        </w:r>
      </w:hyperlink>
      <w:r>
        <w:t xml:space="preserve">.</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owser.dataspace.copernicus.eu/" TargetMode="External" /><Relationship Type="http://schemas.openxmlformats.org/officeDocument/2006/relationships/hyperlink" Id="rId32" Target="https://doi.org/10.1016/j.rse.2020.112020" TargetMode="External" /><Relationship Type="http://schemas.openxmlformats.org/officeDocument/2006/relationships/hyperlink" Id="rId27" Target="https://doi.org/10.1038/s43247-024-01543-z" TargetMode="External" /><Relationship Type="http://schemas.openxmlformats.org/officeDocument/2006/relationships/hyperlink" Id="rId20" Target="https://github.com/SigOiry/Seagrass_maps_Maxime" TargetMode="External" /></Relationships>
</file>

<file path=word/_rels/footnotes.xml.rels><?xml version="1.0" encoding="UTF-8"?><Relationships xmlns="http://schemas.openxmlformats.org/package/2006/relationships"><Relationship Type="http://schemas.openxmlformats.org/officeDocument/2006/relationships/hyperlink" Id="rId25" Target="https://browser.dataspace.copernicus.eu/" TargetMode="External" /><Relationship Type="http://schemas.openxmlformats.org/officeDocument/2006/relationships/hyperlink" Id="rId32" Target="https://doi.org/10.1016/j.rse.2020.112020" TargetMode="External" /><Relationship Type="http://schemas.openxmlformats.org/officeDocument/2006/relationships/hyperlink" Id="rId27" Target="https://doi.org/10.1038/s43247-024-01543-z" TargetMode="External" /><Relationship Type="http://schemas.openxmlformats.org/officeDocument/2006/relationships/hyperlink" Id="rId20" Target="https://github.com/SigOiry/Seagrass_maps_Max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 Bede Ffinian Rowe Davies</dc:creator>
  <cp:keywords>Remote Sensing, Sentinel-2, Seagrass</cp:keywords>
  <dcterms:created xsi:type="dcterms:W3CDTF">2024-07-17T13:35:35Z</dcterms:created>
  <dcterms:modified xsi:type="dcterms:W3CDTF">2024-07-17T13:35:35Z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2024-07-17</vt:lpwstr>
  </property>
  <property fmtid="{D5CDD505-2E9C-101B-9397-08002B2CF9AE}" pid="11" name="editor_options">
    <vt:lpwstr/>
  </property>
  <property fmtid="{D5CDD505-2E9C-101B-9397-08002B2CF9AE}" pid="12" name="file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resources">
    <vt:lpwstr/>
  </property>
  <property fmtid="{D5CDD505-2E9C-101B-9397-08002B2CF9AE}" pid="24" name="subtitle">
    <vt:lpwstr>About a rapid evolution of seagrasses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