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8"/>
        </w:rPr>
        <w:t>Tendencias emergentes de inteligencia artificial con potencial impacto empresarial durante los próximos tres años</w:t>
      </w:r>
    </w:p>
    <w:p>
      <w:pPr>
        <w:jc w:val="center"/>
      </w:pPr>
      <w:r>
        <w:rPr>
          <w:sz w:val="28"/>
        </w:rPr>
        <w:t>Informe ejecutivo para Horizonte Digital S.A.S.</w:t>
      </w:r>
    </w:p>
    <w:p>
      <w:pPr>
        <w:jc w:val="center"/>
      </w:pPr>
      <w:r>
        <w:rPr>
          <w:sz w:val="24"/>
        </w:rPr>
        <w:t>Fecha: 2026-10-01</w:t>
      </w:r>
    </w:p>
    <w:p>
      <w:pPr>
        <w:jc w:val="center"/>
      </w:pPr>
      <w:r>
        <w:rPr>
          <w:sz w:val="22"/>
        </w:rPr>
        <w:t>Estado de auditoría: APROBADO · Score global: 89.5/100</w:t>
      </w:r>
    </w:p>
    <w:p>
      <w:pPr>
        <w:jc w:val="center"/>
      </w:pPr>
      <w:r>
        <w:rPr>
          <w:sz w:val="20"/>
        </w:rPr>
        <w:t>Elaborado por un sistema multiagente: Trend Scout → Report Writer → Quality Auditor &amp; Publisher</w:t>
      </w:r>
    </w:p>
    <w:p>
      <w:r>
        <w:br w:type="page"/>
      </w:r>
    </w:p>
    <w:p>
      <w:pPr>
        <w:pStyle w:val="Heading1"/>
      </w:pPr>
      <w:r>
        <w:t>Tabla de contenido</w:t>
      </w:r>
    </w:p>
    <w:p>
      <w:r>
        <w:fldChar w:fldCharType="begin"/>
        <w:instrText xml:space="preserve">TOC \o "1-3" \h \z \u</w:instrText>
        <w:fldChar w:fldCharType="separate"/>
        <w:t>Clic derecho → Actualizar campo para generar la tabla de contenido.</w:t>
        <w:fldChar w:fldCharType="end"/>
      </w:r>
    </w:p>
    <w:p>
      <w:r>
        <w:br w:type="page"/>
      </w:r>
    </w:p>
    <w:p>
      <w:pPr>
        <w:pStyle w:val="Heading1"/>
      </w:pPr>
      <w:r>
        <w:t>1. Resumen Ejecutivo</w:t>
      </w:r>
    </w:p>
    <w:p>
      <w:r>
        <w:rPr>
          <w:b w:val="0"/>
        </w:rPr>
        <w:t>Recomendación principal: Priorizar la incorporación formal de marcos de gobernanza y cumplimiento de IA, y evaluar de manera controlada la adopción de LLMs verticales, agentes autónomos, asistentes de código, capacidades multimodales y despliegue en el borde para capturar eficiencias y reducir riesgos regulatorios, de seguridad y de veracidad [E19][E20][E1][E4][E10][E12][E16].</w:t>
      </w:r>
    </w:p>
    <w:p>
      <w:r>
        <w:rPr>
          <w:b w:val="0"/>
        </w:rPr>
        <w:t>Tendencia · Clasificación · Confianza</w:t>
      </w:r>
    </w:p>
    <w:p>
      <w:pPr>
        <w:pStyle w:val="ListBullet"/>
      </w:pPr>
      <w:r>
        <w:rPr>
          <w:b w:val="0"/>
        </w:rPr>
        <w:t>T1. Modelos de lenguaje especializados para empresas (LLMs verticales) · Evaluar · alta [E1][E2][E3].</w:t>
      </w:r>
    </w:p>
    <w:p>
      <w:pPr>
        <w:pStyle w:val="ListBullet"/>
      </w:pPr>
      <w:r>
        <w:rPr>
          <w:b w:val="0"/>
        </w:rPr>
        <w:t>T2. Agentes autónomos y automatización avanzada del trabajo · Evaluar · alta [E4][E5][E6].</w:t>
      </w:r>
    </w:p>
    <w:p>
      <w:pPr>
        <w:pStyle w:val="ListBullet"/>
      </w:pPr>
      <w:r>
        <w:rPr>
          <w:b w:val="0"/>
        </w:rPr>
        <w:t>T3. IA generativa aplicada al desarrollo de software (code assistants) · Evaluar · alta [E7][E8][E10][E9].</w:t>
      </w:r>
    </w:p>
    <w:p>
      <w:pPr>
        <w:pStyle w:val="ListBullet"/>
      </w:pPr>
      <w:r>
        <w:rPr>
          <w:b w:val="0"/>
        </w:rPr>
        <w:t>T4. IA multimodal y generación audiovisual a escala · Evaluar · alta [E11][E12][E13][E14].</w:t>
      </w:r>
    </w:p>
    <w:p>
      <w:pPr>
        <w:pStyle w:val="ListBullet"/>
      </w:pPr>
      <w:r>
        <w:rPr>
          <w:b w:val="0"/>
        </w:rPr>
        <w:t>T5. IA en el borde y procesamiento en tiempo real · Evaluar · alta [E15][E16][E18].</w:t>
      </w:r>
    </w:p>
    <w:p>
      <w:pPr>
        <w:pStyle w:val="ListBullet"/>
      </w:pPr>
      <w:r>
        <w:rPr>
          <w:b w:val="0"/>
        </w:rPr>
        <w:t>T6. Gobernanza, cumplimiento y gestión del riesgo de modelos AI · Incorporar · alta [E19][E20][E21].</w:t>
      </w:r>
    </w:p>
    <w:p>
      <w:r>
        <w:rPr>
          <w:b w:val="0"/>
        </w:rPr>
        <w:t>Argumentos clave que sostienen la recomendación:</w:t>
      </w:r>
    </w:p>
    <w:p>
      <w:pPr>
        <w:pStyle w:val="ListNumber"/>
      </w:pPr>
      <w:r>
        <w:rPr>
          <w:b w:val="0"/>
        </w:rPr>
        <w:t>Los marcos regulatorios y de gestión de riesgo ya son requisitos operativos concretos que exigen procesos de gobernanza, documentación y controles de terceros, por lo que incorporarlos es crítico para operar con modelos de IA [E19][E20].</w:t>
      </w:r>
    </w:p>
    <w:p>
      <w:pPr>
        <w:pStyle w:val="ListNumber"/>
      </w:pPr>
      <w:r>
        <w:rPr>
          <w:b w:val="0"/>
        </w:rPr>
        <w:t>Las tecnologías con mayor tracción —LLMs verticales, agentes, asistentes de código, multimodal y edge AI— muestran adopciones en producción y resultados medibles (por ejemplo, despliegues de agentes en producción y mejoras de throughput por asistentes de código), lo que abre oportunidades de productividad que deben desplegarse bajo gobernanza [E4][E5][E10][E7].</w:t>
      </w:r>
    </w:p>
    <w:p>
      <w:pPr>
        <w:pStyle w:val="ListNumber"/>
      </w:pPr>
      <w:r>
        <w:rPr>
          <w:b w:val="0"/>
        </w:rPr>
        <w:t>Existen riesgos verificables —seguridad del código generado, problemas de alineación y veracidad en contenido multimodal, y requisitos regulatorios— que demandan inversión en validación técnica, controles y procesos antes de una incorporación amplia [E9][E13][E20].</w:t>
      </w:r>
    </w:p>
    <w:p>
      <w:pPr>
        <w:pStyle w:val="Heading1"/>
      </w:pPr>
      <w:r>
        <w:t>2. Objetivo</w:t>
      </w:r>
    </w:p>
    <w:p>
      <w:r>
        <w:rPr>
          <w:b w:val="0"/>
        </w:rPr>
        <w:t>Este informe busca entregar a la alta dirección un análisis accionable de las tendencias emergentes de IA que tienen potencial impacto empresarial durante los próximos tres años, para decidir cuáles observar, evaluar o incorporar, basándose únicamente en los hallazgos validados proporcionados [E1][E4][E7][E19].</w:t>
      </w:r>
    </w:p>
    <w:p>
      <w:pPr>
        <w:pStyle w:val="Heading1"/>
      </w:pPr>
      <w:r>
        <w:t>3. Metodología</w:t>
      </w:r>
    </w:p>
    <w:p>
      <w:r>
        <w:rPr>
          <w:b w:val="0"/>
        </w:rPr>
        <w:t>El análisis resume hallazgos validados proporcionados por el equipo de investigación y verificados por auditoría interna; los hallazgos se basan en fuentes públicas y literatura técnica, informes de consultoras y estudios académicos recientes, y la fecha de investigación de los hallazgos es 2026-10-02 [E1][E19].</w:t>
      </w:r>
    </w:p>
    <w:p>
      <w:r>
        <w:rPr>
          <w:b w:val="0"/>
        </w:rPr>
        <w:t>El proceso incluyó: revisión y síntesis de las evidencias entregadas, clasificación de madurez e impacto según la documentación de cada hallazgo, y redacción de recomendaciones proporcionales a madurez y confianza reportadas en los hallazgos; no se añadió información externa ni se infirieron cifras nuevas fuera de las provistas en las evidencias [E3][E20].</w:t>
      </w:r>
    </w:p>
    <w:p>
      <w:pPr>
        <w:pStyle w:val="Heading1"/>
      </w:pPr>
      <w:r>
        <w:t>4. Tendencias Analizadas</w:t>
      </w:r>
    </w:p>
    <w:p>
      <w:pPr>
        <w:pStyle w:val="Heading2"/>
      </w:pPr>
      <w:r>
        <w:t>T1. Modelos de lenguaje especializados para empresas (LLMs verticales)</w:t>
      </w:r>
    </w:p>
    <w:p>
      <w:r>
        <w:rPr>
          <w:b w:val="0"/>
        </w:rPr>
        <w:t>Qué es: Desplazamiento hacia LLMs afinados o entrenados para dominios específicos que integran datos y vocabularios sectoriales para reducir alucinaciones y adaptar respuestas a requisitos regulatorios y operativos [E1][E2][E3].</w:t>
      </w:r>
    </w:p>
    <w:p>
      <w:r>
        <w:rPr>
          <w:b w:val="0"/>
        </w:rPr>
        <w:t>Madurez: en_adopcion; existen implementaciones, publicaciones técnicas y pilotos en sectores como finanzas y salud [E1][E2][E3].</w:t>
      </w:r>
    </w:p>
    <w:p>
      <w:r>
        <w:rPr>
          <w:b w:val="0"/>
        </w:rPr>
        <w:t>Impacto: alto; afectan procesos centrales en sectores regulados con mejoras esperadas en precisión, cumplimiento y velocidad operativa [E1][E2].</w:t>
      </w:r>
    </w:p>
    <w:p>
      <w:r>
        <w:rPr>
          <w:b w:val="0"/>
        </w:rPr>
        <w:t>Confianza: alta; la tendencia está respaldada por múltiples fuentes independientes recientes (paper de proveedor, estudio académico y análisis de mercado) [E1][E2][E3].</w:t>
      </w:r>
    </w:p>
    <w:p>
      <w:r>
        <w:rPr>
          <w:b w:val="0"/>
        </w:rPr>
        <w:t>Evidencias: [E1], [E2], [E3].</w:t>
      </w:r>
    </w:p>
    <w:p>
      <w:pPr>
        <w:pStyle w:val="Heading2"/>
      </w:pPr>
      <w:r>
        <w:t>T2. Agentes autónomos y automatización avanzada del trabajo</w:t>
      </w:r>
    </w:p>
    <w:p>
      <w:r>
        <w:rPr>
          <w:b w:val="0"/>
        </w:rPr>
        <w:t>Qué es: Uso de agentes AI que delegan tareas, orquestan herramientas y ejecutan flujos de trabajo multi‑paso conectados a sistemas internos para funciones como soporte, legal y finanzas [E4][E5][E6].</w:t>
      </w:r>
    </w:p>
    <w:p>
      <w:r>
        <w:rPr>
          <w:b w:val="0"/>
        </w:rPr>
        <w:t>Madurez: en_adopcion; encuestas y estudios de 2026 documentan adopciones en producción y pilotos, con porcentajes de despliegue reportados entre encuestados técnicos [E4][E6].</w:t>
      </w:r>
    </w:p>
    <w:p>
      <w:r>
        <w:rPr>
          <w:b w:val="0"/>
        </w:rPr>
        <w:t>Impacto: alto; fuentes muestran reubicación de tareas a IA y despliegues en producción que sugieren cambios en procesos clave de soporte, finanzas y cumplimiento [E4][E5][E6].</w:t>
      </w:r>
    </w:p>
    <w:p>
      <w:r>
        <w:rPr>
          <w:b w:val="0"/>
        </w:rPr>
        <w:t>Confianza: alta; evidencia reciente y consistente de proveedores, consultoras y estudios académicos documenta despliegues y uso transversal [E4][E5][E6].</w:t>
      </w:r>
    </w:p>
    <w:p>
      <w:r>
        <w:rPr>
          <w:b w:val="0"/>
        </w:rPr>
        <w:t>Evidencias: [E4], [E5], [E6].</w:t>
      </w:r>
    </w:p>
    <w:p>
      <w:pPr>
        <w:pStyle w:val="Heading2"/>
      </w:pPr>
      <w:r>
        <w:t>T3. IA generativa aplicada al desarrollo de software (code assistants)</w:t>
      </w:r>
    </w:p>
    <w:p>
      <w:r>
        <w:rPr>
          <w:b w:val="0"/>
        </w:rPr>
        <w:t>Qué es: Asistentes generativos y agentes que ayudan en escritura, prueba y revisión de código, cambiando flujos de entrega y revisión [E7][E8][E9][E10].</w:t>
      </w:r>
    </w:p>
    <w:p>
      <w:r>
        <w:rPr>
          <w:b w:val="0"/>
        </w:rPr>
        <w:t>Madurez: en_adopcion; existen productos comerciales y despliegues a escala, con heterogeneidad en resultados y gobernanza en desarrollo [E7][E8][E10].</w:t>
      </w:r>
    </w:p>
    <w:p>
      <w:r>
        <w:rPr>
          <w:b w:val="0"/>
        </w:rPr>
        <w:t>Impacto: alto; evidencias muestran aumentos en capacidad de entrega y percepciones de velocidad de entrega, junto a riesgos de seguridad y deuda técnica asociados a código generado por IA [E10][E7][E9].</w:t>
      </w:r>
    </w:p>
    <w:p>
      <w:r>
        <w:rPr>
          <w:b w:val="0"/>
        </w:rPr>
        <w:t>Confianza: alta; múltiples fuentes recientes (proveedor, meta-análisis, benchmarking, estudio longitudinal) reportan patrones consistentes sobre productividad y riesgos operativos [E7][E8][E9][E10].</w:t>
      </w:r>
    </w:p>
    <w:p>
      <w:r>
        <w:rPr>
          <w:b w:val="0"/>
        </w:rPr>
        <w:t>Evidencias: [E7], [E8], [E9], [E10].</w:t>
      </w:r>
    </w:p>
    <w:p>
      <w:pPr>
        <w:pStyle w:val="Heading2"/>
      </w:pPr>
      <w:r>
        <w:t>T4. IA multimodal y generación audiovisual a escala</w:t>
      </w:r>
    </w:p>
    <w:p>
      <w:r>
        <w:rPr>
          <w:b w:val="0"/>
        </w:rPr>
        <w:t>Qué es: Modelos que integran texto, imagen, audio y video para generar contenido personalizado a escala, aplicable a marketing, formación y atención al cliente [E11][E12][E13][E14].</w:t>
      </w:r>
    </w:p>
    <w:p>
      <w:r>
        <w:rPr>
          <w:b w:val="0"/>
        </w:rPr>
        <w:t>Madurez: en_adopcion; existen productos comerciales, APIs empresariales y pilotos a escala fuera de laboratorios [E12][E14].</w:t>
      </w:r>
    </w:p>
    <w:p>
      <w:r>
        <w:rPr>
          <w:b w:val="0"/>
        </w:rPr>
        <w:t>Impacto: alto; puede cambiar procesos de producción de contenido, personalización de experiencia y atención automatizada con efecto en ingresos y modelos operativos [E11][E12][E14].</w:t>
      </w:r>
    </w:p>
    <w:p>
      <w:r>
        <w:rPr>
          <w:b w:val="0"/>
        </w:rPr>
        <w:t>Confianza: alta; varias fuentes recientes coinciden en expansión de casos de uso multimodal y desafíos de veracidad y alineación [E11][E12][E13][E14].</w:t>
      </w:r>
    </w:p>
    <w:p>
      <w:r>
        <w:rPr>
          <w:b w:val="0"/>
        </w:rPr>
        <w:t>Evidencias: [E11], [E12], [E13], [E14].</w:t>
      </w:r>
    </w:p>
    <w:p>
      <w:pPr>
        <w:pStyle w:val="Heading2"/>
      </w:pPr>
      <w:r>
        <w:t>T5. IA en el borde y procesamiento en tiempo real</w:t>
      </w:r>
    </w:p>
    <w:p>
      <w:r>
        <w:rPr>
          <w:b w:val="0"/>
        </w:rPr>
        <w:t>Qué es: Despliegue de modelos ligeros y aceleradores hardware en dispositivos y gateways para inferencia en tiempo real en manufactura, retail e IoT [E15][E16][E18].</w:t>
      </w:r>
    </w:p>
    <w:p>
      <w:r>
        <w:rPr>
          <w:b w:val="0"/>
        </w:rPr>
        <w:t>Madurez: en_adopcion; despliegues han pasado de pilotos a producción y existen productos comerciales y hardware específico para inferencia on-device [E15][E16][E17].</w:t>
      </w:r>
    </w:p>
    <w:p>
      <w:r>
        <w:rPr>
          <w:b w:val="0"/>
        </w:rPr>
        <w:t>Impacto: alto; permite decisiones en milisegundos, reduce costos de egress y mejora privacidad y continuidad operativa en entornos críticos [E18][E15].</w:t>
      </w:r>
    </w:p>
    <w:p>
      <w:r>
        <w:rPr>
          <w:b w:val="0"/>
        </w:rPr>
        <w:t>Confianza: alta; evidencias independientes (mercado, académico, consultora, proveedor) son consistentes sobre la tendencia [E15][E16][E17][E18].</w:t>
      </w:r>
    </w:p>
    <w:p>
      <w:r>
        <w:rPr>
          <w:b w:val="0"/>
        </w:rPr>
        <w:t>Evidencias: [E15], [E16], [E17], [E18].</w:t>
      </w:r>
    </w:p>
    <w:p>
      <w:pPr>
        <w:pStyle w:val="Heading2"/>
      </w:pPr>
      <w:r>
        <w:t>T6. Gobernanza, cumplimiento y gestión del riesgo de modelos AI</w:t>
      </w:r>
    </w:p>
    <w:p>
      <w:r>
        <w:rPr>
          <w:b w:val="0"/>
        </w:rPr>
        <w:t>Qué es: Consolidación de marcos regulatorios, prácticas de auditoría y técnicas (p. ej. watermarking) que exigen documentación, transparencia y procesos de gobernanza internos [E19][E20][E21].</w:t>
      </w:r>
    </w:p>
    <w:p>
      <w:r>
        <w:rPr>
          <w:b w:val="0"/>
        </w:rPr>
        <w:t>Madurez: en_adopcion; existen marcos y regulaciones publicados y técnicas de auditoría, con implementación práctica en crecimiento [E19][E20][E21].</w:t>
      </w:r>
    </w:p>
    <w:p>
      <w:r>
        <w:rPr>
          <w:b w:val="0"/>
        </w:rPr>
        <w:t>Impacto: alto; obligaciones legales y marcos como AI Act y NIST AI RMF implican cambios en procesos, compras y operaciones centrales [E19][E20].</w:t>
      </w:r>
    </w:p>
    <w:p>
      <w:r>
        <w:rPr>
          <w:b w:val="0"/>
        </w:rPr>
        <w:t>Confianza: alta; evidencia consistente y reciente de organismos regulatorios, estándares y literatura académica respalda la tendencia [E19][E20][E21].</w:t>
      </w:r>
    </w:p>
    <w:p>
      <w:r>
        <w:rPr>
          <w:b w:val="0"/>
        </w:rPr>
        <w:t>Evidencias: [E19], [E20], [E21].</w:t>
      </w:r>
    </w:p>
    <w:p>
      <w:pPr>
        <w:pStyle w:val="Heading1"/>
      </w:pPr>
      <w:r>
        <w:t>5. Impacto Empresarial</w:t>
      </w:r>
    </w:p>
    <w:p>
      <w:pPr>
        <w:pStyle w:val="ListBullet"/>
      </w:pPr>
      <w:r>
        <w:rPr>
          <w:b w:val="0"/>
        </w:rPr>
        <w:t>Productividad y entrega de productos: Los asistentes de código y mandatos de IA han mostrado mejoras de throughput por desarrollador (por ejemplo 2.09x en un estudio longitudinal), lo que sugiere potencial para acelerar roadmaps de producto si se gestionan riesgos de seguridad y deuda técnica [E10][E7][E9].</w:t>
      </w:r>
    </w:p>
    <w:p>
      <w:pPr>
        <w:pStyle w:val="ListBullet"/>
      </w:pPr>
      <w:r>
        <w:rPr>
          <w:b w:val="0"/>
        </w:rPr>
        <w:t>Mejora en precisión y cumplimiento en procesos regulados: LLMs verticales entrenados con datos sectoriales muestran rendimiento superior en tareas financieras y médicas en estudios y papers técnicos, lo que puede reducir errores y acelerar procesos regulados si se valida apropiadamente [E1][E2][E3].</w:t>
      </w:r>
    </w:p>
    <w:p>
      <w:pPr>
        <w:pStyle w:val="ListBullet"/>
      </w:pPr>
      <w:r>
        <w:rPr>
          <w:b w:val="0"/>
        </w:rPr>
        <w:t>Escala en personalización y generación de contenido: Uso de APIs para customer service y content generation representa una porción significativa del tráfico y los ejecutivos de retail planifican capacidades de personalización basadas en IA, lo que abre oportunidades comerciales de personalización a escala [E12][E11][E14].</w:t>
      </w:r>
    </w:p>
    <w:p>
      <w:pPr>
        <w:pStyle w:val="ListBullet"/>
      </w:pPr>
      <w:r>
        <w:rPr>
          <w:b w:val="0"/>
        </w:rPr>
        <w:t>Latencia, privacidad y continuidad operativa: Inferencia en el borde permite decisiones sub-100 ms en manufactura y reduce dependencia de WAN, con implicaciones en diseño de operaciones y CAPEX/OPEX de infraestructura [E18][E15][E16].</w:t>
      </w:r>
    </w:p>
    <w:p>
      <w:pPr>
        <w:pStyle w:val="ListBullet"/>
      </w:pPr>
      <w:r>
        <w:rPr>
          <w:b w:val="0"/>
        </w:rPr>
        <w:t>Riesgos regulatorios y contractuales: La existencia de marcos regulatorios y recomendaciones de organismos como NIST implica que la compra, despliegue y operación de modelos AI requerirá controles, documentación y gobernanza para evitar sanciones y riesgos legales [E19][E20].</w:t>
      </w:r>
    </w:p>
    <w:p>
      <w:pPr>
        <w:pStyle w:val="Heading1"/>
      </w:pPr>
      <w:r>
        <w:t>6. Riesgos</w:t>
      </w:r>
    </w:p>
    <w:p>
      <w:pPr>
        <w:pStyle w:val="ListBullet"/>
      </w:pPr>
      <w:r>
        <w:rPr>
          <w:b/>
        </w:rPr>
        <w:t>RG1.</w:t>
      </w:r>
      <w:r>
        <w:rPr>
          <w:b w:val="0"/>
        </w:rPr>
        <w:t xml:space="preserve"> Riesgo de incumplimiento regulatorio y sanciones por falta de gobernanza y documentación en el uso de IA [E20][E19].</w:t>
      </w:r>
    </w:p>
    <w:p>
      <w:pPr>
        <w:pStyle w:val="ListBullet"/>
      </w:pPr>
      <w:r>
        <w:rPr>
          <w:b/>
        </w:rPr>
        <w:t>RG2.</w:t>
      </w:r>
      <w:r>
        <w:rPr>
          <w:b w:val="0"/>
        </w:rPr>
        <w:t xml:space="preserve"> Riesgo de seguridad y deuda técnica asociado al código generado por IA, incluyendo violaciones detectadas en benchmarking y aumento de vulnerabilidades en código AI‑generado [E9][E10].</w:t>
      </w:r>
    </w:p>
    <w:p>
      <w:pPr>
        <w:pStyle w:val="ListBullet"/>
      </w:pPr>
      <w:r>
        <w:rPr>
          <w:b/>
        </w:rPr>
        <w:t>RG3.</w:t>
      </w:r>
      <w:r>
        <w:rPr>
          <w:b w:val="0"/>
        </w:rPr>
        <w:t xml:space="preserve"> Riesgo de veracidad, alineación y daño reputacional por contenido multimodal generado sin controles de alineación y watermarking [E13][E12][E21].</w:t>
      </w:r>
    </w:p>
    <w:p>
      <w:pPr>
        <w:pStyle w:val="ListBullet"/>
      </w:pPr>
      <w:r>
        <w:rPr>
          <w:b/>
        </w:rPr>
        <w:t>RG4.</w:t>
      </w:r>
      <w:r>
        <w:rPr>
          <w:b w:val="0"/>
        </w:rPr>
        <w:t xml:space="preserve"> Riesgo operacional por dependencia de hardware específico y fallos en despliegues on‑device que impacten latencia y continuidad (ej., requisitos de NPUs y desafíos de integración) [E16][E15][E18].</w:t>
      </w:r>
    </w:p>
    <w:p>
      <w:pPr>
        <w:pStyle w:val="ListBullet"/>
      </w:pPr>
      <w:r>
        <w:rPr>
          <w:b/>
        </w:rPr>
        <w:t>RG5.</w:t>
      </w:r>
      <w:r>
        <w:rPr>
          <w:b w:val="0"/>
        </w:rPr>
        <w:t xml:space="preserve"> Riesgo de reorganización y desplazamiento de tareas en funciones de soporte y de conocimiento ante la adopción de agentes autónomos sin planes de gestión del cambio [E4][E5][E6].</w:t>
      </w:r>
    </w:p>
    <w:p>
      <w:pPr>
        <w:pStyle w:val="Heading1"/>
      </w:pPr>
      <w:r>
        <w:t>7. Oportunidades</w:t>
      </w:r>
    </w:p>
    <w:p>
      <w:pPr>
        <w:pStyle w:val="ListBullet"/>
      </w:pPr>
      <w:r>
        <w:rPr>
          <w:b/>
        </w:rPr>
        <w:t>OP1.</w:t>
      </w:r>
      <w:r>
        <w:rPr>
          <w:b w:val="0"/>
        </w:rPr>
        <w:t xml:space="preserve"> Aumento de productividad en desarrollo de software mediante asistentes IA integrados en flujos de trabajo, con evidencia de duplicación del throughput en casos estudiados [E10][E7][E8].</w:t>
      </w:r>
    </w:p>
    <w:p>
      <w:pPr>
        <w:pStyle w:val="ListBullet"/>
      </w:pPr>
      <w:r>
        <w:rPr>
          <w:b/>
        </w:rPr>
        <w:t>OP2.</w:t>
      </w:r>
      <w:r>
        <w:rPr>
          <w:b w:val="0"/>
        </w:rPr>
        <w:t xml:space="preserve"> Mejora en precisión y cumplimiento en procesos regulados mediante LLMs verticales entrenados con datos sectoriales, como en finanzas y salud [E1][E2][E3].</w:t>
      </w:r>
    </w:p>
    <w:p>
      <w:pPr>
        <w:pStyle w:val="ListBullet"/>
      </w:pPr>
      <w:r>
        <w:rPr>
          <w:b/>
        </w:rPr>
        <w:t>OP3.</w:t>
      </w:r>
      <w:r>
        <w:rPr>
          <w:b w:val="0"/>
        </w:rPr>
        <w:t xml:space="preserve"> Escala de personalización y automatización de contenido para marketing y atención al cliente aprovechando capacidades multimodales y APIs empresariales [E11][E12][E14].</w:t>
      </w:r>
    </w:p>
    <w:p>
      <w:pPr>
        <w:pStyle w:val="ListBullet"/>
      </w:pPr>
      <w:r>
        <w:rPr>
          <w:b/>
        </w:rPr>
        <w:t>OP4.</w:t>
      </w:r>
      <w:r>
        <w:rPr>
          <w:b w:val="0"/>
        </w:rPr>
        <w:t xml:space="preserve"> Reducción de latencia y mejoras en privacidad operativa mediante inferencia en el borde para decisiones en tiempo real en manufactura y retail [E18][E16][E15].</w:t>
      </w:r>
    </w:p>
    <w:p>
      <w:pPr>
        <w:pStyle w:val="ListBullet"/>
      </w:pPr>
      <w:r>
        <w:rPr>
          <w:b/>
        </w:rPr>
        <w:t>OP5.</w:t>
      </w:r>
      <w:r>
        <w:rPr>
          <w:b w:val="0"/>
        </w:rPr>
        <w:t xml:space="preserve"> Adopción segura y trazable de IA facilitada por marcos de gobernanza y técnicas de auditoría (watermarking, validaciones) que permiten expansión controlada de uso de modelos AI [E19][E21][E20].</w:t>
      </w:r>
    </w:p>
    <w:p>
      <w:pPr>
        <w:pStyle w:val="Heading1"/>
      </w:pPr>
      <w:r>
        <w:t>8. Recomendaciones</w:t>
      </w:r>
    </w:p>
    <w:p>
      <w:pPr>
        <w:pStyle w:val="Heading2"/>
      </w:pPr>
      <w:r>
        <w:t>R1. Implementar gobierno y cumplimiento de IA como prioridad estratégica</w:t>
      </w:r>
    </w:p>
    <w:p>
      <w:r>
        <w:rPr>
          <w:b w:val="0"/>
        </w:rPr>
        <w:t>Establecer un marco interno de gobernanza que adopte los principios del NIST AI RMF y prepare a la organización para los requisitos del AI Act, incluyendo procesos de documentación, control de proveedores y validaciones técnicas (p. ej. watermarking) para garantizar cumplimiento y auditoría continua [E19][E20][E21].</w:t>
      </w:r>
    </w:p>
    <w:p>
      <w:pPr>
        <w:pStyle w:val="ListBullet"/>
      </w:pPr>
      <w:r>
        <w:rPr>
          <w:b/>
        </w:rPr>
        <w:t>Evidencia:</w:t>
      </w:r>
      <w:r>
        <w:rPr>
          <w:b w:val="0"/>
        </w:rPr>
        <w:t xml:space="preserve"> [E19], [E20], [E21]</w:t>
      </w:r>
    </w:p>
    <w:p>
      <w:pPr>
        <w:pStyle w:val="ListBullet"/>
      </w:pPr>
      <w:r>
        <w:rPr>
          <w:b/>
        </w:rPr>
        <w:t>Riesgo:</w:t>
      </w:r>
      <w:r>
        <w:rPr>
          <w:b w:val="0"/>
        </w:rPr>
        <w:t xml:space="preserve"> RG1</w:t>
      </w:r>
    </w:p>
    <w:p>
      <w:pPr>
        <w:pStyle w:val="ListBullet"/>
      </w:pPr>
      <w:r>
        <w:rPr>
          <w:b/>
        </w:rPr>
        <w:t>Oportunidad:</w:t>
      </w:r>
      <w:r>
        <w:rPr>
          <w:b w:val="0"/>
        </w:rPr>
        <w:t xml:space="preserve"> OP5</w:t>
      </w:r>
    </w:p>
    <w:p>
      <w:pPr>
        <w:pStyle w:val="ListBullet"/>
      </w:pPr>
      <w:r>
        <w:rPr>
          <w:b/>
        </w:rPr>
        <w:t>Indicador:</w:t>
      </w:r>
      <w:r>
        <w:rPr>
          <w:b w:val="0"/>
        </w:rPr>
        <w:t xml:space="preserve"> existencia de políticas, matrices de responsabilidad y procesos de revisión de modelos documentados y aplicados en compras y despliegues</w:t>
      </w:r>
    </w:p>
    <w:p>
      <w:pPr>
        <w:pStyle w:val="ListBullet"/>
      </w:pPr>
      <w:r>
        <w:rPr>
          <w:b/>
        </w:rPr>
        <w:t>Clasificación:</w:t>
      </w:r>
      <w:r>
        <w:rPr>
          <w:b w:val="0"/>
        </w:rPr>
        <w:t xml:space="preserve"> Incorporar</w:t>
      </w:r>
    </w:p>
    <w:p>
      <w:pPr>
        <w:pStyle w:val="Heading2"/>
      </w:pPr>
      <w:r>
        <w:t>R2. Evaluar pilotos controlados de LLMs verticales en flujos regulados críticos</w:t>
      </w:r>
    </w:p>
    <w:p>
      <w:r>
        <w:rPr>
          <w:b w:val="0"/>
        </w:rPr>
        <w:t>Diseñar pilotos controlados de LLMs verticales en uno o dos procesos regulados prioritarios (por ejemplo, análisis financiero o consultas farmacológicas) para medir precisión, reducción de errores y cumplimiento antes de una expansión; use benchmarks internos y datasets etiquetados para validación y compare contra modelos base. Esto responde a la evidencia de mejoras en tareas financieras y médicas al usar LLMs verticales y permite validar riesgos de alucinación y compliance en contexto [E1][E2][E3].</w:t>
      </w:r>
    </w:p>
    <w:p>
      <w:pPr>
        <w:pStyle w:val="ListBullet"/>
      </w:pPr>
      <w:r>
        <w:rPr>
          <w:b/>
        </w:rPr>
        <w:t>Evidencia:</w:t>
      </w:r>
      <w:r>
        <w:rPr>
          <w:b w:val="0"/>
        </w:rPr>
        <w:t xml:space="preserve"> [E1], [E2], [E3]</w:t>
      </w:r>
    </w:p>
    <w:p>
      <w:pPr>
        <w:pStyle w:val="ListBullet"/>
      </w:pPr>
      <w:r>
        <w:rPr>
          <w:b/>
        </w:rPr>
        <w:t>Riesgo:</w:t>
      </w:r>
      <w:r>
        <w:rPr>
          <w:b w:val="0"/>
        </w:rPr>
        <w:t xml:space="preserve"> RG2</w:t>
      </w:r>
    </w:p>
    <w:p>
      <w:pPr>
        <w:pStyle w:val="ListBullet"/>
      </w:pPr>
      <w:r>
        <w:rPr>
          <w:b/>
        </w:rPr>
        <w:t>Oportunidad:</w:t>
      </w:r>
      <w:r>
        <w:rPr>
          <w:b w:val="0"/>
        </w:rPr>
        <w:t xml:space="preserve"> OP2</w:t>
      </w:r>
    </w:p>
    <w:p>
      <w:pPr>
        <w:pStyle w:val="ListBullet"/>
      </w:pPr>
      <w:r>
        <w:rPr>
          <w:b/>
        </w:rPr>
        <w:t>Indicador:</w:t>
      </w:r>
      <w:r>
        <w:rPr>
          <w:b w:val="0"/>
        </w:rPr>
        <w:t xml:space="preserve"> tasa de respuestas validadas como correctas por proceso comparada con baseline, y número de incidencias de incumplimiento detectadas en producción</w:t>
      </w:r>
    </w:p>
    <w:p>
      <w:pPr>
        <w:pStyle w:val="ListBullet"/>
      </w:pPr>
      <w:r>
        <w:rPr>
          <w:b/>
        </w:rPr>
        <w:t>Clasificación:</w:t>
      </w:r>
      <w:r>
        <w:rPr>
          <w:b w:val="0"/>
        </w:rPr>
        <w:t xml:space="preserve"> Evaluar</w:t>
      </w:r>
    </w:p>
    <w:p>
      <w:pPr>
        <w:pStyle w:val="Heading2"/>
      </w:pPr>
      <w:r>
        <w:t>R3. Pilotar agentes autónomos en funciones de soporte con límites operativos y monitoreo</w:t>
      </w:r>
    </w:p>
    <w:p>
      <w:r>
        <w:rPr>
          <w:b w:val="0"/>
        </w:rPr>
        <w:t>Lanzar pilotos de agentes para workflows delimitados en soporte y automatización interna con integración controlada a sistemas internos, métricas de rendimiento y protocolos de reversión; esto capitaliza el despliegue ya reportado en producción y limita riesgos de reorganización sin gestión del cambio [E4][E5][E6].</w:t>
      </w:r>
    </w:p>
    <w:p>
      <w:pPr>
        <w:pStyle w:val="ListBullet"/>
      </w:pPr>
      <w:r>
        <w:rPr>
          <w:b/>
        </w:rPr>
        <w:t>Evidencia:</w:t>
      </w:r>
      <w:r>
        <w:rPr>
          <w:b w:val="0"/>
        </w:rPr>
        <w:t xml:space="preserve"> [E4], [E5], [E6]</w:t>
      </w:r>
    </w:p>
    <w:p>
      <w:pPr>
        <w:pStyle w:val="ListBullet"/>
      </w:pPr>
      <w:r>
        <w:rPr>
          <w:b/>
        </w:rPr>
        <w:t>Riesgo:</w:t>
      </w:r>
      <w:r>
        <w:rPr>
          <w:b w:val="0"/>
        </w:rPr>
        <w:t xml:space="preserve"> RG5</w:t>
      </w:r>
    </w:p>
    <w:p>
      <w:pPr>
        <w:pStyle w:val="ListBullet"/>
      </w:pPr>
      <w:r>
        <w:rPr>
          <w:b/>
        </w:rPr>
        <w:t>Oportunidad:</w:t>
      </w:r>
      <w:r>
        <w:rPr>
          <w:b w:val="0"/>
        </w:rPr>
        <w:t xml:space="preserve"> OP1</w:t>
      </w:r>
    </w:p>
    <w:p>
      <w:pPr>
        <w:pStyle w:val="ListBullet"/>
      </w:pPr>
      <w:r>
        <w:rPr>
          <w:b/>
        </w:rPr>
        <w:t>Indicador:</w:t>
      </w:r>
      <w:r>
        <w:rPr>
          <w:b w:val="0"/>
        </w:rPr>
        <w:t xml:space="preserve"> porcentaje de tareas automatizadas con agentes dentro de corredores definidos y número de incidencias operativas y de escalamiento registradas</w:t>
      </w:r>
    </w:p>
    <w:p>
      <w:pPr>
        <w:pStyle w:val="ListBullet"/>
      </w:pPr>
      <w:r>
        <w:rPr>
          <w:b/>
        </w:rPr>
        <w:t>Clasificación:</w:t>
      </w:r>
      <w:r>
        <w:rPr>
          <w:b w:val="0"/>
        </w:rPr>
        <w:t xml:space="preserve"> Evaluar</w:t>
      </w:r>
    </w:p>
    <w:p>
      <w:pPr>
        <w:pStyle w:val="Heading2"/>
      </w:pPr>
      <w:r>
        <w:t>R4. Integrar asistentes de código con controles de seguridad y revisiones automáticas</w:t>
      </w:r>
    </w:p>
    <w:p>
      <w:r>
        <w:rPr>
          <w:b w:val="0"/>
        </w:rPr>
        <w:t>Adoptar asistentes generativos en flujo de desarrollo bajo mandatos y revisiones obligatorias, incluyendo herramientas de escaneo de seguridad para código generado y métricas de deuda técnica, para capturar ganancias de throughput observadas y mitigar vulnerabilidades detectadas en código AI‑generado [E10][E7][E9].</w:t>
      </w:r>
    </w:p>
    <w:p>
      <w:pPr>
        <w:pStyle w:val="ListBullet"/>
      </w:pPr>
      <w:r>
        <w:rPr>
          <w:b/>
        </w:rPr>
        <w:t>Evidencia:</w:t>
      </w:r>
      <w:r>
        <w:rPr>
          <w:b w:val="0"/>
        </w:rPr>
        <w:t xml:space="preserve"> [E10], [E7], [E9]</w:t>
      </w:r>
    </w:p>
    <w:p>
      <w:pPr>
        <w:pStyle w:val="ListBullet"/>
      </w:pPr>
      <w:r>
        <w:rPr>
          <w:b/>
        </w:rPr>
        <w:t>Riesgo:</w:t>
      </w:r>
      <w:r>
        <w:rPr>
          <w:b w:val="0"/>
        </w:rPr>
        <w:t xml:space="preserve"> RG2</w:t>
      </w:r>
    </w:p>
    <w:p>
      <w:pPr>
        <w:pStyle w:val="ListBullet"/>
      </w:pPr>
      <w:r>
        <w:rPr>
          <w:b/>
        </w:rPr>
        <w:t>Oportunidad:</w:t>
      </w:r>
      <w:r>
        <w:rPr>
          <w:b w:val="0"/>
        </w:rPr>
        <w:t xml:space="preserve"> OP1</w:t>
      </w:r>
    </w:p>
    <w:p>
      <w:pPr>
        <w:pStyle w:val="ListBullet"/>
      </w:pPr>
      <w:r>
        <w:rPr>
          <w:b/>
        </w:rPr>
        <w:t>Indicador:</w:t>
      </w:r>
      <w:r>
        <w:rPr>
          <w:b w:val="0"/>
        </w:rPr>
        <w:t xml:space="preserve"> ratio de cambios entregados con revisión automatizada de seguridad y número de vulnerabilidades detectadas en artefactos generados por IA</w:t>
      </w:r>
    </w:p>
    <w:p>
      <w:pPr>
        <w:pStyle w:val="ListBullet"/>
      </w:pPr>
      <w:r>
        <w:rPr>
          <w:b/>
        </w:rPr>
        <w:t>Clasificación:</w:t>
      </w:r>
      <w:r>
        <w:rPr>
          <w:b w:val="0"/>
        </w:rPr>
        <w:t xml:space="preserve"> Evaluar</w:t>
      </w:r>
    </w:p>
    <w:p>
      <w:pPr>
        <w:pStyle w:val="Heading2"/>
      </w:pPr>
      <w:r>
        <w:t>R5. Experimentar con multimodal para personalización de clientes bajo guardrails de veracidad</w:t>
      </w:r>
    </w:p>
    <w:p>
      <w:r>
        <w:rPr>
          <w:b w:val="0"/>
        </w:rPr>
        <w:t>Probar generación multimodal en campañas de marketing controladas y en simuladores de usuario para validación de comportamiento, incorporando técnicas de alineación y watermarking en outputs para mitigar riesgos de veracidad y reputación [E11][E12][E13][E21].</w:t>
      </w:r>
    </w:p>
    <w:p>
      <w:pPr>
        <w:pStyle w:val="ListBullet"/>
      </w:pPr>
      <w:r>
        <w:rPr>
          <w:b/>
        </w:rPr>
        <w:t>Evidencia:</w:t>
      </w:r>
      <w:r>
        <w:rPr>
          <w:b w:val="0"/>
        </w:rPr>
        <w:t xml:space="preserve"> [E11], [E12], [E13], [E21]</w:t>
      </w:r>
    </w:p>
    <w:p>
      <w:pPr>
        <w:pStyle w:val="ListBullet"/>
      </w:pPr>
      <w:r>
        <w:rPr>
          <w:b/>
        </w:rPr>
        <w:t>Riesgo:</w:t>
      </w:r>
      <w:r>
        <w:rPr>
          <w:b w:val="0"/>
        </w:rPr>
        <w:t xml:space="preserve"> RG3</w:t>
      </w:r>
    </w:p>
    <w:p>
      <w:pPr>
        <w:pStyle w:val="ListBullet"/>
      </w:pPr>
      <w:r>
        <w:rPr>
          <w:b/>
        </w:rPr>
        <w:t>Oportunidad:</w:t>
      </w:r>
      <w:r>
        <w:rPr>
          <w:b w:val="0"/>
        </w:rPr>
        <w:t xml:space="preserve"> OP3</w:t>
      </w:r>
    </w:p>
    <w:p>
      <w:pPr>
        <w:pStyle w:val="ListBullet"/>
      </w:pPr>
      <w:r>
        <w:rPr>
          <w:b/>
        </w:rPr>
        <w:t>Indicador:</w:t>
      </w:r>
      <w:r>
        <w:rPr>
          <w:b w:val="0"/>
        </w:rPr>
        <w:t xml:space="preserve"> tasa de aceptación de contenido generado por clientes de prueba y número de eventos de corrección por problemas de veracidad</w:t>
      </w:r>
    </w:p>
    <w:p>
      <w:pPr>
        <w:pStyle w:val="ListBullet"/>
      </w:pPr>
      <w:r>
        <w:rPr>
          <w:b/>
        </w:rPr>
        <w:t>Clasificación:</w:t>
      </w:r>
      <w:r>
        <w:rPr>
          <w:b w:val="0"/>
        </w:rPr>
        <w:t xml:space="preserve"> Evaluar</w:t>
      </w:r>
    </w:p>
    <w:p>
      <w:pPr>
        <w:pStyle w:val="Heading2"/>
      </w:pPr>
      <w:r>
        <w:t>R6. Definir una estrategia de edge AI para casos de latencia y privacidad críticos</w:t>
      </w:r>
    </w:p>
    <w:p>
      <w:r>
        <w:rPr>
          <w:b w:val="0"/>
        </w:rPr>
        <w:t>Analizar casos de uso con requisitos sub-100 ms y datos sensibles para despliegue on‑device, e iniciar proyectos pilotos con hardware NPUs y plataformas edge mientras se evalúan costos y operaciones, para aprovechar beneficios de latencia, privacidad y continuidad operativa [E18][E16][E15].</w:t>
      </w:r>
    </w:p>
    <w:p>
      <w:pPr>
        <w:pStyle w:val="ListBullet"/>
      </w:pPr>
      <w:r>
        <w:rPr>
          <w:b/>
        </w:rPr>
        <w:t>Evidencia:</w:t>
      </w:r>
      <w:r>
        <w:rPr>
          <w:b w:val="0"/>
        </w:rPr>
        <w:t xml:space="preserve"> [E18], [E16], [E15]</w:t>
      </w:r>
    </w:p>
    <w:p>
      <w:pPr>
        <w:pStyle w:val="ListBullet"/>
      </w:pPr>
      <w:r>
        <w:rPr>
          <w:b/>
        </w:rPr>
        <w:t>Riesgo:</w:t>
      </w:r>
      <w:r>
        <w:rPr>
          <w:b w:val="0"/>
        </w:rPr>
        <w:t xml:space="preserve"> RG4</w:t>
      </w:r>
    </w:p>
    <w:p>
      <w:pPr>
        <w:pStyle w:val="ListBullet"/>
      </w:pPr>
      <w:r>
        <w:rPr>
          <w:b/>
        </w:rPr>
        <w:t>Oportunidad:</w:t>
      </w:r>
      <w:r>
        <w:rPr>
          <w:b w:val="0"/>
        </w:rPr>
        <w:t xml:space="preserve"> OP4</w:t>
      </w:r>
    </w:p>
    <w:p>
      <w:pPr>
        <w:pStyle w:val="ListBullet"/>
      </w:pPr>
      <w:r>
        <w:rPr>
          <w:b/>
        </w:rPr>
        <w:t>Indicador:</w:t>
      </w:r>
      <w:r>
        <w:rPr>
          <w:b w:val="0"/>
        </w:rPr>
        <w:t xml:space="preserve"> lista priorizada de casos con requisitos de latencia y privacidad, y número de pilotos on-device en producción</w:t>
      </w:r>
    </w:p>
    <w:p>
      <w:pPr>
        <w:pStyle w:val="ListBullet"/>
      </w:pPr>
      <w:r>
        <w:rPr>
          <w:b/>
        </w:rPr>
        <w:t>Clasificación:</w:t>
      </w:r>
      <w:r>
        <w:rPr>
          <w:b w:val="0"/>
        </w:rPr>
        <w:t xml:space="preserve"> Evaluar</w:t>
      </w:r>
    </w:p>
    <w:p>
      <w:pPr>
        <w:pStyle w:val="Heading1"/>
      </w:pPr>
      <w:r>
        <w:t>9. Hoja de Ruta</w:t>
      </w:r>
    </w:p>
    <w:p>
      <w:r>
        <w:rPr>
          <w:b w:val="0"/>
        </w:rPr>
        <w:t>Horizonte · Acción · Recomendación asociada</w:t>
      </w:r>
    </w:p>
    <w:p>
      <w:pPr>
        <w:pStyle w:val="ListBullet"/>
      </w:pPr>
      <w:r>
        <w:rPr>
          <w:b w:val="0"/>
        </w:rPr>
        <w:t>0–6 meses · Establecer gobierno de IA y políticas de cumplimiento, priorizando NIST AI RMF y preparación para AI Act · R1</w:t>
      </w:r>
    </w:p>
    <w:p>
      <w:pPr>
        <w:pStyle w:val="ListBullet"/>
      </w:pPr>
      <w:r>
        <w:rPr>
          <w:b w:val="0"/>
        </w:rPr>
        <w:t>0–6 meses · Identificar y priorizar procesos regulados y casos de uso para pilotos de LLMs verticales y asistentes de código · R2, R4</w:t>
      </w:r>
    </w:p>
    <w:p>
      <w:pPr>
        <w:pStyle w:val="ListBullet"/>
      </w:pPr>
      <w:r>
        <w:rPr>
          <w:b w:val="0"/>
        </w:rPr>
        <w:t>6–18 meses · Ejecutar pilotos de agentes autónomos en soporte con monitoreo y protocolos de reversión · R3</w:t>
      </w:r>
    </w:p>
    <w:p>
      <w:pPr>
        <w:pStyle w:val="ListBullet"/>
      </w:pPr>
      <w:r>
        <w:rPr>
          <w:b w:val="0"/>
        </w:rPr>
        <w:t>6–18 meses · Realizar pilotos multimodales en marketing con guardrails de veracidad y watermarking · R5</w:t>
      </w:r>
    </w:p>
    <w:p>
      <w:pPr>
        <w:pStyle w:val="ListBullet"/>
      </w:pPr>
      <w:r>
        <w:rPr>
          <w:b w:val="0"/>
        </w:rPr>
        <w:t>6–18 meses · Lanzar pilotos de edge AI en manufactura y retail para casos sub-100 ms [E18] · R6</w:t>
      </w:r>
    </w:p>
    <w:p>
      <w:pPr>
        <w:pStyle w:val="ListBullet"/>
      </w:pPr>
      <w:r>
        <w:rPr>
          <w:b w:val="0"/>
        </w:rPr>
        <w:t>18–36 meses · Evaluar escalamiento de pilotos efectivos y normalizar gobernanza en compras y operaciones · R1, R2, R3, R4, R5, R6</w:t>
      </w:r>
    </w:p>
    <w:p>
      <w:pPr>
        <w:pStyle w:val="Heading1"/>
      </w:pPr>
      <w:r>
        <w:t>10. Conclusiones</w:t>
      </w:r>
    </w:p>
    <w:p>
      <w:r>
        <w:rPr>
          <w:b w:val="0"/>
        </w:rPr>
        <w:t>Los hallazgos validan que múltiples tecnologías de IA están en fase de adopción con alta confianza y potencial de impacto alto en procesos centrales; en consecuencia, la dirección debe incorporar gobernanza y evaluar pilotos controlados para capturar oportunidades mientras se gestionan riesgos regulatorios, de seguridad y de veracidad [E19][E1][E10][E13].</w:t>
      </w:r>
    </w:p>
    <w:p>
      <w:pPr>
        <w:pStyle w:val="Heading1"/>
      </w:pPr>
      <w:r>
        <w:t>11. Referencias</w:t>
      </w:r>
    </w:p>
    <w:p>
      <w:pPr>
        <w:pStyle w:val="ListBullet"/>
      </w:pPr>
      <w:r>
        <w:rPr>
          <w:b w:val="0"/>
        </w:rPr>
        <w:t>[E1] Shijie Wu et al. (2023-12-21). BloombergGPT: A Large Language Model for Finance. https://arxiv.org/abs/2303.17564</w:t>
      </w:r>
    </w:p>
    <w:p>
      <w:pPr>
        <w:pStyle w:val="ListBullet"/>
      </w:pPr>
      <w:r>
        <w:rPr>
          <w:b w:val="0"/>
        </w:rPr>
        <w:t>[E2] Elangovan K et al. (2025-09-04). Development and evaluation of a lightweight large language model chatbot for medication enquiry. PLOS Digital Health. https://journals.plos.org/digitalhealth/article?id=10.1371/journal.pdig.0000961</w:t>
      </w:r>
    </w:p>
    <w:p>
      <w:pPr>
        <w:pStyle w:val="ListBullet"/>
      </w:pPr>
      <w:r>
        <w:rPr>
          <w:b w:val="0"/>
        </w:rPr>
        <w:t>[E3] Kent Bennett et al. (2025-08-13). The State of AI 2025. Bessemer Venture Partners. https://www.bvp.com/atlas/the-state-of-ai-2025</w:t>
      </w:r>
    </w:p>
    <w:p>
      <w:pPr>
        <w:pStyle w:val="ListBullet"/>
      </w:pPr>
      <w:r>
        <w:rPr>
          <w:b w:val="0"/>
        </w:rPr>
        <w:t>[E4] LangChain (2026-06-12). State of Agent Engineering. https://www.langchain.com/state-of-agent-engineering</w:t>
      </w:r>
    </w:p>
    <w:p>
      <w:pPr>
        <w:pStyle w:val="ListBullet"/>
      </w:pPr>
      <w:r>
        <w:rPr>
          <w:b w:val="0"/>
        </w:rPr>
        <w:t>[E5] Aaron Chatterji et al. (2026-08-12). How Organizations Use AI: Evidence from ChatGPT. https://arxiv.org/abs/2608.12236</w:t>
      </w:r>
    </w:p>
    <w:p>
      <w:pPr>
        <w:pStyle w:val="ListBullet"/>
      </w:pPr>
      <w:r>
        <w:rPr>
          <w:b w:val="0"/>
        </w:rPr>
        <w:t>[E6] KPMG (2026-06). Transforming the Enterprise 2026. https://assets.kpmg.com/content/dam/kpmgsites/xx/pdf/2026/06/transforming-the-enterprise-2026.pdf.coredownload.inline.pdf</w:t>
      </w:r>
    </w:p>
    <w:p>
      <w:pPr>
        <w:pStyle w:val="ListBullet"/>
      </w:pPr>
      <w:r>
        <w:rPr>
          <w:b w:val="0"/>
        </w:rPr>
        <w:t>[E7] OpenAI (2025-12-08). The state of enterprise AI. https://openai.com/index/the-state-of-enterprise-ai-2025-report/</w:t>
      </w:r>
    </w:p>
    <w:p>
      <w:pPr>
        <w:pStyle w:val="ListBullet"/>
      </w:pPr>
      <w:r>
        <w:rPr>
          <w:b w:val="0"/>
        </w:rPr>
        <w:t>[E8] Sebastian Maier et al. (2026-05). A Meta-Analysis Of The Effect Of Generative AI On Productivity And Learning In Programming. SCALE (Stanford). https://scale.stanford.edu/ai/repository/meta-analysis-effect-generative-ai-productivity-and-learning-programming</w:t>
      </w:r>
    </w:p>
    <w:p>
      <w:pPr>
        <w:pStyle w:val="ListBullet"/>
      </w:pPr>
      <w:r>
        <w:rPr>
          <w:b w:val="0"/>
        </w:rPr>
        <w:t>[E9] Software Improvement Group (2026-06-11). Software Improvement Group publishes State of Software 2026 - SIG. https://www.softwareimprovementgroup.com/press-center/sig-news-state-of-software-2026-report/</w:t>
      </w:r>
    </w:p>
    <w:p>
      <w:pPr>
        <w:pStyle w:val="ListBullet"/>
      </w:pPr>
      <w:r>
        <w:rPr>
          <w:b w:val="0"/>
        </w:rPr>
        <w:t>[E10] Hao He et al. (2026-07-02). AI Writes Faster Than Humans Can Review: A Longitudinal Study of an Enterprise 2x Mandate. https://arxiv.org/abs/2607.01904</w:t>
      </w:r>
    </w:p>
    <w:p>
      <w:pPr>
        <w:pStyle w:val="ListBullet"/>
      </w:pPr>
      <w:r>
        <w:rPr>
          <w:b w:val="0"/>
        </w:rPr>
        <w:t>[E11] Deloitte (2026-01-08). 2026 Retail Industry Global Outlook. https://www.deloitte.com/global/en/insights/industry/retail-distribution/retail-distribution-industry-outlook.html</w:t>
      </w:r>
    </w:p>
    <w:p>
      <w:pPr>
        <w:pStyle w:val="ListBullet"/>
      </w:pPr>
      <w:r>
        <w:rPr>
          <w:b w:val="0"/>
        </w:rPr>
        <w:t>[E12] OpenAI (2025-12-17). The state of enterprise AI (API usage). https://openai.com/business/guides-and-resources/the-state-of-enterprise-ai-2025-report/</w:t>
      </w:r>
    </w:p>
    <w:p>
      <w:pPr>
        <w:pStyle w:val="ListBullet"/>
      </w:pPr>
      <w:r>
        <w:rPr>
          <w:b w:val="0"/>
        </w:rPr>
        <w:t>[E13] Yada Pruksachatkun et al. (2026-07-29). CustomerSim: Benchmarking and Aligning Multimodal Language Models as Retail User Simulators. https://arxiv.org/abs/2605.08334</w:t>
      </w:r>
    </w:p>
    <w:p>
      <w:pPr>
        <w:pStyle w:val="ListBullet"/>
      </w:pPr>
      <w:r>
        <w:rPr>
          <w:b w:val="0"/>
        </w:rPr>
        <w:t>[E14] Stanford Emerging Technology Review (2025-12). THE STANFORD EMERGING TECHNOLOGY REVIEW 2026 - Artificial Intelligence. https://setr.stanford.edu/sites/default/files/2026-01/SETR2026_01-AI_web-260109.pdf</w:t>
      </w:r>
    </w:p>
    <w:p>
      <w:pPr>
        <w:pStyle w:val="ListBullet"/>
      </w:pPr>
      <w:r>
        <w:rPr>
          <w:b w:val="0"/>
        </w:rPr>
        <w:t>[E15] IDC (2026-08-17). Edge AI in 1H26: From Pilot to Production Across the Edge. https://www.marketresearch.com/IDC-v2477/Edge-AI-1H26-Pilot-Production-46125840/</w:t>
      </w:r>
    </w:p>
    <w:p>
      <w:pPr>
        <w:pStyle w:val="ListBullet"/>
      </w:pPr>
      <w:r>
        <w:rPr>
          <w:b w:val="0"/>
        </w:rPr>
        <w:t>[E16] Davide Baltieri, Tobia Peruzzi (2026-07-22). NPU Hardware Evaluation v1.0. https://arxiv.org/abs/2609.13166</w:t>
      </w:r>
    </w:p>
    <w:p>
      <w:pPr>
        <w:pStyle w:val="ListBullet"/>
      </w:pPr>
      <w:r>
        <w:rPr>
          <w:b w:val="0"/>
        </w:rPr>
        <w:t>[E17] Deloitte (2026-04-20). Enterprise AI PC Strategy: The Shift to Edge AI. https://www.deloitte.com/us/en/alliances/articles/intel-enterprise-ai-pc-strategy-shift-to-edge-ai.html</w:t>
      </w:r>
    </w:p>
    <w:p>
      <w:pPr>
        <w:pStyle w:val="ListBullet"/>
      </w:pPr>
      <w:r>
        <w:rPr>
          <w:b w:val="0"/>
        </w:rPr>
        <w:t>[E18] Roboflow (2026-09-03). Edge AI in Manufacturing: Deploy Vision Models on the Line. https://blog.roboflow.com/edge-ai-inference-for-manufacturing/</w:t>
      </w:r>
    </w:p>
    <w:p>
      <w:pPr>
        <w:pStyle w:val="ListBullet"/>
      </w:pPr>
      <w:r>
        <w:rPr>
          <w:b w:val="0"/>
        </w:rPr>
        <w:t>[E19] National Institute of Standards and Technology (2023-01). Artificial Intelligence Risk Management Framework (AI RMF 1.0). https://nvlpubs.nist.gov/nistpubs/ai/NIST.AI.100-1.pdf</w:t>
      </w:r>
    </w:p>
    <w:p>
      <w:pPr>
        <w:pStyle w:val="ListBullet"/>
      </w:pPr>
      <w:r>
        <w:rPr>
          <w:b w:val="0"/>
        </w:rPr>
        <w:t>[E20] European Commission (2026-08-03). AI Act | Shaping Europe’s digital future. https://digital-strategy.ec.europa.eu/en/policies/regulatory-framework-ai</w:t>
      </w:r>
    </w:p>
    <w:p>
      <w:pPr>
        <w:pStyle w:val="ListBullet"/>
      </w:pPr>
      <w:r>
        <w:rPr>
          <w:b w:val="0"/>
        </w:rPr>
        <w:t>[E21] John Kirchenbauer et al. (2024-05-01). A Watermark for Large Language Models. https://arxiv.org/abs/2301.10226</w:t>
      </w:r>
    </w:p>
    <w:p>
      <w:pPr>
        <w:pStyle w:val="Heading1"/>
      </w:pPr>
      <w:r>
        <w:t>Anexo: resultado de la auditoría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w:t>
            </w:r>
          </w:p>
        </w:tc>
        <w:tc>
          <w:tcPr>
            <w:tcW w:type="dxa" w:w="2880"/>
          </w:tcPr>
          <w:p>
            <w:r>
              <w:rPr>
                <w:b/>
              </w:rPr>
              <w:t>Puntaje</w:t>
            </w:r>
          </w:p>
        </w:tc>
        <w:tc>
          <w:tcPr>
            <w:tcW w:type="dxa" w:w="2880"/>
          </w:tcPr>
          <w:p>
            <w:r>
              <w:rPr>
                <w:b/>
              </w:rPr>
              <w:t>Umbral</w:t>
            </w:r>
          </w:p>
        </w:tc>
      </w:tr>
      <w:tr>
        <w:tc>
          <w:tcPr>
            <w:tcW w:type="dxa" w:w="2880"/>
          </w:tcPr>
          <w:p>
            <w:r>
              <w:rPr>
                <w:b w:val="0"/>
              </w:rPr>
              <w:t>exactitud</w:t>
            </w:r>
          </w:p>
        </w:tc>
        <w:tc>
          <w:tcPr>
            <w:tcW w:type="dxa" w:w="2880"/>
          </w:tcPr>
          <w:p>
            <w:r>
              <w:rPr>
                <w:b w:val="0"/>
              </w:rPr>
              <w:t>92</w:t>
            </w:r>
          </w:p>
        </w:tc>
        <w:tc>
          <w:tcPr>
            <w:tcW w:type="dxa" w:w="2880"/>
          </w:tcPr>
          <w:p>
            <w:r>
              <w:rPr>
                <w:b w:val="0"/>
              </w:rPr>
              <w:t>90</w:t>
            </w:r>
          </w:p>
        </w:tc>
      </w:tr>
      <w:tr>
        <w:tc>
          <w:tcPr>
            <w:tcW w:type="dxa" w:w="2880"/>
          </w:tcPr>
          <w:p>
            <w:r>
              <w:rPr>
                <w:b w:val="0"/>
              </w:rPr>
              <w:t>calidad_evidencia</w:t>
            </w:r>
          </w:p>
        </w:tc>
        <w:tc>
          <w:tcPr>
            <w:tcW w:type="dxa" w:w="2880"/>
          </w:tcPr>
          <w:p>
            <w:r>
              <w:rPr>
                <w:b w:val="0"/>
              </w:rPr>
              <w:t>88</w:t>
            </w:r>
          </w:p>
        </w:tc>
        <w:tc>
          <w:tcPr>
            <w:tcW w:type="dxa" w:w="2880"/>
          </w:tcPr>
          <w:p>
            <w:r>
              <w:rPr>
                <w:b w:val="0"/>
              </w:rPr>
              <w:t>—</w:t>
            </w:r>
          </w:p>
        </w:tc>
      </w:tr>
      <w:tr>
        <w:tc>
          <w:tcPr>
            <w:tcW w:type="dxa" w:w="2880"/>
          </w:tcPr>
          <w:p>
            <w:r>
              <w:rPr>
                <w:b w:val="0"/>
              </w:rPr>
              <w:t>referencias</w:t>
            </w:r>
          </w:p>
        </w:tc>
        <w:tc>
          <w:tcPr>
            <w:tcW w:type="dxa" w:w="2880"/>
          </w:tcPr>
          <w:p>
            <w:r>
              <w:rPr>
                <w:b w:val="0"/>
              </w:rPr>
              <w:t>94</w:t>
            </w:r>
          </w:p>
        </w:tc>
        <w:tc>
          <w:tcPr>
            <w:tcW w:type="dxa" w:w="2880"/>
          </w:tcPr>
          <w:p>
            <w:r>
              <w:rPr>
                <w:b w:val="0"/>
              </w:rPr>
              <w:t>90</w:t>
            </w:r>
          </w:p>
        </w:tc>
      </w:tr>
      <w:tr>
        <w:tc>
          <w:tcPr>
            <w:tcW w:type="dxa" w:w="2880"/>
          </w:tcPr>
          <w:p>
            <w:r>
              <w:rPr>
                <w:b w:val="0"/>
              </w:rPr>
              <w:t>profundidad</w:t>
            </w:r>
          </w:p>
        </w:tc>
        <w:tc>
          <w:tcPr>
            <w:tcW w:type="dxa" w:w="2880"/>
          </w:tcPr>
          <w:p>
            <w:r>
              <w:rPr>
                <w:b w:val="0"/>
              </w:rPr>
              <w:t>80</w:t>
            </w:r>
          </w:p>
        </w:tc>
        <w:tc>
          <w:tcPr>
            <w:tcW w:type="dxa" w:w="2880"/>
          </w:tcPr>
          <w:p>
            <w:r>
              <w:rPr>
                <w:b w:val="0"/>
              </w:rPr>
              <w:t>70</w:t>
            </w:r>
          </w:p>
        </w:tc>
      </w:tr>
      <w:tr>
        <w:tc>
          <w:tcPr>
            <w:tcW w:type="dxa" w:w="2880"/>
          </w:tcPr>
          <w:p>
            <w:r>
              <w:rPr>
                <w:b w:val="0"/>
              </w:rPr>
              <w:t>claridad</w:t>
            </w:r>
          </w:p>
        </w:tc>
        <w:tc>
          <w:tcPr>
            <w:tcW w:type="dxa" w:w="2880"/>
          </w:tcPr>
          <w:p>
            <w:r>
              <w:rPr>
                <w:b w:val="0"/>
              </w:rPr>
              <w:t>92</w:t>
            </w:r>
          </w:p>
        </w:tc>
        <w:tc>
          <w:tcPr>
            <w:tcW w:type="dxa" w:w="2880"/>
          </w:tcPr>
          <w:p>
            <w:r>
              <w:rPr>
                <w:b w:val="0"/>
              </w:rPr>
              <w:t>—</w:t>
            </w:r>
          </w:p>
        </w:tc>
      </w:tr>
      <w:tr>
        <w:tc>
          <w:tcPr>
            <w:tcW w:type="dxa" w:w="2880"/>
          </w:tcPr>
          <w:p>
            <w:r>
              <w:rPr>
                <w:b w:val="0"/>
              </w:rPr>
              <w:t>utilidad</w:t>
            </w:r>
          </w:p>
        </w:tc>
        <w:tc>
          <w:tcPr>
            <w:tcW w:type="dxa" w:w="2880"/>
          </w:tcPr>
          <w:p>
            <w:r>
              <w:rPr>
                <w:b w:val="0"/>
              </w:rPr>
              <w:t>90</w:t>
            </w:r>
          </w:p>
        </w:tc>
        <w:tc>
          <w:tcPr>
            <w:tcW w:type="dxa" w:w="2880"/>
          </w:tcPr>
          <w:p>
            <w:r>
              <w:rPr>
                <w:b w:val="0"/>
              </w:rPr>
              <w:t>—</w:t>
            </w:r>
          </w:p>
        </w:tc>
      </w:tr>
      <w:tr>
        <w:tc>
          <w:tcPr>
            <w:tcW w:type="dxa" w:w="2880"/>
          </w:tcPr>
          <w:p>
            <w:r>
              <w:rPr>
                <w:b/>
              </w:rPr>
              <w:t>global</w:t>
            </w:r>
          </w:p>
        </w:tc>
        <w:tc>
          <w:tcPr>
            <w:tcW w:type="dxa" w:w="2880"/>
          </w:tcPr>
          <w:p>
            <w:r>
              <w:rPr>
                <w:b/>
              </w:rPr>
              <w:t>89.5</w:t>
            </w:r>
          </w:p>
        </w:tc>
        <w:tc>
          <w:tcPr>
            <w:tcW w:type="dxa" w:w="2880"/>
          </w:tcPr>
          <w:p>
            <w:r>
              <w:rPr>
                <w:b w:val="0"/>
              </w:rP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