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— impacto empresarial (3 años)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88.6/100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r>
        <w:rPr>
          <w:b w:val="0"/>
        </w:rPr>
        <w:t>Cliente: Horizonte Digital S.A.S.</w:t>
      </w:r>
    </w:p>
    <w:p>
      <w:pPr>
        <w:pStyle w:val="Heading1"/>
      </w:pPr>
      <w:r>
        <w:t>1. Resumen Ejecutivo</w:t>
      </w:r>
    </w:p>
    <w:p>
      <w:r>
        <w:rPr>
          <w:b w:val="0"/>
        </w:rPr>
        <w:t>En este informe se analizan siete tendencias emergentes de inteligencia artificial relevantes para el horizonte de tres años: T1 (Adopción y personalización de modelos de base), T2 (Regulación y gestión de riesgos), T3 (Uso de IA por atacantes y defensas AI-centradas), T4 (Automatización del desarrollo de software con asistentes y agentes), T5 (Generación de datos sintéticos), T6 (Observabilidad y monitoreo de modelos) y T7 (Despliegue en el edge).</w:t>
      </w:r>
    </w:p>
    <w:p>
      <w:r>
        <w:rPr>
          <w:b w:val="0"/>
        </w:rPr>
        <w:t>Clasificación y recomendación principal por tendencia:</w:t>
      </w:r>
    </w:p>
    <w:p>
      <w:pPr>
        <w:pStyle w:val="ListBullet"/>
      </w:pPr>
      <w:r>
        <w:rPr>
          <w:b w:val="0"/>
        </w:rPr>
        <w:t>T1 — Evaluar [E2].</w:t>
      </w:r>
    </w:p>
    <w:p>
      <w:pPr>
        <w:pStyle w:val="ListBullet"/>
      </w:pPr>
      <w:r>
        <w:rPr>
          <w:b w:val="0"/>
        </w:rPr>
        <w:t>T2 — Incorporar [E4].</w:t>
      </w:r>
    </w:p>
    <w:p>
      <w:pPr>
        <w:pStyle w:val="ListBullet"/>
      </w:pPr>
      <w:r>
        <w:rPr>
          <w:b w:val="0"/>
        </w:rPr>
        <w:t>T3 — Incorporar [E5], [E6].</w:t>
      </w:r>
    </w:p>
    <w:p>
      <w:pPr>
        <w:pStyle w:val="ListBullet"/>
      </w:pPr>
      <w:r>
        <w:rPr>
          <w:b w:val="0"/>
        </w:rPr>
        <w:t>T4 — Evaluar [E7], [E8].</w:t>
      </w:r>
    </w:p>
    <w:p>
      <w:pPr>
        <w:pStyle w:val="ListBullet"/>
      </w:pPr>
      <w:r>
        <w:rPr>
          <w:b w:val="0"/>
        </w:rPr>
        <w:t>T5 — Observar [E9], [E10].</w:t>
      </w:r>
    </w:p>
    <w:p>
      <w:pPr>
        <w:pStyle w:val="ListBullet"/>
      </w:pPr>
      <w:r>
        <w:rPr>
          <w:b w:val="0"/>
        </w:rPr>
        <w:t>T6 — Evaluar [E11], [E12].</w:t>
      </w:r>
    </w:p>
    <w:p>
      <w:pPr>
        <w:pStyle w:val="ListBullet"/>
      </w:pPr>
      <w:r>
        <w:rPr>
          <w:b w:val="0"/>
        </w:rPr>
        <w:t>T7 — Evaluar [E13], [E14].</w:t>
      </w:r>
    </w:p>
    <w:p>
      <w:r>
        <w:rPr>
          <w:b w:val="0"/>
        </w:rPr>
        <w:t>Recomendación principal: priorizar la incorporación de gobernanza y riesgos (T2) y defensas AI-centradas (T3) como requisito para la adopción segura de modelos de base (T1), mientras se ejecutan pilotos controlados de productividad (T4), observabilidad operativa (T6) y despliegue selectivo en edge (T7); monitorizar la adopción de datos sintéticos antes de su extensión operativa (T5) [E4], [E5], [E2], [E7], [E11], [E13], [E9].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dirección de Horizonte Digital S.A.S. un análisis accionable sobre tendencias emergentes de IA con potencial impacto empresarial en los próximos tres años y recomendaciones priorizadas para observar, evaluar o incorporar dichas tendencias.</w:t>
      </w:r>
    </w:p>
    <w:p>
      <w:pPr>
        <w:pStyle w:val="Heading1"/>
      </w:pPr>
      <w:r>
        <w:t>3. Metodología</w:t>
      </w:r>
    </w:p>
    <w:p>
      <w:r>
        <w:rPr>
          <w:b w:val="0"/>
        </w:rPr>
        <w:t>El informe se elaboró a partir de los hallazgos validados proporcionados por el equipo de investigación con fecha de investigación 2026-10-01; el proceso incluyó revisión de fuentes públicas, verificación independiente de evidencia, redacción técnica y auditoría interna de trazabilidad a evidencias primarias.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</w:t>
      </w:r>
    </w:p>
    <w:p>
      <w:r>
        <w:rPr>
          <w:b w:val="0"/>
        </w:rPr>
        <w:t>Qué es: las organizaciones migran de prototipos a despliegues productivos usando foundation models accesibles vía servicios gestionados y aumentan implementaciones de modelos especializados y personalizados para casos verticales y cumplimiento [E2].</w:t>
      </w:r>
    </w:p>
    <w:p>
      <w:r>
        <w:rPr>
          <w:b w:val="0"/>
        </w:rPr>
        <w:t>Madurez: en_adopcion [E2].</w:t>
      </w:r>
    </w:p>
    <w:p>
      <w:r>
        <w:rPr>
          <w:b w:val="0"/>
        </w:rPr>
        <w:t>Impacto: alto, por cambios en plataformas, productos y procesos que habilitan nuevas aplicaciones y velocidad de comercialización [E2].</w:t>
      </w:r>
    </w:p>
    <w:p>
      <w:r>
        <w:rPr>
          <w:b w:val="0"/>
        </w:rPr>
        <w:t>Nivel de confianza: alta, respaldada por múltiples fuentes primarias que documentan adopción e inversión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marcos regulatorios y de gestión de riesgo convergen; regulaciones y estándares públicos impulsan la integración de controles, auditoría y trazabilidad en programas de IA [E4].</w:t>
      </w:r>
    </w:p>
    <w:p>
      <w:r>
        <w:rPr>
          <w:b w:val="0"/>
        </w:rPr>
        <w:t>Madurez: en_adopcion [E4].</w:t>
      </w:r>
    </w:p>
    <w:p>
      <w:r>
        <w:rPr>
          <w:b w:val="0"/>
        </w:rPr>
        <w:t>Impacto: alto, pues obliga cambios en cumplimiento, contratación de tecnología de gobernanza y procesos operativos [E4].</w:t>
      </w:r>
    </w:p>
    <w:p>
      <w:r>
        <w:rPr>
          <w:b w:val="0"/>
        </w:rPr>
        <w:t>Nivel de confianza: alta, al estar sustentado por fuentes primarias legales y de estándares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actores maliciosos usan generative AI para escalar phishing, ingeniería social, descubrimiento de vulnerabilidades y automatización de malware; defensores adoptan IA para detección y respuesta a gran escala [E5], [E6].</w:t>
      </w:r>
    </w:p>
    <w:p>
      <w:r>
        <w:rPr>
          <w:b w:val="0"/>
        </w:rPr>
        <w:t>Madurez: en_adopcion [E5], [E6].</w:t>
      </w:r>
    </w:p>
    <w:p>
      <w:r>
        <w:rPr>
          <w:b w:val="0"/>
        </w:rPr>
        <w:t>Impacto: alto, porque amplía la superficie de riesgo y acelera tiempos de compromiso afectando continuidad y reputación [E5], [E6].</w:t>
      </w:r>
    </w:p>
    <w:p>
      <w:r>
        <w:rPr>
          <w:b w:val="0"/>
        </w:rPr>
        <w:t>Nivel de confianza: alta, basado en informes técnicos de referencia en ciberseguridad [E5], 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asistentes de programación y plataformas de agentes se integran en flujos de trabajo, aumentando la productividad de desarrolladores profesionales [E7], [E8].</w:t>
      </w:r>
    </w:p>
    <w:p>
      <w:r>
        <w:rPr>
          <w:b w:val="0"/>
        </w:rPr>
        <w:t>Madurez: en_adopcion [E7], [E8].</w:t>
      </w:r>
    </w:p>
    <w:p>
      <w:r>
        <w:rPr>
          <w:b w:val="0"/>
        </w:rPr>
        <w:t>Impacto: medio, por mejoras de velocidad en el SDLC y retos de seguridad y calidad de código [E7], [E8].</w:t>
      </w:r>
    </w:p>
    <w:p>
      <w:r>
        <w:rPr>
          <w:b w:val="0"/>
        </w:rPr>
        <w:t>Nivel de confianza: alta, con evidencia empírica de ensayos controlados y encuestas de uso [E7], 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de datos sintéticos para mitigar privacidad, escasez y sesgo, con discusión sobre oportunidades y riesgos técnicos y regulatorios [E9], [E10].</w:t>
      </w:r>
    </w:p>
    <w:p>
      <w:r>
        <w:rPr>
          <w:b w:val="0"/>
        </w:rPr>
        <w:t>Madurez: emergente [E9], [E10].</w:t>
      </w:r>
    </w:p>
    <w:p>
      <w:r>
        <w:rPr>
          <w:b w:val="0"/>
        </w:rPr>
        <w:t>Impacto: medio, afecta pipelines de datos, cumplimiento y calidad de modelos, con potencial en sectores regulados [E9], [E10].</w:t>
      </w:r>
    </w:p>
    <w:p>
      <w:r>
        <w:rPr>
          <w:b w:val="0"/>
        </w:rPr>
        <w:t>Nivel de confianza: media, por literatura técnica y comunicaciones de proveedores que documentan beneficios y limitaciones [E9], 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(ML/AI observability)</w:t>
      </w:r>
    </w:p>
    <w:p>
      <w:r>
        <w:rPr>
          <w:b w:val="0"/>
        </w:rPr>
        <w:t>Qué es: prácticas y herramientas de observabilidad para trazar, evaluar y detectar deriva en modelos y agentes en producción [E11], [E12].</w:t>
      </w:r>
    </w:p>
    <w:p>
      <w:r>
        <w:rPr>
          <w:b w:val="0"/>
        </w:rPr>
        <w:t>Madurez: emergente [E11], [E12].</w:t>
      </w:r>
    </w:p>
    <w:p>
      <w:r>
        <w:rPr>
          <w:b w:val="0"/>
        </w:rPr>
        <w:t>Impacto: medio, mejora resiliencia operativa y soporta cumplimiento y trazabilidad [E11], [E12].</w:t>
      </w:r>
    </w:p>
    <w:p>
      <w:r>
        <w:rPr>
          <w:b w:val="0"/>
        </w:rPr>
        <w:t>Nivel de confianza: alta, documentado por plataformas y anuncios de integración con proveedores cloud [E11], 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en dispositivos de borde y robots impulsando optimizaciones de memoria y uso de aceleradores especializados para reducir latencia y mejorar privacidad [E13], [E14].</w:t>
      </w:r>
    </w:p>
    <w:p>
      <w:r>
        <w:rPr>
          <w:b w:val="0"/>
        </w:rPr>
        <w:t>Madurez: emergente [E13], [E14].</w:t>
      </w:r>
    </w:p>
    <w:p>
      <w:r>
        <w:rPr>
          <w:b w:val="0"/>
        </w:rPr>
        <w:t>Impacto: medio, habilita productos en tiempo real y cambia requisitos de infraestructura y compras de hardware [E13], [E14].</w:t>
      </w:r>
    </w:p>
    <w:p>
      <w:r>
        <w:rPr>
          <w:b w:val="0"/>
        </w:rPr>
        <w:t>Nivel de confianza: media, sustentado por analistas de mercado y proveedores con proyecciones y técnicas de optimización [E13], 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Incorporación de foundation models puede acelerar la entrega de nuevas capacidades y reconfigurar funciones como atención al cliente, R&amp;D y finanzas [E2].</w:t>
      </w:r>
    </w:p>
    <w:p>
      <w:pPr>
        <w:pStyle w:val="ListBullet"/>
      </w:pPr>
      <w:r>
        <w:rPr>
          <w:b w:val="0"/>
        </w:rPr>
        <w:t>Regulación activa transforma obligaciones de cumplimiento y exige controles, auditoría y trazabilidad para productos expuestos al mercado regulado [E4].</w:t>
      </w:r>
    </w:p>
    <w:p>
      <w:pPr>
        <w:pStyle w:val="ListBullet"/>
      </w:pPr>
      <w:r>
        <w:rPr>
          <w:b w:val="0"/>
        </w:rPr>
        <w:t>La adopción de técnicas de ataque basadas en IA eleva el riesgo operativo y reputacional y exige inversión en defensas AI-centradas [E5], [E6].</w:t>
      </w:r>
    </w:p>
    <w:p>
      <w:pPr>
        <w:pStyle w:val="ListBullet"/>
      </w:pPr>
      <w:r>
        <w:rPr>
          <w:b w:val="0"/>
        </w:rPr>
        <w:t>Asistentes de desarrollo ofrecen ganancias de productividad demostradas en experimentos controlados y amplia adopción entre desarrolladores profesionales, cambiando métricas de rendimiento y formación [E7], [E8].</w:t>
      </w:r>
    </w:p>
    <w:p>
      <w:pPr>
        <w:pStyle w:val="ListBullet"/>
      </w:pPr>
      <w:r>
        <w:rPr>
          <w:b w:val="0"/>
        </w:rPr>
        <w:t>Datos sintéticos pueden desbloquear proyectos en sectores regulados, pero su validación técnica y cumplimiento regulatorio requieren marcos claros antes de su extensión [E9], [E10].</w:t>
      </w:r>
    </w:p>
    <w:p>
      <w:pPr>
        <w:pStyle w:val="ListBullet"/>
      </w:pPr>
      <w:r>
        <w:rPr>
          <w:b w:val="0"/>
        </w:rPr>
        <w:t>Observabilidad de modelos es necesaria para operar a escala y mantener confianza, trazabilidad y capacidad de respuesta ante deriva y regresiones [E11], [E12].</w:t>
      </w:r>
    </w:p>
    <w:p>
      <w:pPr>
        <w:pStyle w:val="ListBullet"/>
      </w:pPr>
      <w:r>
        <w:rPr>
          <w:b w:val="0"/>
        </w:rPr>
        <w:t>Inferencia en edge y optimizaciones de memoria permiten casos de uso en tiempo real y reducen latencia, aunque implican decisiones de adquisición de hardware y arquitectura híbrida edge-cloud [E13], [E14].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Riesgo regulatorio y de cumplimiento si no se integran marcos de gobernanza de IA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Exposición a ataques escalados por generative AI que amplifican phishing, suplantación y automatización de malware [E5], 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Dependencia de proveedores de foundation models y riesgo de concentración de proveedores que afectan resiliencia y costes [E2].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Calidad, sesgo y riesgo regulatorio al usar datos sintéticos sin criterios de validación robustos [E9], [E10].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Falta de observabilidad que provoque regresiones en producción, pérdida de traza y dificultades para auditoría [E11], [E12].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Costos y complejidad en despliegues edge por requisitos de hardware y optimización de modelos [E13], [E14].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Adoptar marcos de gobernanza y TRiSM para convertir cumplimiento en ventaja competitiva y facilitar despliegues seguros [E4].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Fortalecer defensas AI-centradas para reducir ventana de exposición y mejorar detección y respuesta ante ataques escalados por IA [E5], [E6].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Aprovechar foundation models y servicios gestionados para acelerar innovación y reducir tiempo de comercialización [E2].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Mejorar productividad del equipo de desarrollo mediante asistentes y agentes de código, reduciendo tiempos de entrega de software [E7], [E8].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Explorar datos sintéticos en pilotos controlados para desbloquear proyectos en sectores regulados mediante control de privacidad y anonimización [E9], [E10].</w:t>
      </w:r>
    </w:p>
    <w:p>
      <w:pPr>
        <w:pStyle w:val="ListBullet"/>
      </w:pPr>
      <w:r>
        <w:rPr>
          <w:b/>
        </w:rPr>
        <w:t>OP6.</w:t>
      </w:r>
      <w:r>
        <w:rPr>
          <w:b w:val="0"/>
        </w:rPr>
        <w:t xml:space="preserve"> Implementar observabilidad de modelos para robustecer operaciones y cumplir requisitos de trazabilidad y auditoría [E11], [E12].</w:t>
      </w:r>
    </w:p>
    <w:p>
      <w:pPr>
        <w:pStyle w:val="ListBullet"/>
      </w:pPr>
      <w:r>
        <w:rPr>
          <w:b/>
        </w:rPr>
        <w:t>OP7.</w:t>
      </w:r>
      <w:r>
        <w:rPr>
          <w:b w:val="0"/>
        </w:rPr>
        <w:t xml:space="preserve"> Evaluar despliegues edge para productos que requieran baja latencia o privacidad, beneficiándose de optimizaciones de memoria y aceleradores especializados [E13], 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Integrar gobernanza de IA como requisito contractual y operativo</w:t>
      </w:r>
    </w:p>
    <w:p>
      <w:r>
        <w:rPr>
          <w:b w:val="0"/>
        </w:rPr>
        <w:t>Implementar un programa corporativo de gobernanza de IA que incorpore el marco de riesgos (perfilado, controles, trazabilidad y auditoría) como requisito para cualquier despliegue productivo de IA; esto reduce riesgo regulatorio y facilita la aceptación de soluciones basadas en foundation models [E4], [E2].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[E4], [E2]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de políticas y procesos de gobernanza aplicados a proyectos de IA (registro de modelos y trazas revisables)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Fortalecer detección y respuesta con defensas AI-centradas</w:t>
      </w:r>
    </w:p>
    <w:p>
      <w:r>
        <w:rPr>
          <w:b w:val="0"/>
        </w:rPr>
        <w:t>Desplegar capacidades de detección y respuesta que integren técnicas de IA para identificar ataques generativos y suplantación, y actualizar playbooks de seguridad para escenarios impulsados por GenAI; esto responde al aumento documentado de ataques y reduce ventana de compromiso [E5], 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casos detectados mediante detección AI-centrada y tiempo medio de respuesta a incidentes (sin meta)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R3. Piloto controlado de modelos de base para casos críticos</w:t>
      </w:r>
    </w:p>
    <w:p>
      <w:r>
        <w:rPr>
          <w:b w:val="0"/>
        </w:rPr>
        <w:t>Ejecutar pilotos controlados que personalicen foundation models para uno o dos casos de uso de alto valor (p. ej. atención al cliente o R&amp;D), con requisitos de gobernanza, métricas de rendimiento y pruebas de seguridad antes de escalado; así se aprovecha la inversión y se gestiona dependencia de proveedores [E2],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 evaluación de riesgo y reporte de resultados por piloto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R4. Adoptar asistentes de desarrollo en grupos piloto y medir productividad</w:t>
      </w:r>
    </w:p>
    <w:p>
      <w:r>
        <w:rPr>
          <w:b w:val="0"/>
        </w:rPr>
        <w:t>Abrir pilotos en equipos de ingeniería para integrar asistentes de código y agentes en flujos controlados, evaluar impacto en productividad y calidad, y actualizar prácticas de seguridad del SDLC según resultados [E7], [E8].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indicadores de tiempo de desarrollo por tarea y métricas de calidad de código revisadas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Pilotos de datos sintéticos con criterios de validación</w:t>
      </w:r>
    </w:p>
    <w:p>
      <w:r>
        <w:rPr>
          <w:b w:val="0"/>
        </w:rPr>
        <w:t>Lanzar pilotos de generación de datos sintéticos en dominios no críticos con criterios definidos de validación, privacidad y compliance, y solo ampliar tras evidencia de calidad y conformidad regulatoria [E9], [E10].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de criterios de evaluación y registros de validación para datasets sintéticos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2"/>
      </w:pPr>
      <w:r>
        <w:t>R6. Implementar observabilidad de modelos en entornos productivos</w:t>
      </w:r>
    </w:p>
    <w:p>
      <w:r>
        <w:rPr>
          <w:b w:val="0"/>
        </w:rPr>
        <w:t>Adoptar prácticas y herramientas de ML observability (trazas, evaluación automática, detección de deriva) en modelos y agentes en producción para soportar trazabilidad y auditoría requerida por gobernanza [E11], [E12].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[E11], [E12]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OP6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cobertura de observabilidad por modelo en producción (lista de modelos con trazas y métricas)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R7. Evaluar despliegues edge para productos con requisitos de latencia y privacidad</w:t>
      </w:r>
    </w:p>
    <w:p>
      <w:r>
        <w:rPr>
          <w:b w:val="0"/>
        </w:rPr>
        <w:t>Realizar pruebas de concepto para ejecutar inferencia optimizada en edge en líneas de producto donde latencia o privacidad sean diferenciadores, evaluando optimizaciones de memoria y aceleradores especializados antes de decidir compras a escala [E13], 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OP7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POCs de inferencia en edge completados con métricas de latencia y uso de memoria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1"/>
      </w:pPr>
      <w:r>
        <w:t>9. Hoja de Ruta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Horizonte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Recomendación asociada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0–6 meses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Establecer marco de gobernanza y priorizar riesgos críticos; iniciar pilotos de seguridad AI-centrada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R1, R2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0–6 meses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Seleccionar 1–2 casos para pilotos de foundation models y asistentes de desarrollo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R3, R4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6–18 meses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Implementar observabilidad en modelos piloto y ampliar detección AI-centrada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R6, R2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6–18 meses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Ejecutar pilotos de datos sintéticos con criterios de validación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18–36 meses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Evaluar resultados de pilotos y decidir escalado de foundation models y despliegues edge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R3, R7</w:t>
            </w:r>
          </w:p>
        </w:tc>
      </w:tr>
    </w:tbl>
    <w:p>
      <w:pPr>
        <w:pStyle w:val="Heading1"/>
      </w:pPr>
      <w:r>
        <w:t>10. Conclusiones</w:t>
      </w:r>
    </w:p>
    <w:p>
      <w:r>
        <w:rPr>
          <w:b w:val="0"/>
        </w:rPr>
        <w:t>Las evidencias muestran una adopción creciente de IA empresarial y significativas inversiones en generative AI que impulsan oportunidades de innovación acelerada [E2], mientras que la regulación y los ataques basados en IA elevan la necesidad de gobernanza y defensas específicas [E4], [E5], [E6]. Priorizar gobernanza e inversiones en seguridad AI-centrada, y ejecutar pilotos controlados en foundation models, observabilidad, asistentes de desarrollo y edge, ofrece una ruta prudente para capturar valor evitando riesgos regulatorios y operativos [E2], [E4], [E5], [E11].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Stanford Institute for Human-Centered Artificial Intelligence (HAI)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National Institute of Standards and Technology (NIST)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Corporation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SAS Institute Inc.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Richard Timpone; Yongwei Yang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Amazon Web Services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88.6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