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8"/>
        </w:rPr>
        <w:t>Tendencias emergentes de inteligencia artificial con potencial impacto empresarial durante los próximos tres años</w:t>
      </w:r>
    </w:p>
    <w:p>
      <w:pPr>
        <w:jc w:val="center"/>
      </w:pPr>
      <w:r>
        <w:rPr>
          <w:sz w:val="28"/>
        </w:rPr>
        <w:t>Informe ejecutivo para Horizonte Digital S.A.S.</w:t>
      </w:r>
    </w:p>
    <w:p>
      <w:pPr>
        <w:jc w:val="center"/>
      </w:pPr>
      <w:r>
        <w:rPr>
          <w:sz w:val="24"/>
        </w:rPr>
        <w:t>Fecha: 2026-10-01</w:t>
      </w:r>
    </w:p>
    <w:p>
      <w:pPr>
        <w:jc w:val="center"/>
      </w:pPr>
      <w:r>
        <w:rPr>
          <w:sz w:val="22"/>
        </w:rPr>
        <w:t>Estado de auditoría: APROBADO · Score global: 89.3/100</w:t>
      </w:r>
    </w:p>
    <w:p>
      <w:pPr>
        <w:jc w:val="center"/>
      </w:pPr>
      <w:r>
        <w:rPr>
          <w:sz w:val="20"/>
        </w:rPr>
        <w:t>Elaborado por un sistema multiagente: Trend Scout → Report Writer → Quality Auditor &amp; Publisher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t>Clic derecho → Actualizar campo para generar la tabla de contenido.</w:t>
        <w:fldChar w:fldCharType="end"/>
      </w:r>
    </w:p>
    <w:p>
      <w:r>
        <w:br w:type="page"/>
      </w:r>
    </w:p>
    <w:p>
      <w:r>
        <w:rPr>
          <w:b w:val="0"/>
        </w:rPr>
        <w:t>Cliente: Horizonte Digital S.A.S.</w:t>
      </w:r>
    </w:p>
    <w:p>
      <w:pPr>
        <w:pStyle w:val="Heading1"/>
      </w:pPr>
      <w:r>
        <w:t>1. Resumen Ejecutivo</w:t>
      </w:r>
    </w:p>
    <w:p>
      <w:r>
        <w:rPr>
          <w:b w:val="0"/>
        </w:rPr>
        <w:t>Este informe analiza siete tendencias de IA con evidencia validada y propone una clasificación clara para la toma de decisiones: cuáles tendencias observar, evaluar o incorporar en la estrategia de Horizonte Digital S.A.S.</w:t>
      </w:r>
    </w:p>
    <w:p>
      <w:pPr>
        <w:pStyle w:val="ListBullet"/>
      </w:pPr>
      <w:r>
        <w:rPr>
          <w:b w:val="0"/>
        </w:rPr>
        <w:t>T1. Adopción y personalización de modelos de base (foundation models): Incorporar por su impacto alto y respaldo de adopción empresarial y inversión en generative AI [E2].</w:t>
      </w:r>
    </w:p>
    <w:p>
      <w:pPr>
        <w:pStyle w:val="ListBullet"/>
      </w:pPr>
      <w:r>
        <w:rPr>
          <w:b w:val="0"/>
        </w:rPr>
        <w:t>T2. Regulación y gestión de riesgos (AI governance / TRiSM): Incorporar dado que marcos y obligaciones empujan a cambios operativos y de cumplimiento [E4].</w:t>
      </w:r>
    </w:p>
    <w:p>
      <w:pPr>
        <w:pStyle w:val="ListBullet"/>
      </w:pPr>
      <w:r>
        <w:rPr>
          <w:b w:val="0"/>
        </w:rPr>
        <w:t>T3. Uso de IA por atacantes y necesidad de defensas AI-centradas en ciberseguridad: Incorporar por la evidencia de uso adversario y la doble cara de la IA en defensa y ataque [E5], [E6].</w:t>
      </w:r>
    </w:p>
    <w:p>
      <w:pPr>
        <w:pStyle w:val="ListBullet"/>
      </w:pPr>
      <w:r>
        <w:rPr>
          <w:b w:val="0"/>
        </w:rPr>
        <w:t>T4. Automatización del desarrollo con asistentes de código y agentes: Evaluar mediante pilotos estructurados antes de escalamiento, por mejoras de productividad documentadas pero variabilidad por contexto [E7], [E8].</w:t>
      </w:r>
    </w:p>
    <w:p>
      <w:pPr>
        <w:pStyle w:val="ListBullet"/>
      </w:pPr>
      <w:r>
        <w:rPr>
          <w:b w:val="0"/>
        </w:rPr>
        <w:t>T5. Generación y uso de datos sintéticos: Evaluar mediante proyectos piloto y marcos de validación, por interés creciente pero madurez emergente; parte de la justificación está basada en proyecciones reportadas por proveedores/analistas y en trabajos académicos que documentan oportunidades y riesgos [E9], [E10].</w:t>
      </w:r>
    </w:p>
    <w:p>
      <w:pPr>
        <w:pStyle w:val="ListBullet"/>
      </w:pPr>
      <w:r>
        <w:rPr>
          <w:b w:val="0"/>
        </w:rPr>
        <w:t>T6. Observabilidad y monitoreo de modelos (ML/AI observability): Incorporar prácticas y herramientas de observabilidad para soportar operación y cumplimiento [E11], [E12].</w:t>
      </w:r>
    </w:p>
    <w:p>
      <w:pPr>
        <w:pStyle w:val="ListBullet"/>
      </w:pPr>
      <w:r>
        <w:rPr>
          <w:b w:val="0"/>
        </w:rPr>
        <w:t>T7. Despliegue en edge y aceleradores especializados: Evaluar la viabilidad por línea de producto y costo; la tendencia tiene potencial pero depende de inversión en hardware y optimizaciones [E13], [E14].</w:t>
      </w:r>
    </w:p>
    <w:p>
      <w:r>
        <w:rPr>
          <w:b w:val="0"/>
        </w:rPr>
        <w:t>Recomendación principal: priorizar en horizonte inmediato la gobernanza de IA (TRiSM), la seguridad AI-centrada y un programa controlado de adopción de foundation models con observabilidad integrada, mientras se ejecutan pilotos en desarrollo asistido, datos sintéticos y edge para evaluar escalamiento futuro [E4], [E5], [E2], [E11].</w:t>
      </w:r>
    </w:p>
    <w:p>
      <w:pPr>
        <w:pStyle w:val="Heading1"/>
      </w:pPr>
      <w:r>
        <w:t>2. Objetivo</w:t>
      </w:r>
    </w:p>
    <w:p>
      <w:r>
        <w:rPr>
          <w:b w:val="0"/>
        </w:rPr>
        <w:t>Proveer a la alta dirección una síntesis accionable de tendencias emergentes de IA con evidencia validada para decidir qué observar, evaluar o incorporar en la estrategia y el plan operativo de Horizonte Digital S.A.S.</w:t>
      </w:r>
    </w:p>
    <w:p>
      <w:pPr>
        <w:pStyle w:val="Heading1"/>
      </w:pPr>
      <w:r>
        <w:t>3. Metodología</w:t>
      </w:r>
    </w:p>
    <w:p>
      <w:r>
        <w:rPr>
          <w:b w:val="0"/>
        </w:rPr>
        <w:t>Se consolidaron hallazgos validados provenientes de fuentes públicas, se verificó la trazabilidad de cifras y afirmaciones, se redactó el informe y se sometió a auditoría interna de cumplimiento de evidencia; la fecha de investigación de los hallazgos es 2026-10-01.</w:t>
      </w:r>
    </w:p>
    <w:p>
      <w:pPr>
        <w:pStyle w:val="Heading1"/>
      </w:pPr>
      <w:r>
        <w:t>4. Tendencias Analizadas</w:t>
      </w:r>
    </w:p>
    <w:p>
      <w:pPr>
        <w:pStyle w:val="Heading2"/>
      </w:pPr>
      <w:r>
        <w:t>T1. Adopción y personalización de modelos de base (foundation models)</w:t>
      </w:r>
    </w:p>
    <w:p>
      <w:r>
        <w:rPr>
          <w:b w:val="0"/>
        </w:rPr>
        <w:t>Qué es: Migración de prototipos a despliegues productivos usando foundation models accesibles vía servicios gestionados y creciente implementación de modelos especializados y personalizados para casos verticales y de cumplimiento [E2].</w:t>
      </w:r>
    </w:p>
    <w:p>
      <w:r>
        <w:rPr>
          <w:b w:val="0"/>
        </w:rPr>
        <w:t>Madurez: en_adopcion según la evidencia de servicios gestionados y migraciones a producción [E2].</w:t>
      </w:r>
    </w:p>
    <w:p>
      <w:r>
        <w:rPr>
          <w:b w:val="0"/>
        </w:rPr>
        <w:t>Impacto: alto por su capacidad de reconfigurar plataformas, productos y procesos (atención al cliente, R&amp;D, finanzas) y acelerar time-to-market [E2].</w:t>
      </w:r>
    </w:p>
    <w:p>
      <w:r>
        <w:rPr>
          <w:b w:val="0"/>
        </w:rPr>
        <w:t>Confianza: alta por la evidencia del AI Index 2025 que documenta adopción e inversión en generative AI [E2].</w:t>
      </w:r>
    </w:p>
    <w:p>
      <w:r>
        <w:rPr>
          <w:b w:val="0"/>
        </w:rPr>
        <w:t>Evidencia: [E2].</w:t>
      </w:r>
    </w:p>
    <w:p>
      <w:pPr>
        <w:pStyle w:val="Heading2"/>
      </w:pPr>
      <w:r>
        <w:t>T2. Regulación y gestión de riesgos (AI governance / TRiSM)</w:t>
      </w:r>
    </w:p>
    <w:p>
      <w:r>
        <w:rPr>
          <w:b w:val="0"/>
        </w:rPr>
        <w:t>Qué es: Convergencia de marcos regulatorios y estándares que obligan a integrar controles, auditoría y trazabilidad en programas de IA [E4].</w:t>
      </w:r>
    </w:p>
    <w:p>
      <w:r>
        <w:rPr>
          <w:b w:val="0"/>
        </w:rPr>
        <w:t>Madurez: en_adopcion con marcos y regulaciones publicadas pero práctica operativa en evolución [E4].</w:t>
      </w:r>
    </w:p>
    <w:p>
      <w:r>
        <w:rPr>
          <w:b w:val="0"/>
        </w:rPr>
        <w:t>Impacto: alto por requerir cambios en cumplimiento, contratación de tecnología de gobernanza y procesos operativos [E4].</w:t>
      </w:r>
    </w:p>
    <w:p>
      <w:r>
        <w:rPr>
          <w:b w:val="0"/>
        </w:rPr>
        <w:t>Confianza: alta por fuentes primarias legales y de estándares que confirman obligaciones y recursos oficiales [E4].</w:t>
      </w:r>
    </w:p>
    <w:p>
      <w:r>
        <w:rPr>
          <w:b w:val="0"/>
        </w:rPr>
        <w:t>Evidencia: [E4].</w:t>
      </w:r>
    </w:p>
    <w:p>
      <w:pPr>
        <w:pStyle w:val="Heading2"/>
      </w:pPr>
      <w:r>
        <w:t>T3. Uso de IA por atacantes y necesidad de defensas AI-centradas en ciberseguridad</w:t>
      </w:r>
    </w:p>
    <w:p>
      <w:r>
        <w:rPr>
          <w:b w:val="0"/>
        </w:rPr>
        <w:t>Qué es: Adversarios usan generative AI para escalar phishing, ingeniería social, descubrimiento de vulnerabilidades y automatización de malware; defensores adoptan IA para detección y respuesta [E5], [E6].</w:t>
      </w:r>
    </w:p>
    <w:p>
      <w:r>
        <w:rPr>
          <w:b w:val="0"/>
        </w:rPr>
        <w:t>Madurez: en_adopcion con despliegues operativos de técnicas adversarias y defensivas documentadas [E5], [E6].</w:t>
      </w:r>
    </w:p>
    <w:p>
      <w:r>
        <w:rPr>
          <w:b w:val="0"/>
        </w:rPr>
        <w:t>Impacto: alto por ampliación de superficie de riesgo y aceleración de tiempos de compromiso que afectan continuidad y reputación [E5], [E6].</w:t>
      </w:r>
    </w:p>
    <w:p>
      <w:r>
        <w:rPr>
          <w:b w:val="0"/>
        </w:rPr>
        <w:t>Confianza: alta por informes técnicos de referencia que describen hallazgos empíricos y métricas concretas [E5], [E6].</w:t>
      </w:r>
    </w:p>
    <w:p>
      <w:r>
        <w:rPr>
          <w:b w:val="0"/>
        </w:rPr>
        <w:t>Evidencia: [E5], [E6].</w:t>
      </w:r>
    </w:p>
    <w:p>
      <w:pPr>
        <w:pStyle w:val="Heading2"/>
      </w:pPr>
      <w:r>
        <w:t>T4. Automatización del desarrollo de software con asistentes de código y agentes de desarrollo</w:t>
      </w:r>
    </w:p>
    <w:p>
      <w:r>
        <w:rPr>
          <w:b w:val="0"/>
        </w:rPr>
        <w:t>Qué es: Integración de herramientas asistidas por IA y agentes en flujos de trabajo de desarrollo, con reportes de mejoras de velocidad y adopción entre desarrolladores profesionales [E7], [E8].</w:t>
      </w:r>
    </w:p>
    <w:p>
      <w:r>
        <w:rPr>
          <w:b w:val="0"/>
        </w:rPr>
        <w:t>Madurez: en_adopcion con estudios controlados y encuestas que muestran ganancias de productividad en contextos medidos [E7], [E8].</w:t>
      </w:r>
    </w:p>
    <w:p>
      <w:r>
        <w:rPr>
          <w:b w:val="0"/>
        </w:rPr>
        <w:t>Impacto: medio por aumento de productividad y cambios en prácticas de SDLC, con retos de seguridad y calidad [E7], [E8].</w:t>
      </w:r>
    </w:p>
    <w:p>
      <w:r>
        <w:rPr>
          <w:b w:val="0"/>
        </w:rPr>
        <w:t>Confianza: alta por evidencia empírica de investigación y encuestas de mercado [E7], [E8].</w:t>
      </w:r>
    </w:p>
    <w:p>
      <w:r>
        <w:rPr>
          <w:b w:val="0"/>
        </w:rPr>
        <w:t>Evidencia: [E7], [E8].</w:t>
      </w:r>
    </w:p>
    <w:p>
      <w:pPr>
        <w:pStyle w:val="Heading2"/>
      </w:pPr>
      <w:r>
        <w:t>T5. Generación de datos sintéticos y aumento de datos</w:t>
      </w:r>
    </w:p>
    <w:p>
      <w:r>
        <w:rPr>
          <w:b w:val="0"/>
        </w:rPr>
        <w:t>Qué es: Uso de datos sintéticos para mitigar privacidad, escasez y sesgo en entrenamientos y para facilitar cumplimiento en sectores regulados [E9], [E10].</w:t>
      </w:r>
    </w:p>
    <w:p>
      <w:r>
        <w:rPr>
          <w:b w:val="0"/>
        </w:rPr>
        <w:t>Madurez: emergente con interés, pruebas piloto y proveedores pero retos de validación y estandarización técnica; parte de la expectativa de adopción describe proyecciones de mercado reportadas por proveedores/analistas y debe considerarse como proyección más que evidencia de adopción actual [E9], [E10].</w:t>
      </w:r>
    </w:p>
    <w:p>
      <w:r>
        <w:rPr>
          <w:b w:val="0"/>
        </w:rPr>
        <w:t>Impacto: medio por su influencia en pipelines de datos, cumplimiento y calidad de modelos [E9], [E10].</w:t>
      </w:r>
    </w:p>
    <w:p>
      <w:r>
        <w:rPr>
          <w:b w:val="0"/>
        </w:rPr>
        <w:t>Confianza: media por coexistencia de trabajos académicos y publicaciones de proveedores, y porque algunas afirmaciones reportadas por proveedores incluyen proyecciones de adopción future que no equivalen a evidencia empírica actual [E9], [E10].</w:t>
      </w:r>
    </w:p>
    <w:p>
      <w:r>
        <w:rPr>
          <w:b w:val="0"/>
        </w:rPr>
        <w:t>Evidencia: [E9], [E10].</w:t>
      </w:r>
    </w:p>
    <w:p>
      <w:pPr>
        <w:pStyle w:val="Heading2"/>
      </w:pPr>
      <w:r>
        <w:t>T6. Observabilidad, evaluación y monitoreo de modelos (ML/AI observability)</w:t>
      </w:r>
    </w:p>
    <w:p>
      <w:r>
        <w:rPr>
          <w:b w:val="0"/>
        </w:rPr>
        <w:t>Qué es: Prácticas y herramientas de observabilidad que incorporan trazas, evaluación automática, detección de deriva y métricas de comportamiento para operar IA en producción [E11], [E12].</w:t>
      </w:r>
    </w:p>
    <w:p>
      <w:r>
        <w:rPr>
          <w:b w:val="0"/>
        </w:rPr>
        <w:t>Madurez: emergente con plataformas y casos reales que están estandarizándose [E11], [E12].</w:t>
      </w:r>
    </w:p>
    <w:p>
      <w:r>
        <w:rPr>
          <w:b w:val="0"/>
        </w:rPr>
        <w:t>Impacto: medio por mejora de resiliencia operativa, reducción de regresiones y soporte a cumplimiento [E11], [E12].</w:t>
      </w:r>
    </w:p>
    <w:p>
      <w:r>
        <w:rPr>
          <w:b w:val="0"/>
        </w:rPr>
        <w:t>Confianza: alta por evidencia técnica y anuncios de integración que muestran adopción práctica [E11], [E12].</w:t>
      </w:r>
    </w:p>
    <w:p>
      <w:r>
        <w:rPr>
          <w:b w:val="0"/>
        </w:rPr>
        <w:t>Evidencia: [E11], [E12].</w:t>
      </w:r>
    </w:p>
    <w:p>
      <w:pPr>
        <w:pStyle w:val="Heading2"/>
      </w:pPr>
      <w:r>
        <w:t>T7. Despliegue en el edge y aceleradores especializados para inferencia local</w:t>
      </w:r>
    </w:p>
    <w:p>
      <w:r>
        <w:rPr>
          <w:b w:val="0"/>
        </w:rPr>
        <w:t>Qué es: Ejecución de inferencia y modelos optimizados en dispositivos de borde y robots mediante plataformas edge y aceleradores para reducir latencia y mejorar privacidad [E13], [E14].</w:t>
      </w:r>
    </w:p>
    <w:p>
      <w:r>
        <w:rPr>
          <w:b w:val="0"/>
        </w:rPr>
        <w:t>Madurez: emergente con soluciones y despliegues reales pero transición masiva en curso [E13], [E14].</w:t>
      </w:r>
    </w:p>
    <w:p>
      <w:r>
        <w:rPr>
          <w:b w:val="0"/>
        </w:rPr>
        <w:t>Impacto: medio por habilitar productos en tiempo real y cambiar requisitos de infraestructura y compras de hardware [E13], [E14].</w:t>
      </w:r>
    </w:p>
    <w:p>
      <w:r>
        <w:rPr>
          <w:b w:val="0"/>
        </w:rPr>
        <w:t>Confianza: media por documentación de analistas y proveedores pero con dependencia de pronósticos de mercado [E13], [E14].</w:t>
      </w:r>
    </w:p>
    <w:p>
      <w:r>
        <w:rPr>
          <w:b w:val="0"/>
        </w:rPr>
        <w:t>Evidencia: [E13], [E14].</w:t>
      </w:r>
    </w:p>
    <w:p>
      <w:pPr>
        <w:pStyle w:val="Heading1"/>
      </w:pPr>
      <w:r>
        <w:t>5. Impacto Empresarial</w:t>
      </w:r>
    </w:p>
    <w:p>
      <w:pPr>
        <w:pStyle w:val="ListBullet"/>
      </w:pPr>
      <w:r>
        <w:rPr>
          <w:b w:val="0"/>
        </w:rPr>
        <w:t>Reconfiguración de productos y procesos: foundation models facilitan nuevas capacidades y velocidad de comercialización que afectan atención al cliente, R&amp;D y finanzas [E2].</w:t>
      </w:r>
    </w:p>
    <w:p>
      <w:pPr>
        <w:pStyle w:val="ListBullet"/>
      </w:pPr>
      <w:r>
        <w:rPr>
          <w:b w:val="0"/>
        </w:rPr>
        <w:t>Cumplimiento y operaciones: marcos regulatorios exigirán controles, trazabilidad y auditoría que impactan contratación y procesos operativos [E4].</w:t>
      </w:r>
    </w:p>
    <w:p>
      <w:pPr>
        <w:pStyle w:val="ListBullet"/>
      </w:pPr>
      <w:r>
        <w:rPr>
          <w:b w:val="0"/>
        </w:rPr>
        <w:t>Seguridad y continuidad: el incremento de ataques potenciado por IA afecta tiempo de detección y respuesta operativa [E5], [E6].</w:t>
      </w:r>
    </w:p>
    <w:p>
      <w:pPr>
        <w:pStyle w:val="ListBullet"/>
      </w:pPr>
      <w:r>
        <w:rPr>
          <w:b w:val="0"/>
        </w:rPr>
        <w:t>Productividad tecnológica: asistentes de código pueden acelerar entregas y alterar métricas de rendimiento de equipo de desarrollo [E7], [E8].</w:t>
      </w:r>
    </w:p>
    <w:p>
      <w:pPr>
        <w:pStyle w:val="ListBullet"/>
      </w:pPr>
      <w:r>
        <w:rPr>
          <w:b w:val="0"/>
        </w:rPr>
        <w:t>Datos y calidad de modelos: datos sintéticos abren vías para proyectos regulados pero requieren marcos de validación para evitar sesgos o fugas de información [E9], [E10].</w:t>
      </w:r>
    </w:p>
    <w:p>
      <w:pPr>
        <w:pStyle w:val="ListBullet"/>
      </w:pPr>
      <w:r>
        <w:rPr>
          <w:b w:val="0"/>
        </w:rPr>
        <w:t>Infraestructura y coste: despliegue edge y aceleradores implican decisiones de compra y optimización de memoria/hardware para soportar inferencia local [E13], [E14].</w:t>
      </w:r>
    </w:p>
    <w:p>
      <w:pPr>
        <w:pStyle w:val="Heading1"/>
      </w:pPr>
      <w:r>
        <w:t>6. Riesgos</w:t>
      </w:r>
    </w:p>
    <w:p>
      <w:pPr>
        <w:pStyle w:val="ListBullet"/>
      </w:pPr>
      <w:r>
        <w:rPr>
          <w:b/>
        </w:rPr>
        <w:t>RG1.</w:t>
      </w:r>
      <w:r>
        <w:rPr>
          <w:b w:val="0"/>
        </w:rPr>
        <w:t xml:space="preserve"> Exposición regulatoria y sanciones por incumplimiento de marcos AI (p. ej. obligaciones de trazabilidad y controles) [E4].</w:t>
      </w:r>
    </w:p>
    <w:p>
      <w:pPr>
        <w:pStyle w:val="ListBullet"/>
      </w:pPr>
      <w:r>
        <w:rPr>
          <w:b/>
        </w:rPr>
        <w:t>RG2.</w:t>
      </w:r>
      <w:r>
        <w:rPr>
          <w:b w:val="0"/>
        </w:rPr>
        <w:t xml:space="preserve"> Escalada de campañas maliciosas potenciada por generative AI que aumentan phishing y automatización de intrusiones [E5], [E6].</w:t>
      </w:r>
    </w:p>
    <w:p>
      <w:pPr>
        <w:pStyle w:val="ListBullet"/>
      </w:pPr>
      <w:r>
        <w:rPr>
          <w:b/>
        </w:rPr>
        <w:t>RG3.</w:t>
      </w:r>
      <w:r>
        <w:rPr>
          <w:b w:val="0"/>
        </w:rPr>
        <w:t xml:space="preserve"> Deficiencias en gobernanza, trazabilidad y observabilidad que generan regresiones de modelos y problemas de responsabilidad [E11], [E12], [E4].</w:t>
      </w:r>
    </w:p>
    <w:p>
      <w:pPr>
        <w:pStyle w:val="ListBullet"/>
      </w:pPr>
      <w:r>
        <w:rPr>
          <w:b/>
        </w:rPr>
        <w:t>RG4.</w:t>
      </w:r>
      <w:r>
        <w:rPr>
          <w:b w:val="0"/>
        </w:rPr>
        <w:t xml:space="preserve"> Riesgos de privacidad, calidad y validez al usar datos sintéticos sin marcos de validación adecuados [E9], [E10].</w:t>
      </w:r>
    </w:p>
    <w:p>
      <w:pPr>
        <w:pStyle w:val="ListBullet"/>
      </w:pPr>
      <w:r>
        <w:rPr>
          <w:b/>
        </w:rPr>
        <w:t>RG5.</w:t>
      </w:r>
      <w:r>
        <w:rPr>
          <w:b w:val="0"/>
        </w:rPr>
        <w:t xml:space="preserve"> Dependencia y lock-in con proveedores de foundation models y servicios gestionados que limitan negociabilidad y aumentan costos operativos [E2].</w:t>
      </w:r>
    </w:p>
    <w:p>
      <w:pPr>
        <w:pStyle w:val="ListBullet"/>
      </w:pPr>
      <w:r>
        <w:rPr>
          <w:b/>
        </w:rPr>
        <w:t>RG6.</w:t>
      </w:r>
      <w:r>
        <w:rPr>
          <w:b w:val="0"/>
        </w:rPr>
        <w:t xml:space="preserve"> Costos de capital y capacidades técnicas necesarias para despliegues edge y aceleradores que pueden no justificar el retorno inmediato [E13], [E14].</w:t>
      </w:r>
    </w:p>
    <w:p>
      <w:pPr>
        <w:pStyle w:val="Heading1"/>
      </w:pPr>
      <w:r>
        <w:t>7. Oportunidades</w:t>
      </w:r>
    </w:p>
    <w:p>
      <w:pPr>
        <w:pStyle w:val="ListBullet"/>
      </w:pPr>
      <w:r>
        <w:rPr>
          <w:b/>
        </w:rPr>
        <w:t>OP1.</w:t>
      </w:r>
      <w:r>
        <w:rPr>
          <w:b w:val="0"/>
        </w:rPr>
        <w:t xml:space="preserve"> Acelerar lanzamiento de productos y servicios mediante foundation models y mercados gestionados que reducen time-to-market [E2].</w:t>
      </w:r>
    </w:p>
    <w:p>
      <w:pPr>
        <w:pStyle w:val="ListBullet"/>
      </w:pPr>
      <w:r>
        <w:rPr>
          <w:b/>
        </w:rPr>
        <w:t>OP2.</w:t>
      </w:r>
      <w:r>
        <w:rPr>
          <w:b w:val="0"/>
        </w:rPr>
        <w:t xml:space="preserve"> Incrementar productividad de equipos de desarrollo mediante asistentes de código y agentes, reduciendo tiempos de entrega en tareas concretas [E7], [E8].</w:t>
      </w:r>
    </w:p>
    <w:p>
      <w:pPr>
        <w:pStyle w:val="ListBullet"/>
      </w:pPr>
      <w:r>
        <w:rPr>
          <w:b/>
        </w:rPr>
        <w:t>OP3.</w:t>
      </w:r>
      <w:r>
        <w:rPr>
          <w:b w:val="0"/>
        </w:rPr>
        <w:t xml:space="preserve"> Habilitar proyectos en sectores regulados y mejorar privacidad mediante uso controlado de datos sintéticos [E9], [E10].</w:t>
      </w:r>
    </w:p>
    <w:p>
      <w:pPr>
        <w:pStyle w:val="ListBullet"/>
      </w:pPr>
      <w:r>
        <w:rPr>
          <w:b/>
        </w:rPr>
        <w:t>OP4.</w:t>
      </w:r>
      <w:r>
        <w:rPr>
          <w:b w:val="0"/>
        </w:rPr>
        <w:t xml:space="preserve"> Mejorar confianza operativa y cumplimiento integrando observabilidad y trazabilidad en pipelines de IA [E11], [E12], [E4].</w:t>
      </w:r>
    </w:p>
    <w:p>
      <w:pPr>
        <w:pStyle w:val="ListBullet"/>
      </w:pPr>
      <w:r>
        <w:rPr>
          <w:b/>
        </w:rPr>
        <w:t>OP5.</w:t>
      </w:r>
      <w:r>
        <w:rPr>
          <w:b w:val="0"/>
        </w:rPr>
        <w:t xml:space="preserve"> Diferenciar productos en tiempo real y con requisitos de privacidad mediante inferencia local en edge y uso de aceleradores especializados [E13], [E14].</w:t>
      </w:r>
    </w:p>
    <w:p>
      <w:pPr>
        <w:pStyle w:val="Heading1"/>
      </w:pPr>
      <w:r>
        <w:t>8. Recomendaciones</w:t>
      </w:r>
    </w:p>
    <w:p>
      <w:pPr>
        <w:pStyle w:val="Heading2"/>
      </w:pPr>
      <w:r>
        <w:t>R1. Implementar un programa corporativo de gobernanza de IA (TRiSM) integrado con cumplimiento</w:t>
      </w:r>
    </w:p>
    <w:p>
      <w:r>
        <w:rPr>
          <w:b w:val="0"/>
        </w:rPr>
        <w:t>Definir y desplegar un programa corporativo de AI governance que incluya inventario de modelos, gestión de riesgo, controles de trazabilidad y procesos de auditoría para todas las iniciativas de IA, con prioridad en soluciones que afecten datos sensibles o productos regulados [E4], [E11].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[E4], [E11]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RG1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OP4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existencia de inventario de modelos con categorías de riesgo y lista de controles aplicados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R2. Piloto controlado de foundation models y estrategia de proveedor</w:t>
      </w:r>
    </w:p>
    <w:p>
      <w:r>
        <w:rPr>
          <w:b w:val="0"/>
        </w:rPr>
        <w:t>Lanzar pilotos controlados para casos de uso de alto valor con modelos de base gestionados, evaluando integración, guardrails, coste y opciones de importación/customización antes de tomar decisiones de escalamiento o lock-in [E2].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[E2]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RG5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OP1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pilotos con evaluación de proveedores y reporte de riesgos de lock-in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R3. Fortalecer capacidades de ciberdefensa AI-centrada</w:t>
      </w:r>
    </w:p>
    <w:p>
      <w:r>
        <w:rPr>
          <w:b w:val="0"/>
        </w:rPr>
        <w:t>Adoptar detección y respuesta que incorporen modelos y señales AI-centradas, entrenar equipos de SOC en tácticas adversarias basadas en generative AI y actualizar playbooks de respuesta ante incidentes con escenarios basados en inteligencia de amenazas recientes [E5], [E6].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[E5], [E6]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RG2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OP4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incorporación de detecciones AI-centradas en el catálogo de detección y ejercicios de respuesta con escenarios GenAI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R4. Programa de adopción segura de herramientas asistidas para desarrollo</w:t>
      </w:r>
    </w:p>
    <w:p>
      <w:r>
        <w:rPr>
          <w:b w:val="0"/>
        </w:rPr>
        <w:t>Diseñar un programa piloto para integrar asistentes de código en equipos seleccionados, incluyendo métricas de productividad, requisitos de seguridad en dependencias y revisión humana obligatoria para código crítico, y registrar resultados para decisión de escalamiento [E7], [E8], [E11].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[E7], [E8], [E11]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RG3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OP2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proyectos piloto con métricas de productividad y hallazgos de seguridad documentados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R5. Marco piloto para uso de datos sintéticos con validación y cumplimiento</w:t>
      </w:r>
    </w:p>
    <w:p>
      <w:r>
        <w:rPr>
          <w:b w:val="0"/>
        </w:rPr>
        <w:t>Desarrollar un marco de piloto para generación y validación de datos sintéticos que incluya criterios de calidad, pruebas de privacidad y comparaciones con datos reales para casos regulados, escalando solo si los criterios de validez se cumplen [E9], [E10], [E4].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[E9], [E10], [E4]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RG4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OP3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pipeline de datos sintéticos con pruebas de privacidad y documentación de validación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R6. Evaluar viabilidad técnica y económica para despliegue edge</w:t>
      </w:r>
    </w:p>
    <w:p>
      <w:r>
        <w:rPr>
          <w:b w:val="0"/>
        </w:rPr>
        <w:t>Realizar un estudio técnico-económico para identificar productos con valor claro para inferencia en edge, medir requerimientos de hardware/optimización y preparar un roadmap de compra/optimización de modelos para dispositivos locales [E13], [E14].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[E13], [E14]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RG6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OP5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informe de viabilidad con lista priorizada de casos de uso y estimación de recursos técnicos necesarios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1"/>
      </w:pPr>
      <w:r>
        <w:t>9. Hoja de Ruta</w:t>
      </w:r>
    </w:p>
    <w:p>
      <w:r>
        <w:rPr>
          <w:b w:val="0"/>
        </w:rPr>
        <w:t>Horizonte | Acción | Recomendación asociada</w:t>
      </w:r>
    </w:p>
    <w:p>
      <w:r>
        <w:rPr>
          <w:b w:val="0"/>
        </w:rPr>
        <w:t>0–6 meses | Establecer programa de gobernanza AI y priorizar controles en proyectos existentes | R1</w:t>
      </w:r>
    </w:p>
    <w:p>
      <w:r>
        <w:rPr>
          <w:b w:val="0"/>
        </w:rPr>
        <w:t>0–6 meses | Lanzar 2–3 pilotos controlados de foundation models y definir criterios de evaluación de proveedores | R2</w:t>
      </w:r>
    </w:p>
    <w:p>
      <w:r>
        <w:rPr>
          <w:b w:val="0"/>
        </w:rPr>
        <w:t>6–18 meses | Implantar capacidades AI-centradas en SOC y ejercicios de respuesta | R3</w:t>
      </w:r>
    </w:p>
    <w:p>
      <w:r>
        <w:rPr>
          <w:b w:val="0"/>
        </w:rPr>
        <w:t>6–18 meses | Ejecutar programa piloto de asistentes de código con métricas de productividad y seguridad | R4</w:t>
      </w:r>
    </w:p>
    <w:p>
      <w:r>
        <w:rPr>
          <w:b w:val="0"/>
        </w:rPr>
        <w:t>6–18 meses | Ejecutar pilotos de datos sintéticos con marco de validación | R5</w:t>
      </w:r>
    </w:p>
    <w:p>
      <w:r>
        <w:rPr>
          <w:b w:val="0"/>
        </w:rPr>
        <w:t>18–36 meses | Decisión sobre escalamiento de foundation models y ajustes contractuales según resultados | R2</w:t>
      </w:r>
    </w:p>
    <w:p>
      <w:r>
        <w:rPr>
          <w:b w:val="0"/>
        </w:rPr>
        <w:t>18–36 meses | Estudio y piloto de inferencia edge para casos priorizados | R6</w:t>
      </w:r>
    </w:p>
    <w:p>
      <w:pPr>
        <w:pStyle w:val="Heading1"/>
      </w:pPr>
      <w:r>
        <w:t>10. Conclusiones</w:t>
      </w:r>
    </w:p>
    <w:p>
      <w:r>
        <w:rPr>
          <w:b w:val="0"/>
        </w:rPr>
        <w:t>Las tendencias de IA evaluadas muestran que la adopción de foundation models, la regulación y la necesidad de seguridad AI-centrada son prioridades inmediatas con respaldo robusto de evidencia y impacto alto en la operación y el cumplimiento empresarial [E2], [E4], [E5], [E6].</w:t>
      </w:r>
    </w:p>
    <w:p>
      <w:r>
        <w:rPr>
          <w:b w:val="0"/>
        </w:rPr>
        <w:t>Se recomienda un enfoque equilibrado: incorporar gobernanza y seguridad, evaluar con pilotos controlados foundation models, desarrolladores asistidos y datos sintéticos, e investigar despliegue edge antes de inversiones de capital significativas [E4], [E5], [E2], [E9], [E13].</w:t>
      </w:r>
    </w:p>
    <w:p>
      <w:pPr>
        <w:pStyle w:val="Heading1"/>
      </w:pPr>
      <w:r>
        <w:t>11. Referencias</w:t>
      </w:r>
    </w:p>
    <w:p>
      <w:pPr>
        <w:pStyle w:val="ListBullet"/>
      </w:pPr>
      <w:r>
        <w:rPr>
          <w:b w:val="0"/>
        </w:rPr>
        <w:t>[E2] Stanford Institute for Human-Centered Artificial Intelligence (AI Index Steering Committee) (2025-04). Artificial Intelligence Index Report 2025. https://hai.stanford.edu/assets/files/hai_ai_index_report_2025.pdf</w:t>
      </w:r>
    </w:p>
    <w:p>
      <w:pPr>
        <w:pStyle w:val="ListBullet"/>
      </w:pPr>
      <w:r>
        <w:rPr>
          <w:b w:val="0"/>
        </w:rPr>
        <w:t>[E4] National Institute of Standards and Technology (NIST) (2023-01-26). AI Risk Management Framework | NIST. https://www.nist.gov/itl/ai-risk-management-framework</w:t>
      </w:r>
    </w:p>
    <w:p>
      <w:pPr>
        <w:pStyle w:val="ListBullet"/>
      </w:pPr>
      <w:r>
        <w:rPr>
          <w:b w:val="0"/>
        </w:rPr>
        <w:t>[E5] CrowdStrike (2025-08-04). CrowdStrike 2025 Threat Hunting Report: AI Becomes a Weapon and a Target. https://www.crowdstrike.com/en-us/blog/crowdstrike-2025-threat-hunting-report-ai-weapon-target/</w:t>
      </w:r>
    </w:p>
    <w:p>
      <w:pPr>
        <w:pStyle w:val="ListBullet"/>
      </w:pPr>
      <w:r>
        <w:rPr>
          <w:b w:val="0"/>
        </w:rPr>
        <w:t>[E6] Microsoft Corporation (2025-11-21). Microsoft Digital Defense Report 2025. https://cdn-dynmedia-1.microsoft.com/is/content/microsoftcorp/microsoft/bade/documents/products-and-services/en-us/security/Microsoft-Digital-Defense-Report-2025-v5-21Nov25.pdf</w:t>
      </w:r>
    </w:p>
    <w:p>
      <w:pPr>
        <w:pStyle w:val="ListBullet"/>
      </w:pPr>
      <w:r>
        <w:rPr>
          <w:b w:val="0"/>
        </w:rPr>
        <w:t>[E7] GitHub (2022-09-07). Research: quantifying GitHub Copilot’s impact on developer productivity and happiness. https://github.blog/news-insights/research/research-quantifying-github-copilots-impact-on-developer-productivity-and-happiness/</w:t>
      </w:r>
    </w:p>
    <w:p>
      <w:pPr>
        <w:pStyle w:val="ListBullet"/>
      </w:pPr>
      <w:r>
        <w:rPr>
          <w:b w:val="0"/>
        </w:rPr>
        <w:t>[E8] SlashData (2026-03). 75% of professional developers are using AI-assisted tools: Insights on Developer Tools Usage and Measuring AI ROI. https://www.slashdata.co/post/75-of-professional-developers-are-using-ai-assisted-tools-insights-on-developer-tools-usage-and-me</w:t>
      </w:r>
    </w:p>
    <w:p>
      <w:pPr>
        <w:pStyle w:val="ListBullet"/>
      </w:pPr>
      <w:r>
        <w:rPr>
          <w:b w:val="0"/>
        </w:rPr>
        <w:t>[E9] SAS Institute Inc. (2025-01-24). Why Synthetic Data Is Essential for Your Organization's AI-Driven Future. https://www.sas.com/content/dam/sasdam/documents/20250124/why-synthetic-data-is-essential-for-your-organizations-ai-driven-future.pdf</w:t>
      </w:r>
    </w:p>
    <w:p>
      <w:pPr>
        <w:pStyle w:val="ListBullet"/>
      </w:pPr>
      <w:r>
        <w:rPr>
          <w:b w:val="0"/>
        </w:rPr>
        <w:t>[E10] arXiv / autores académicos (2024-08-10). Artificial Data, Real Insights: Evaluating Opportunities and Risks of Expanding the Data Ecosystem with Synthetic Data. https://arxiv.org/abs/2408.15260</w:t>
      </w:r>
    </w:p>
    <w:p>
      <w:pPr>
        <w:pStyle w:val="ListBullet"/>
      </w:pPr>
      <w:r>
        <w:rPr>
          <w:b w:val="0"/>
        </w:rPr>
        <w:t>[E11] Arize AI (2025-02). ML Monitoring | Monitor Machine Learning Model Performance. https://arize.com/products/ml-monitoring/</w:t>
      </w:r>
    </w:p>
    <w:p>
      <w:pPr>
        <w:pStyle w:val="ListBullet"/>
      </w:pPr>
      <w:r>
        <w:rPr>
          <w:b w:val="0"/>
        </w:rPr>
        <w:t>[E12] Amazon Web Services (AWS) blog (2025-08-01). Amazon Bedrock Agents observability using Arize AI. https://aws.amazon.com/blogs/machine-learning/amazon-bedrock-agents-observability-using-arize-ai/</w:t>
      </w:r>
    </w:p>
    <w:p>
      <w:pPr>
        <w:pStyle w:val="ListBullet"/>
      </w:pPr>
      <w:r>
        <w:rPr>
          <w:b w:val="0"/>
        </w:rPr>
        <w:t>[E13] IDC Research (2026-05). IDC - Physical AI &amp; Robotics Research. https://www.idc.com/ap/resource-center/physical-ai/</w:t>
      </w:r>
    </w:p>
    <w:p>
      <w:pPr>
        <w:pStyle w:val="ListBullet"/>
      </w:pPr>
      <w:r>
        <w:rPr>
          <w:b w:val="0"/>
        </w:rPr>
        <w:t>[E14] NVIDIA (2026-04-20). Maximizing Memory Efficiency with Agent Skills to Run Bigger Models on NVIDIA Jetson. https://developer.nvidia.com/blog/maximizing-memory-efficiency-to-run-bigger-models-on-nvidia-jetson/</w:t>
      </w:r>
    </w:p>
    <w:p>
      <w:pPr>
        <w:pStyle w:val="Heading1"/>
      </w:pPr>
      <w:r>
        <w:t>Anexo: resultado de la auditoría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Umbral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exactitud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calidad_evidencia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referencias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profundidad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70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claridad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utilidad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global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89.3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