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eastAsia="Microsoft YaHei"/>
          <w:b/>
          <w:sz w:val="48"/>
        </w:rPr>
        <w:t>Collaboration Proposal:</w:t>
        <w:br/>
        <w:t>Online Benchmark for Implementable Asset Pricing</w:t>
        <w:br/>
        <w:t>and Covariance Forecasting</w:t>
      </w:r>
    </w:p>
    <w:p>
      <w:pPr>
        <w:jc w:val="center"/>
      </w:pPr>
      <w:r>
        <w:rPr>
          <w:rFonts w:ascii="Calibri" w:hAnsi="Calibri" w:eastAsia="Microsoft YaHei"/>
          <w:b w:val="0"/>
          <w:sz w:val="28"/>
        </w:rPr>
        <w:t>Implementable Asset Pricing Track + Covariance Forecast Track</w:t>
      </w:r>
    </w:p>
    <w:p>
      <w:pPr>
        <w:jc w:val="center"/>
      </w:pPr>
      <w:r>
        <w:rPr>
          <w:rFonts w:ascii="Calibri" w:hAnsi="Calibri" w:eastAsia="Calibri"/>
          <w:b w:val="0"/>
          <w:sz w:val="22"/>
        </w:rPr>
        <w:t>Version: v0.1 (discussion draft)</w:t>
      </w:r>
    </w:p>
    <w:p>
      <w:pPr>
        <w:jc w:val="center"/>
      </w:pPr>
      <w:r>
        <w:rPr>
          <w:rFonts w:ascii="Calibri" w:hAnsi="Calibri" w:eastAsia="Calibri"/>
          <w:b w:val="0"/>
          <w:sz w:val="22"/>
        </w:rPr>
        <w:t>Date: 24 Feb 2026</w:t>
      </w:r>
    </w:p>
    <w:p>
      <w:pPr>
        <w:jc w:val="center"/>
      </w:pPr>
      <w:r>
        <w:rPr>
          <w:rFonts w:ascii="Calibri" w:hAnsi="Calibri" w:eastAsia="Calibri"/>
          <w:b w:val="0"/>
          <w:sz w:val="22"/>
        </w:rPr>
        <w:t>Prepared by: &lt;Your Name&gt; (DPhil in Statistics, University of Oxford; Oxford-Man Institute Affiliate)</w:t>
      </w:r>
    </w:p>
    <w:p>
      <w:pPr>
        <w:jc w:val="center"/>
      </w:pPr>
      <w:r>
        <w:rPr>
          <w:rFonts w:ascii="Calibri" w:hAnsi="Calibri" w:eastAsia="Calibri"/>
          <w:b w:val="0"/>
          <w:sz w:val="22"/>
        </w:rPr>
        <w:t>Contact: &lt;Email&gt; | &lt;Website / Google Scholar&gt;</w:t>
      </w:r>
    </w:p>
    <w:p>
      <w:pPr>
        <w:jc w:val="center"/>
      </w:pPr>
      <w:r>
        <w:rPr>
          <w:rFonts w:ascii="Calibri" w:hAnsi="Calibri" w:eastAsia="Calibri"/>
          <w:b w:val="0"/>
          <w:sz w:val="22"/>
        </w:rPr>
        <w:t>Potential partners: Oxford-Man Institute (OMI) / Tsinghua University (Shenzhen) and others</w:t>
      </w:r>
    </w:p>
    <w:p>
      <w:r>
        <w:br w:type="page"/>
      </w:r>
    </w:p>
    <w:p>
      <w:pPr>
        <w:pStyle w:val="Heading1"/>
      </w:pPr>
      <w:r>
        <w:rPr>
          <w:rFonts w:ascii="Calibri" w:hAnsi="Calibri" w:eastAsia="Calibri"/>
          <w:b/>
          <w:sz w:val="32"/>
        </w:rPr>
        <w:t>1. Executive Summary</w:t>
      </w:r>
    </w:p>
    <w:p>
      <w:r>
        <w:rPr>
          <w:rFonts w:ascii="Calibri" w:hAnsi="Calibri" w:eastAsia="Microsoft YaHei"/>
          <w:b w:val="0"/>
          <w:sz w:val="22"/>
        </w:rPr>
        <w:t>This proposal outlines an online Common Task Framework (CTF) for quantitative finance, featuring standardized tasks, hidden test sets, automated evaluation, and a public leaderboard. The platform targets two foundational research and practice problems:</w:t>
      </w:r>
    </w:p>
    <w:p>
      <w:pPr>
        <w:pStyle w:val="ListBullet"/>
      </w:pPr>
      <w:r>
        <w:rPr>
          <w:rFonts w:ascii="Calibri" w:hAnsi="Calibri" w:eastAsia="Calibri"/>
          <w:b w:val="0"/>
          <w:sz w:val="22"/>
        </w:rPr>
        <w:t>Track A - Implementable Asset Pricing: compare asset pricing / cross-sectional prediction models under a standardized liquidity constraint and transaction cost model, with net-of-cost performance as the primary criterion.</w:t>
      </w:r>
    </w:p>
    <w:p>
      <w:pPr>
        <w:pStyle w:val="ListBullet"/>
      </w:pPr>
      <w:r>
        <w:rPr>
          <w:rFonts w:ascii="Calibri" w:hAnsi="Calibri" w:eastAsia="Calibri"/>
          <w:b w:val="0"/>
          <w:sz w:val="22"/>
        </w:rPr>
        <w:t>Track B - Covariance Forecast: evaluate covariance matrix forecasting methods under strict temporal integrity and true holdout testing, using both statistical losses and decision-aware utility metrics.</w:t>
      </w:r>
    </w:p>
    <w:p>
      <w:r>
        <w:rPr>
          <w:rFonts w:ascii="Calibri" w:hAnsi="Calibri" w:eastAsia="Microsoft YaHei"/>
          <w:b w:val="0"/>
          <w:sz w:val="22"/>
        </w:rPr>
        <w:t>The goal is to bring ML-style benchmarking rigor to empirical finance while respecting data licensing constraints via a model-to-data execution workflow.</w:t>
      </w:r>
    </w:p>
    <w:p>
      <w:pPr>
        <w:pStyle w:val="Heading1"/>
      </w:pPr>
      <w:r>
        <w:rPr>
          <w:rFonts w:ascii="Calibri" w:hAnsi="Calibri" w:eastAsia="Calibri"/>
          <w:b/>
          <w:sz w:val="32"/>
        </w:rPr>
        <w:t>2. Motivation and Differentiation</w:t>
      </w:r>
    </w:p>
    <w:p>
      <w:r>
        <w:rPr>
          <w:rFonts w:ascii="Calibri" w:hAnsi="Calibri" w:eastAsia="Microsoft YaHei"/>
          <w:b w:val="0"/>
          <w:sz w:val="22"/>
        </w:rPr>
        <w:t>Empirical asset pricing results are often hard to compare because portfolio construction details, liquidity constraints, and transaction cost assumptions vary across papers. Meanwhile, covariance forecasting is crucial for portfolio construction and risk management, yet the community lacks a long-running benchmark with a stable protocol and a hidden test set.</w:t>
      </w:r>
    </w:p>
    <w:p>
      <w:r>
        <w:rPr>
          <w:rFonts w:ascii="Calibri" w:hAnsi="Calibri" w:eastAsia="Microsoft YaHei"/>
          <w:b w:val="0"/>
          <w:sz w:val="22"/>
        </w:rPr>
        <w:t>Key differentiators of this benchmark:</w:t>
      </w:r>
    </w:p>
    <w:p>
      <w:pPr>
        <w:pStyle w:val="ListBullet"/>
      </w:pPr>
      <w:r>
        <w:rPr>
          <w:rFonts w:ascii="Calibri" w:hAnsi="Calibri" w:eastAsia="Calibri"/>
          <w:b w:val="0"/>
          <w:sz w:val="22"/>
        </w:rPr>
        <w:t>Implementability first: a standardized transaction cost model and liquidity constraint are enforced by the platform, and the leaderboard emphasizes net-of-cost metrics.</w:t>
      </w:r>
    </w:p>
    <w:p>
      <w:pPr>
        <w:pStyle w:val="ListBullet"/>
      </w:pPr>
      <w:r>
        <w:rPr>
          <w:rFonts w:ascii="Calibri" w:hAnsi="Calibri" w:eastAsia="Calibri"/>
          <w:b w:val="0"/>
          <w:sz w:val="22"/>
        </w:rPr>
        <w:t>A dedicated covariance forecasting benchmark: statistical loss + decision utility, with calibration and alignment diagnostics.</w:t>
      </w:r>
    </w:p>
    <w:p>
      <w:pPr>
        <w:pStyle w:val="ListBullet"/>
      </w:pPr>
      <w:r>
        <w:rPr>
          <w:rFonts w:ascii="Calibri" w:hAnsi="Calibri" w:eastAsia="Calibri"/>
          <w:b w:val="0"/>
          <w:sz w:val="22"/>
        </w:rPr>
        <w:t>Reproducibility and auditability by design: containerized, sandboxed execution; pinned dependencies; run logs and artifacts for verification.</w:t>
      </w:r>
    </w:p>
    <w:p>
      <w:pPr>
        <w:pStyle w:val="Heading1"/>
      </w:pPr>
      <w:r>
        <w:rPr>
          <w:rFonts w:ascii="Calibri" w:hAnsi="Calibri" w:eastAsia="Calibri"/>
          <w:b/>
          <w:sz w:val="32"/>
        </w:rPr>
        <w:t>3. Objectives and Expected Outputs</w:t>
      </w:r>
    </w:p>
    <w:p>
      <w:pPr>
        <w:pStyle w:val="ListBullet"/>
      </w:pPr>
      <w:r>
        <w:rPr>
          <w:rFonts w:ascii="Calibri" w:hAnsi="Calibri" w:eastAsia="Calibri"/>
          <w:b w:val="0"/>
          <w:sz w:val="22"/>
        </w:rPr>
        <w:t>Research infrastructure: public benchmark protocol, data dictionary, baselines, and a benchmark paper (working paper + journal submission).</w:t>
      </w:r>
    </w:p>
    <w:p>
      <w:pPr>
        <w:pStyle w:val="ListBullet"/>
      </w:pPr>
      <w:r>
        <w:rPr>
          <w:rFonts w:ascii="Calibri" w:hAnsi="Calibri" w:eastAsia="Calibri"/>
          <w:b w:val="0"/>
          <w:sz w:val="22"/>
        </w:rPr>
        <w:t>Community building: a cross-institution network connecting Oxford/Asia (HK/SG/CN) and beyond; a recurring workshop cadence.</w:t>
      </w:r>
    </w:p>
    <w:p>
      <w:pPr>
        <w:pStyle w:val="ListBullet"/>
      </w:pPr>
      <w:r>
        <w:rPr>
          <w:rFonts w:ascii="Calibri" w:hAnsi="Calibri" w:eastAsia="Calibri"/>
          <w:b w:val="0"/>
          <w:sz w:val="22"/>
        </w:rPr>
        <w:t>Practical relevance: evaluation closer to real trading constraints, improving the translation of academic models to production.</w:t>
      </w:r>
    </w:p>
    <w:p>
      <w:pPr>
        <w:pStyle w:val="ListBullet"/>
      </w:pPr>
      <w:r>
        <w:rPr>
          <w:rFonts w:ascii="Calibri" w:hAnsi="Calibri" w:eastAsia="Calibri"/>
          <w:b w:val="0"/>
          <w:sz w:val="22"/>
        </w:rPr>
        <w:t>Institutional visibility: positioning partners as leaders who define standards for rigorous, implementable empirical finance research.</w:t>
      </w:r>
    </w:p>
    <w:p>
      <w:pPr>
        <w:pStyle w:val="Heading1"/>
      </w:pPr>
      <w:r>
        <w:rPr>
          <w:rFonts w:ascii="Calibri" w:hAnsi="Calibri" w:eastAsia="Calibri"/>
          <w:b/>
          <w:sz w:val="32"/>
        </w:rPr>
        <w:t>4. Track Designs</w:t>
      </w:r>
    </w:p>
    <w:p>
      <w:pPr>
        <w:pStyle w:val="Heading2"/>
      </w:pPr>
      <w:r>
        <w:rPr>
          <w:rFonts w:ascii="Calibri" w:hAnsi="Calibri" w:eastAsia="Calibri"/>
          <w:b/>
          <w:sz w:val="26"/>
        </w:rPr>
        <w:t>4.1 Track A - Implementable Asset Pricing</w:t>
      </w:r>
    </w:p>
    <w:p>
      <w:r>
        <w:rPr>
          <w:rFonts w:ascii="Calibri" w:hAnsi="Calibri" w:eastAsia="Microsoft YaHei"/>
          <w:b w:val="0"/>
          <w:sz w:val="22"/>
        </w:rPr>
        <w:t>Task: given standardized characteristics, returns, and liquidity-related variables, participants produce portfolio weights w_t at each monthly rebalancing date t.</w:t>
      </w:r>
    </w:p>
    <w:p>
      <w:r>
        <w:rPr>
          <w:rFonts w:ascii="Calibri" w:hAnsi="Calibri" w:eastAsia="Microsoft YaHei"/>
          <w:b w:val="0"/>
          <w:sz w:val="22"/>
        </w:rPr>
        <w:t>Illustrative constraints (to be finalized with partners):</w:t>
      </w:r>
    </w:p>
    <w:p>
      <w:pPr>
        <w:pStyle w:val="ListBullet"/>
      </w:pPr>
      <w:r>
        <w:rPr>
          <w:rFonts w:ascii="Calibri" w:hAnsi="Calibri" w:eastAsia="Calibri"/>
          <w:b w:val="0"/>
          <w:sz w:val="22"/>
        </w:rPr>
        <w:t>Rebalancing: monthly; only information available at or before t is allowed (temporal integrity).</w:t>
      </w:r>
    </w:p>
    <w:p>
      <w:pPr>
        <w:pStyle w:val="ListBullet"/>
      </w:pPr>
      <w:r>
        <w:rPr>
          <w:rFonts w:ascii="Calibri" w:hAnsi="Calibri" w:eastAsia="Calibri"/>
          <w:b w:val="0"/>
          <w:sz w:val="22"/>
        </w:rPr>
        <w:t>Financing and leverage: self-financing or fully invested (track-dependent); leverage cap enforced.</w:t>
      </w:r>
    </w:p>
    <w:p>
      <w:pPr>
        <w:pStyle w:val="ListBullet"/>
      </w:pPr>
      <w:r>
        <w:rPr>
          <w:rFonts w:ascii="Calibri" w:hAnsi="Calibri" w:eastAsia="Calibri"/>
          <w:b w:val="0"/>
          <w:sz w:val="22"/>
        </w:rPr>
        <w:t>Position limits: max weight per asset; optional sector/region exposure caps.</w:t>
      </w:r>
    </w:p>
    <w:p>
      <w:pPr>
        <w:pStyle w:val="ListBullet"/>
      </w:pPr>
      <w:r>
        <w:rPr>
          <w:rFonts w:ascii="Calibri" w:hAnsi="Calibri" w:eastAsia="Calibri"/>
          <w:b w:val="0"/>
          <w:sz w:val="22"/>
        </w:rPr>
        <w:t>Liquidity constraint: trade size capped as a fraction of ADV (e.g., 1%-5%) or an equivalent capacity constraint.</w:t>
      </w:r>
    </w:p>
    <w:p>
      <w:pPr>
        <w:pStyle w:val="ListBullet"/>
      </w:pPr>
      <w:r>
        <w:rPr>
          <w:rFonts w:ascii="Calibri" w:hAnsi="Calibri" w:eastAsia="Calibri"/>
          <w:b w:val="0"/>
          <w:sz w:val="22"/>
        </w:rPr>
        <w:t>Transaction costs: deducted by the platform using a standardized model (spread + linear + nonlinear impact).</w:t>
      </w:r>
    </w:p>
    <w:p>
      <w:r>
        <w:rPr>
          <w:rFonts w:ascii="Calibri" w:hAnsi="Calibri" w:eastAsia="Microsoft YaHei"/>
          <w:b w:val="0"/>
          <w:sz w:val="22"/>
        </w:rPr>
        <w:t>Scoring (net-of-cost first):</w:t>
      </w:r>
    </w:p>
    <w:p>
      <w:pPr>
        <w:pStyle w:val="ListBullet"/>
      </w:pPr>
      <w:r>
        <w:rPr>
          <w:rFonts w:ascii="Calibri" w:hAnsi="Calibri" w:eastAsia="Calibri"/>
          <w:b w:val="0"/>
          <w:sz w:val="22"/>
        </w:rPr>
        <w:t>Net annualized return, net Sharpe, max drawdown.</w:t>
      </w:r>
    </w:p>
    <w:p>
      <w:pPr>
        <w:pStyle w:val="ListBullet"/>
      </w:pPr>
      <w:r>
        <w:rPr>
          <w:rFonts w:ascii="Calibri" w:hAnsi="Calibri" w:eastAsia="Calibri"/>
          <w:b w:val="0"/>
          <w:sz w:val="22"/>
        </w:rPr>
        <w:t>Turnover, cost paid, capacity proxy metrics.</w:t>
      </w:r>
    </w:p>
    <w:p>
      <w:pPr>
        <w:pStyle w:val="ListBullet"/>
      </w:pPr>
      <w:r>
        <w:rPr>
          <w:rFonts w:ascii="Calibri" w:hAnsi="Calibri" w:eastAsia="Calibri"/>
          <w:b w:val="0"/>
          <w:sz w:val="22"/>
        </w:rPr>
        <w:t>Robustness checks across regimes and subperiods; optional volatility targeting for comparability.</w:t>
      </w:r>
    </w:p>
    <w:p>
      <w:pPr>
        <w:pStyle w:val="Heading2"/>
      </w:pPr>
      <w:r>
        <w:rPr>
          <w:rFonts w:ascii="Calibri" w:hAnsi="Calibri" w:eastAsia="Calibri"/>
          <w:b/>
          <w:sz w:val="26"/>
        </w:rPr>
        <w:t>4.2 Track B - Covariance Forecast</w:t>
      </w:r>
    </w:p>
    <w:p>
      <w:r>
        <w:rPr>
          <w:rFonts w:ascii="Calibri" w:hAnsi="Calibri" w:eastAsia="Microsoft YaHei"/>
          <w:b w:val="0"/>
          <w:sz w:val="22"/>
        </w:rPr>
        <w:t>Task: for a fixed asset universe, forecast the next-period covariance matrix Σ_{t+1} (or multiple horizons) using historical returns and optional provided features. Optionally, participants may output the precision matrix or structured parameters (e.g., low-rank + sparse).</w:t>
      </w:r>
    </w:p>
    <w:p>
      <w:r>
        <w:rPr>
          <w:rFonts w:ascii="Calibri" w:hAnsi="Calibri" w:eastAsia="Microsoft YaHei"/>
          <w:b w:val="0"/>
          <w:sz w:val="22"/>
        </w:rPr>
        <w:t>Evaluation has two layers:</w:t>
      </w:r>
    </w:p>
    <w:p>
      <w:pPr>
        <w:pStyle w:val="ListBullet"/>
      </w:pPr>
      <w:r>
        <w:rPr>
          <w:rFonts w:ascii="Calibri" w:hAnsi="Calibri" w:eastAsia="Calibri"/>
          <w:b w:val="0"/>
          <w:sz w:val="22"/>
        </w:rPr>
        <w:t>Statistical losses: Frobenius/spectral error, Gaussian log-likelihood, QLIKE and related covariance losses.</w:t>
      </w:r>
    </w:p>
    <w:p>
      <w:pPr>
        <w:pStyle w:val="ListBullet"/>
      </w:pPr>
      <w:r>
        <w:rPr>
          <w:rFonts w:ascii="Calibri" w:hAnsi="Calibri" w:eastAsia="Calibri"/>
          <w:b w:val="0"/>
          <w:sz w:val="22"/>
        </w:rPr>
        <w:t>Decision-aware utility: plug Σ_hat into a standardized optimizer (e.g., minimum-variance or risk-constrained MVO) and evaluate realized risk, risk forecast error, and turnover/cost induced by estimation error.</w:t>
      </w:r>
    </w:p>
    <w:p>
      <w:r>
        <w:rPr>
          <w:rFonts w:ascii="Calibri" w:hAnsi="Calibri" w:eastAsia="Microsoft YaHei"/>
          <w:b w:val="0"/>
          <w:sz w:val="22"/>
        </w:rPr>
        <w:t>Diagnostics will report calibration and alignment measures (eigenvalue spectrum behavior, principal directions, risk decomposition stability).</w:t>
      </w:r>
    </w:p>
    <w:p>
      <w:pPr>
        <w:pStyle w:val="Heading1"/>
      </w:pPr>
      <w:r>
        <w:rPr>
          <w:rFonts w:ascii="Calibri" w:hAnsi="Calibri" w:eastAsia="Calibri"/>
          <w:b/>
          <w:sz w:val="32"/>
        </w:rPr>
        <w:t>5. Data and Compliance Strategy (recommended)</w:t>
      </w:r>
    </w:p>
    <w:p>
      <w:r>
        <w:rPr>
          <w:rFonts w:ascii="Calibri" w:hAnsi="Calibri" w:eastAsia="Microsoft YaHei"/>
          <w:b w:val="0"/>
          <w:sz w:val="22"/>
        </w:rPr>
        <w:t>Financial datasets are often restricted by licensing. We therefore recommend a compliance-first model-to-data workflow:</w:t>
      </w:r>
    </w:p>
    <w:p>
      <w:pPr>
        <w:pStyle w:val="ListBullet"/>
      </w:pPr>
      <w:r>
        <w:rPr>
          <w:rFonts w:ascii="Calibri" w:hAnsi="Calibri" w:eastAsia="Calibri"/>
          <w:b w:val="0"/>
          <w:sz w:val="22"/>
        </w:rPr>
        <w:t>Training data: generated via compliant access channels (e.g., WRDS) and released as standardized tables with versioning.</w:t>
      </w:r>
    </w:p>
    <w:p>
      <w:pPr>
        <w:pStyle w:val="ListBullet"/>
      </w:pPr>
      <w:r>
        <w:rPr>
          <w:rFonts w:ascii="Calibri" w:hAnsi="Calibri" w:eastAsia="Calibri"/>
          <w:b w:val="0"/>
          <w:sz w:val="22"/>
        </w:rPr>
        <w:t>Test data: kept private on the evaluation server; participants submit code/models that are executed in a sandbox.</w:t>
      </w:r>
    </w:p>
    <w:p>
      <w:pPr>
        <w:pStyle w:val="ListBullet"/>
      </w:pPr>
      <w:r>
        <w:rPr>
          <w:rFonts w:ascii="Calibri" w:hAnsi="Calibri" w:eastAsia="Calibri"/>
          <w:b w:val="0"/>
          <w:sz w:val="22"/>
        </w:rPr>
        <w:t>External data: prohibited by default to ensure comparability; algorithmic feature engineering on provided fields is allowed.</w:t>
      </w:r>
    </w:p>
    <w:p>
      <w:r>
        <w:rPr>
          <w:rFonts w:ascii="Calibri" w:hAnsi="Calibri" w:eastAsia="Microsoft YaHei"/>
          <w:b w:val="0"/>
          <w:sz w:val="22"/>
        </w:rPr>
        <w:t>Initial scope: a US equity universe (CRSP/Compustat) or another partner-provided compliant market dataset. The benchmark can later expand to additional regions and asset classes.</w:t>
      </w:r>
    </w:p>
    <w:p>
      <w:pPr>
        <w:pStyle w:val="Heading1"/>
      </w:pPr>
      <w:r>
        <w:rPr>
          <w:rFonts w:ascii="Calibri" w:hAnsi="Calibri" w:eastAsia="Calibri"/>
          <w:b/>
          <w:sz w:val="32"/>
        </w:rPr>
        <w:t>6. Platform Infrastructure and Architecture</w:t>
      </w:r>
    </w:p>
    <w:p>
      <w:r>
        <w:rPr>
          <w:rFonts w:ascii="Calibri" w:hAnsi="Calibri" w:eastAsia="Microsoft YaHei"/>
          <w:b w:val="0"/>
          <w:sz w:val="22"/>
        </w:rPr>
        <w:t>A modular architecture is proposed:</w:t>
      </w:r>
    </w:p>
    <w:p>
      <w:pPr>
        <w:pStyle w:val="ListBullet"/>
      </w:pPr>
      <w:r>
        <w:rPr>
          <w:rFonts w:ascii="Calibri" w:hAnsi="Calibri" w:eastAsia="Calibri"/>
          <w:b w:val="0"/>
          <w:sz w:val="22"/>
        </w:rPr>
        <w:t>Website: documentation, rules, data dictionary, submission portal, public leaderboard.</w:t>
      </w:r>
    </w:p>
    <w:p>
      <w:pPr>
        <w:pStyle w:val="ListBullet"/>
      </w:pPr>
      <w:r>
        <w:rPr>
          <w:rFonts w:ascii="Calibri" w:hAnsi="Calibri" w:eastAsia="Calibri"/>
          <w:b w:val="0"/>
          <w:sz w:val="22"/>
        </w:rPr>
        <w:t>Submission and identity: Python/R scripts + dependency lockfiles; versioned submissions with audit trail.</w:t>
      </w:r>
    </w:p>
    <w:p>
      <w:pPr>
        <w:pStyle w:val="ListBullet"/>
      </w:pPr>
      <w:r>
        <w:rPr>
          <w:rFonts w:ascii="Calibri" w:hAnsi="Calibri" w:eastAsia="Calibri"/>
          <w:b w:val="0"/>
          <w:sz w:val="22"/>
        </w:rPr>
        <w:t>Sandbox execution: containerized (Docker/Apptainer), network-disabled, time/memory-limited; optional GPU for approved jobs.</w:t>
      </w:r>
    </w:p>
    <w:p>
      <w:pPr>
        <w:pStyle w:val="ListBullet"/>
      </w:pPr>
      <w:r>
        <w:rPr>
          <w:rFonts w:ascii="Calibri" w:hAnsi="Calibri" w:eastAsia="Calibri"/>
          <w:b w:val="0"/>
          <w:sz w:val="22"/>
        </w:rPr>
        <w:t>Job orchestration: queue-based evaluation (e.g., Celery/Redis) or Kubernetes Jobs, with retries and monitoring.</w:t>
      </w:r>
    </w:p>
    <w:p>
      <w:pPr>
        <w:pStyle w:val="ListBullet"/>
      </w:pPr>
      <w:r>
        <w:rPr>
          <w:rFonts w:ascii="Calibri" w:hAnsi="Calibri" w:eastAsia="Calibri"/>
          <w:b w:val="0"/>
          <w:sz w:val="22"/>
        </w:rPr>
        <w:t>Scoring and storage: standardized backtests, standardized cost deduction, metrics computation; results stored in Postgres and object storage (S3/MinIO).</w:t>
      </w:r>
    </w:p>
    <w:p>
      <w:pPr>
        <w:pStyle w:val="ListBullet"/>
      </w:pPr>
      <w:r>
        <w:rPr>
          <w:rFonts w:ascii="Calibri" w:hAnsi="Calibri" w:eastAsia="Calibri"/>
          <w:b w:val="0"/>
          <w:sz w:val="22"/>
        </w:rPr>
        <w:t>Reproducibility: pinned dependencies, saved artifacts and logs, replayable runs.</w:t>
      </w:r>
    </w:p>
    <w:p>
      <w:pPr>
        <w:pStyle w:val="Heading1"/>
      </w:pPr>
      <w:r>
        <w:rPr>
          <w:rFonts w:ascii="Calibri" w:hAnsi="Calibri" w:eastAsia="Calibri"/>
          <w:b/>
          <w:sz w:val="32"/>
        </w:rPr>
        <w:t>7. Governance and Partnership Model</w:t>
      </w:r>
    </w:p>
    <w:p>
      <w:pPr>
        <w:pStyle w:val="ListBullet"/>
      </w:pPr>
      <w:r>
        <w:rPr>
          <w:rFonts w:ascii="Calibri" w:hAnsi="Calibri" w:eastAsia="Calibri"/>
          <w:b w:val="0"/>
          <w:sz w:val="22"/>
        </w:rPr>
        <w:t>Project identity: an independent Open Benchmark brand. Partners participate as founding partners/sponsors; the benchmark is not institution-bound.</w:t>
      </w:r>
    </w:p>
    <w:p>
      <w:pPr>
        <w:pStyle w:val="ListBullet"/>
      </w:pPr>
      <w:r>
        <w:rPr>
          <w:rFonts w:ascii="Calibri" w:hAnsi="Calibri" w:eastAsia="Calibri"/>
          <w:b w:val="0"/>
          <w:sz w:val="22"/>
        </w:rPr>
        <w:t>Committees: Steering Committee (strategy/compliance), Scientific Committee (tasks/metrics), Platform Maintainers (engineering).</w:t>
      </w:r>
    </w:p>
    <w:p>
      <w:pPr>
        <w:pStyle w:val="ListBullet"/>
      </w:pPr>
      <w:r>
        <w:rPr>
          <w:rFonts w:ascii="Calibri" w:hAnsi="Calibri" w:eastAsia="Calibri"/>
          <w:b w:val="0"/>
          <w:sz w:val="22"/>
        </w:rPr>
        <w:t>Authorship and credit: explicit contribution criteria (CRediT-style) for the benchmark paper, code, and data documentation.</w:t>
      </w:r>
    </w:p>
    <w:p>
      <w:pPr>
        <w:pStyle w:val="ListBullet"/>
      </w:pPr>
      <w:r>
        <w:rPr>
          <w:rFonts w:ascii="Calibri" w:hAnsi="Calibri" w:eastAsia="Calibri"/>
          <w:b w:val="0"/>
          <w:sz w:val="22"/>
        </w:rPr>
        <w:t>Annual cadence: a recurring online/offline workshop and an annual benchmark report.</w:t>
      </w:r>
    </w:p>
    <w:p>
      <w:pPr>
        <w:pStyle w:val="Heading1"/>
      </w:pPr>
      <w:r>
        <w:rPr>
          <w:rFonts w:ascii="Calibri" w:hAnsi="Calibri" w:eastAsia="Calibri"/>
          <w:b/>
          <w:sz w:val="32"/>
        </w:rPr>
        <w:t>8. Partner Contributions and Returns</w:t>
      </w:r>
    </w:p>
    <w:p>
      <w:pPr>
        <w:pStyle w:val="Heading2"/>
      </w:pPr>
      <w:r>
        <w:rPr>
          <w:rFonts w:ascii="Calibri" w:hAnsi="Calibri" w:eastAsia="Calibri"/>
          <w:b/>
          <w:sz w:val="26"/>
        </w:rPr>
        <w:t>8.1 Potential partner contributions (illustrative)</w:t>
      </w:r>
    </w:p>
    <w:p>
      <w:pPr>
        <w:pStyle w:val="ListBullet"/>
      </w:pPr>
      <w:r>
        <w:rPr>
          <w:rFonts w:ascii="Calibri" w:hAnsi="Calibri" w:eastAsia="Calibri"/>
          <w:b w:val="0"/>
          <w:sz w:val="22"/>
        </w:rPr>
        <w:t>Data and compliance: licensed data access, data engineering support, compliance review.</w:t>
      </w:r>
    </w:p>
    <w:p>
      <w:pPr>
        <w:pStyle w:val="ListBullet"/>
      </w:pPr>
      <w:r>
        <w:rPr>
          <w:rFonts w:ascii="Calibri" w:hAnsi="Calibri" w:eastAsia="Calibri"/>
          <w:b w:val="0"/>
          <w:sz w:val="22"/>
        </w:rPr>
        <w:t>Compute and operations: servers/cluster time, storage, domain and website support.</w:t>
      </w:r>
    </w:p>
    <w:p>
      <w:pPr>
        <w:pStyle w:val="ListBullet"/>
      </w:pPr>
      <w:r>
        <w:rPr>
          <w:rFonts w:ascii="Calibri" w:hAnsi="Calibri" w:eastAsia="Calibri"/>
          <w:b w:val="0"/>
          <w:sz w:val="22"/>
        </w:rPr>
        <w:t>People: student RAs / engineering interns; joint reading groups and course projects.</w:t>
      </w:r>
    </w:p>
    <w:p>
      <w:pPr>
        <w:pStyle w:val="ListBullet"/>
      </w:pPr>
      <w:r>
        <w:rPr>
          <w:rFonts w:ascii="Calibri" w:hAnsi="Calibri" w:eastAsia="Calibri"/>
          <w:b w:val="0"/>
          <w:sz w:val="22"/>
        </w:rPr>
        <w:t>Dissemination: seminars, conferences, partner channels to attract submissions.</w:t>
      </w:r>
    </w:p>
    <w:p>
      <w:pPr>
        <w:pStyle w:val="Heading2"/>
      </w:pPr>
      <w:r>
        <w:rPr>
          <w:rFonts w:ascii="Calibri" w:hAnsi="Calibri" w:eastAsia="Calibri"/>
          <w:b/>
          <w:sz w:val="26"/>
        </w:rPr>
        <w:t>8.2 Partner returns (illustrative)</w:t>
      </w:r>
    </w:p>
    <w:p>
      <w:pPr>
        <w:pStyle w:val="ListBullet"/>
      </w:pPr>
      <w:r>
        <w:rPr>
          <w:rFonts w:ascii="Calibri" w:hAnsi="Calibri" w:eastAsia="Calibri"/>
          <w:b w:val="0"/>
          <w:sz w:val="22"/>
        </w:rPr>
        <w:t>Co-authored benchmark paper, documentation, and annual reports; increased citations and research visibility.</w:t>
      </w:r>
    </w:p>
    <w:p>
      <w:pPr>
        <w:pStyle w:val="ListBullet"/>
      </w:pPr>
      <w:r>
        <w:rPr>
          <w:rFonts w:ascii="Calibri" w:hAnsi="Calibri" w:eastAsia="Calibri"/>
          <w:b w:val="0"/>
          <w:sz w:val="22"/>
        </w:rPr>
        <w:t>A durable research ecosystem attracting high-quality collaborations and students.</w:t>
      </w:r>
    </w:p>
    <w:p>
      <w:pPr>
        <w:pStyle w:val="ListBullet"/>
      </w:pPr>
      <w:r>
        <w:rPr>
          <w:rFonts w:ascii="Calibri" w:hAnsi="Calibri" w:eastAsia="Calibri"/>
          <w:b w:val="0"/>
          <w:sz w:val="22"/>
        </w:rPr>
        <w:t>Industry-facing credibility in rigorous, implementable empirical finance infrastructure.</w:t>
      </w:r>
    </w:p>
    <w:p>
      <w:pPr>
        <w:pStyle w:val="Heading1"/>
      </w:pPr>
      <w:r>
        <w:rPr>
          <w:rFonts w:ascii="Calibri" w:hAnsi="Calibri" w:eastAsia="Calibri"/>
          <w:b/>
          <w:sz w:val="32"/>
        </w:rPr>
        <w:t>9. Milestones and Deliverables (proposed)</w:t>
      </w:r>
    </w:p>
    <w:tbl>
      <w:tblPr>
        <w:tblW w:type="auto" w:w="0"/>
        <w:tblLook w:firstColumn="1" w:firstRow="1" w:lastColumn="0" w:lastRow="0" w:noHBand="0" w:noVBand="1" w:val="04A0"/>
      </w:tblPr>
      <w:tblGrid>
        <w:gridCol w:w="3120"/>
        <w:gridCol w:w="3120"/>
        <w:gridCol w:w="3120"/>
      </w:tblGrid>
      <w:tr>
        <w:tc>
          <w:tcPr>
            <w:tcW w:type="dxa" w:w="3120"/>
          </w:tcPr>
          <w:p>
            <w:r>
              <w:rPr>
                <w:rFonts w:ascii="Calibri" w:hAnsi="Calibri" w:eastAsia="Calibri"/>
                <w:b/>
                <w:sz w:val="20"/>
              </w:rPr>
              <w:t>Phase</w:t>
            </w:r>
          </w:p>
        </w:tc>
        <w:tc>
          <w:tcPr>
            <w:tcW w:type="dxa" w:w="3120"/>
          </w:tcPr>
          <w:p>
            <w:r>
              <w:rPr>
                <w:rFonts w:ascii="Calibri" w:hAnsi="Calibri" w:eastAsia="Calibri"/>
                <w:b/>
                <w:sz w:val="20"/>
              </w:rPr>
              <w:t>Deliverables</w:t>
            </w:r>
          </w:p>
        </w:tc>
        <w:tc>
          <w:tcPr>
            <w:tcW w:type="dxa" w:w="3120"/>
          </w:tcPr>
          <w:p>
            <w:r>
              <w:rPr>
                <w:rFonts w:ascii="Calibri" w:hAnsi="Calibri" w:eastAsia="Calibri"/>
                <w:b/>
                <w:sz w:val="20"/>
              </w:rPr>
              <w:t>Notes</w:t>
            </w:r>
          </w:p>
        </w:tc>
      </w:tr>
      <w:tr>
        <w:tc>
          <w:tcPr>
            <w:tcW w:type="dxa" w:w="3120"/>
          </w:tcPr>
          <w:p>
            <w:r>
              <w:rPr>
                <w:rFonts w:ascii="Calibri" w:hAnsi="Calibri" w:eastAsia="Calibri"/>
                <w:b w:val="0"/>
                <w:sz w:val="20"/>
              </w:rPr>
              <w:t>Phase 0 - Design</w:t>
            </w:r>
          </w:p>
        </w:tc>
        <w:tc>
          <w:tcPr>
            <w:tcW w:type="dxa" w:w="3120"/>
          </w:tcPr>
          <w:p>
            <w:r>
              <w:rPr>
                <w:rFonts w:ascii="Calibri" w:hAnsi="Calibri" w:eastAsia="Calibri"/>
                <w:b w:val="0"/>
                <w:sz w:val="20"/>
              </w:rPr>
              <w:t>Finalize tasks, metrics, constraints, and data/compliance plan</w:t>
            </w:r>
          </w:p>
        </w:tc>
        <w:tc>
          <w:tcPr>
            <w:tcW w:type="dxa" w:w="3120"/>
          </w:tcPr>
          <w:p>
            <w:r>
              <w:rPr>
                <w:rFonts w:ascii="Calibri" w:hAnsi="Calibri" w:eastAsia="Calibri"/>
                <w:b w:val="0"/>
                <w:sz w:val="20"/>
              </w:rPr>
              <w:t>Agree on scope for both tracks and governance</w:t>
            </w:r>
          </w:p>
        </w:tc>
      </w:tr>
      <w:tr>
        <w:tc>
          <w:tcPr>
            <w:tcW w:type="dxa" w:w="3120"/>
          </w:tcPr>
          <w:p>
            <w:r>
              <w:rPr>
                <w:rFonts w:ascii="Calibri" w:hAnsi="Calibri" w:eastAsia="Calibri"/>
                <w:b w:val="0"/>
                <w:sz w:val="20"/>
              </w:rPr>
              <w:t>Phase 1 - MVP</w:t>
            </w:r>
          </w:p>
        </w:tc>
        <w:tc>
          <w:tcPr>
            <w:tcW w:type="dxa" w:w="3120"/>
          </w:tcPr>
          <w:p>
            <w:r>
              <w:rPr>
                <w:rFonts w:ascii="Calibri" w:hAnsi="Calibri" w:eastAsia="Calibri"/>
                <w:b w:val="0"/>
                <w:sz w:val="20"/>
              </w:rPr>
              <w:t>End-to-end submission-&gt;scoring-&gt;leaderboard; baseline models</w:t>
            </w:r>
          </w:p>
        </w:tc>
        <w:tc>
          <w:tcPr>
            <w:tcW w:type="dxa" w:w="3120"/>
          </w:tcPr>
          <w:p>
            <w:r>
              <w:rPr>
                <w:rFonts w:ascii="Calibri" w:hAnsi="Calibri" w:eastAsia="Calibri"/>
                <w:b w:val="0"/>
                <w:sz w:val="20"/>
              </w:rPr>
              <w:t>Invite-only pilot submissions; validate security and reproducibility</w:t>
            </w:r>
          </w:p>
        </w:tc>
      </w:tr>
      <w:tr>
        <w:tc>
          <w:tcPr>
            <w:tcW w:type="dxa" w:w="3120"/>
          </w:tcPr>
          <w:p>
            <w:r>
              <w:rPr>
                <w:rFonts w:ascii="Calibri" w:hAnsi="Calibri" w:eastAsia="Calibri"/>
                <w:b w:val="0"/>
                <w:sz w:val="20"/>
              </w:rPr>
              <w:t>Phase 2 - Beta</w:t>
            </w:r>
          </w:p>
        </w:tc>
        <w:tc>
          <w:tcPr>
            <w:tcW w:type="dxa" w:w="3120"/>
          </w:tcPr>
          <w:p>
            <w:r>
              <w:rPr>
                <w:rFonts w:ascii="Calibri" w:hAnsi="Calibri" w:eastAsia="Calibri"/>
                <w:b w:val="0"/>
                <w:sz w:val="20"/>
              </w:rPr>
              <w:t>Public submissions; improved docs and rules; first workshop</w:t>
            </w:r>
          </w:p>
        </w:tc>
        <w:tc>
          <w:tcPr>
            <w:tcW w:type="dxa" w:w="3120"/>
          </w:tcPr>
          <w:p>
            <w:r>
              <w:rPr>
                <w:rFonts w:ascii="Calibri" w:hAnsi="Calibri" w:eastAsia="Calibri"/>
                <w:b w:val="0"/>
                <w:sz w:val="20"/>
              </w:rPr>
              <w:t>Iterate based on community feedback</w:t>
            </w:r>
          </w:p>
        </w:tc>
      </w:tr>
      <w:tr>
        <w:tc>
          <w:tcPr>
            <w:tcW w:type="dxa" w:w="3120"/>
          </w:tcPr>
          <w:p>
            <w:r>
              <w:rPr>
                <w:rFonts w:ascii="Calibri" w:hAnsi="Calibri" w:eastAsia="Calibri"/>
                <w:b w:val="0"/>
                <w:sz w:val="20"/>
              </w:rPr>
              <w:t>Phase 3 - v1.0</w:t>
            </w:r>
          </w:p>
        </w:tc>
        <w:tc>
          <w:tcPr>
            <w:tcW w:type="dxa" w:w="3120"/>
          </w:tcPr>
          <w:p>
            <w:r>
              <w:rPr>
                <w:rFonts w:ascii="Calibri" w:hAnsi="Calibri" w:eastAsia="Calibri"/>
                <w:b w:val="0"/>
                <w:sz w:val="20"/>
              </w:rPr>
              <w:t>Stable release; benchmark paper working paper</w:t>
            </w:r>
          </w:p>
        </w:tc>
        <w:tc>
          <w:tcPr>
            <w:tcW w:type="dxa" w:w="3120"/>
          </w:tcPr>
          <w:p>
            <w:r>
              <w:rPr>
                <w:rFonts w:ascii="Calibri" w:hAnsi="Calibri" w:eastAsia="Calibri"/>
                <w:b w:val="0"/>
                <w:sz w:val="20"/>
              </w:rPr>
              <w:t>Operationalize annual updates and reporting</w:t>
            </w:r>
          </w:p>
        </w:tc>
      </w:tr>
    </w:tbl>
    <w:p>
      <w:pPr>
        <w:pStyle w:val="Heading1"/>
      </w:pPr>
      <w:r>
        <w:rPr>
          <w:rFonts w:ascii="Calibri" w:hAnsi="Calibri" w:eastAsia="Calibri"/>
          <w:b/>
          <w:sz w:val="32"/>
        </w:rPr>
        <w:t>10. Recommended Next Steps</w:t>
      </w:r>
    </w:p>
    <w:p>
      <w:pPr>
        <w:pStyle w:val="ListBullet"/>
      </w:pPr>
      <w:r>
        <w:rPr>
          <w:rFonts w:ascii="Calibri" w:hAnsi="Calibri" w:eastAsia="Calibri"/>
          <w:b w:val="0"/>
          <w:sz w:val="22"/>
        </w:rPr>
        <w:t>Align with partners on the data/compliance model and resource commitments for an MVP.</w:t>
      </w:r>
    </w:p>
    <w:p>
      <w:pPr>
        <w:pStyle w:val="ListBullet"/>
      </w:pPr>
      <w:r>
        <w:rPr>
          <w:rFonts w:ascii="Calibri" w:hAnsi="Calibri" w:eastAsia="Calibri"/>
          <w:b w:val="0"/>
          <w:sz w:val="22"/>
        </w:rPr>
        <w:t>Build a demo MVP with a minimal dataset version and 1-2 baselines to demonstrate the end-to-end workflow.</w:t>
      </w:r>
    </w:p>
    <w:p>
      <w:pPr>
        <w:pStyle w:val="ListBullet"/>
      </w:pPr>
      <w:r>
        <w:rPr>
          <w:rFonts w:ascii="Calibri" w:hAnsi="Calibri" w:eastAsia="Calibri"/>
          <w:b w:val="0"/>
          <w:sz w:val="22"/>
        </w:rPr>
        <w:t>Draft the benchmark paper outline early (task definition, data schema, metrics, baselines, initial results).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