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35" w:rsidRPr="00106AFC" w:rsidRDefault="00121135" w:rsidP="00106AFC">
      <w:pPr>
        <w:jc w:val="center"/>
        <w:rPr>
          <w:rStyle w:val="Strong"/>
          <w:sz w:val="40"/>
        </w:rPr>
      </w:pPr>
      <w:r w:rsidRPr="00106AFC">
        <w:rPr>
          <w:rStyle w:val="Strong"/>
          <w:sz w:val="40"/>
        </w:rPr>
        <w:t>🧾 Income Tax Notice &amp; Appeal Handling</w:t>
      </w:r>
    </w:p>
    <w:p w:rsidR="00106AFC" w:rsidRDefault="00106AFC" w:rsidP="00121135">
      <w:pPr>
        <w:jc w:val="both"/>
        <w:rPr>
          <w:b/>
          <w:bCs/>
        </w:rPr>
      </w:pPr>
    </w:p>
    <w:p w:rsidR="00121135" w:rsidRPr="005F2302" w:rsidRDefault="00121135" w:rsidP="00121135">
      <w:pPr>
        <w:jc w:val="both"/>
      </w:pPr>
      <w:r w:rsidRPr="005F2302">
        <w:rPr>
          <w:b/>
          <w:bCs/>
        </w:rPr>
        <w:t>Don’t Stress Over Tax Notices—Let the Experts Take Charge</w:t>
      </w:r>
    </w:p>
    <w:p w:rsidR="00121135" w:rsidRPr="005F2302" w:rsidRDefault="00121135" w:rsidP="00121135">
      <w:pPr>
        <w:jc w:val="both"/>
      </w:pPr>
      <w:r w:rsidRPr="005F2302">
        <w:t>Receiving an Income Tax Notice, Scrutiny Letter, or Demand can be alarming—but with our expert assistance, there’s no need to worry. We specialize in handling all types of tax notices, whether related to non-filing, mismatched returns, unexplained transactions, or high-value financial activities.</w:t>
      </w:r>
    </w:p>
    <w:p w:rsidR="00121135" w:rsidRPr="005F2302" w:rsidRDefault="00121135" w:rsidP="00121135">
      <w:pPr>
        <w:jc w:val="both"/>
      </w:pPr>
      <w:r w:rsidRPr="005F2302">
        <w:t xml:space="preserve">Our experienced professionals </w:t>
      </w:r>
      <w:proofErr w:type="spellStart"/>
      <w:r w:rsidRPr="005F2302">
        <w:t>analyze</w:t>
      </w:r>
      <w:proofErr w:type="spellEnd"/>
      <w:r w:rsidRPr="005F2302">
        <w:t xml:space="preserve"> your case, draft appropriate responses, represent you before tax authorities, and ensure timely and effective resolution. In case of escalation, we also handle appeals before the CIT (Appeals), ITAT, and other forums with complete documentation and legal arguments.</w:t>
      </w:r>
    </w:p>
    <w:p w:rsidR="00121135" w:rsidRPr="005F2302" w:rsidRDefault="00121135" w:rsidP="00121135">
      <w:pPr>
        <w:jc w:val="both"/>
      </w:pPr>
      <w:r w:rsidRPr="005F2302">
        <w:t xml:space="preserve">We work with </w:t>
      </w:r>
      <w:r w:rsidRPr="005F2302">
        <w:rPr>
          <w:b/>
          <w:bCs/>
        </w:rPr>
        <w:t>100% confidentiality, precision, and professionalism</w:t>
      </w:r>
      <w:r w:rsidRPr="005F2302">
        <w:t xml:space="preserve">, ensuring that your rights are protected, penalties are minimized, and compliance is restored. With us, your </w:t>
      </w:r>
      <w:proofErr w:type="spellStart"/>
      <w:r w:rsidRPr="005F2302">
        <w:rPr>
          <w:b/>
          <w:bCs/>
        </w:rPr>
        <w:t>defense</w:t>
      </w:r>
      <w:proofErr w:type="spellEnd"/>
      <w:r w:rsidRPr="005F2302">
        <w:rPr>
          <w:b/>
          <w:bCs/>
        </w:rPr>
        <w:t xml:space="preserve"> is strong and your peace of mind intact.</w:t>
      </w:r>
    </w:p>
    <w:p w:rsidR="001C7C51" w:rsidRDefault="00983876">
      <w:pPr>
        <w:spacing w:before="240" w:after="240"/>
        <w:rPr>
          <w:i/>
        </w:rPr>
      </w:pPr>
      <w:bookmarkStart w:id="0" w:name="_x367tszev9j" w:colFirst="0" w:colLast="0"/>
      <w:bookmarkEnd w:id="0"/>
      <w:r>
        <w:rPr>
          <w:i/>
        </w:rPr>
        <w:t>Trusted CA Services to Handle All Your Tax Notices and Appeals with Confidence</w:t>
      </w:r>
    </w:p>
    <w:p w:rsidR="001C7C51" w:rsidRDefault="00983876">
      <w:pPr>
        <w:pStyle w:val="Heading3"/>
        <w:keepNext w:val="0"/>
        <w:keepLines w:val="0"/>
        <w:spacing w:before="280"/>
        <w:rPr>
          <w:b/>
          <w:color w:val="000000"/>
          <w:sz w:val="26"/>
          <w:szCs w:val="26"/>
        </w:rPr>
      </w:pPr>
      <w:bookmarkStart w:id="1" w:name="_ae6gqb7sf8xg" w:colFirst="0" w:colLast="0"/>
      <w:bookmarkEnd w:id="1"/>
      <w:proofErr w:type="gramStart"/>
      <w:r>
        <w:rPr>
          <w:b/>
          <w:color w:val="000000"/>
          <w:sz w:val="26"/>
          <w:szCs w:val="26"/>
        </w:rPr>
        <w:t xml:space="preserve">✅ </w:t>
      </w:r>
      <w:r w:rsidR="00162F3C">
        <w:rPr>
          <w:b/>
          <w:color w:val="000000"/>
          <w:sz w:val="26"/>
          <w:szCs w:val="26"/>
        </w:rPr>
        <w:t xml:space="preserve"> </w:t>
      </w:r>
      <w:r>
        <w:rPr>
          <w:b/>
          <w:color w:val="000000"/>
          <w:sz w:val="26"/>
          <w:szCs w:val="26"/>
        </w:rPr>
        <w:t>What</w:t>
      </w:r>
      <w:proofErr w:type="gramEnd"/>
      <w:r>
        <w:rPr>
          <w:b/>
          <w:color w:val="000000"/>
          <w:sz w:val="26"/>
          <w:szCs w:val="26"/>
        </w:rPr>
        <w:t xml:space="preserve"> is an Income Tax Notice?</w:t>
      </w:r>
    </w:p>
    <w:p w:rsidR="001C7C51" w:rsidRDefault="00983876" w:rsidP="004D3DB5">
      <w:pPr>
        <w:spacing w:before="240" w:after="240"/>
        <w:jc w:val="both"/>
      </w:pPr>
      <w:r>
        <w:t xml:space="preserve">An </w:t>
      </w:r>
      <w:r>
        <w:rPr>
          <w:b/>
        </w:rPr>
        <w:t>Income Tax Notice</w:t>
      </w:r>
      <w:r>
        <w:t xml:space="preserve"> is a communication sent by the Income Tax Department when they need additional information, clarification, or action from your side. Receiving a notice does </w:t>
      </w:r>
      <w:r>
        <w:rPr>
          <w:b/>
        </w:rPr>
        <w:t>not always mean you're at fault</w:t>
      </w:r>
      <w:r>
        <w:t xml:space="preserve"> – sometimes it's a routine check or verification.</w:t>
      </w:r>
    </w:p>
    <w:p w:rsidR="001C7C51" w:rsidRDefault="00983876">
      <w:pPr>
        <w:pStyle w:val="Heading3"/>
        <w:keepNext w:val="0"/>
        <w:keepLines w:val="0"/>
        <w:spacing w:before="280"/>
        <w:rPr>
          <w:b/>
          <w:color w:val="000000"/>
          <w:sz w:val="26"/>
          <w:szCs w:val="26"/>
        </w:rPr>
      </w:pPr>
      <w:bookmarkStart w:id="2" w:name="_ko2003w57s8q" w:colFirst="0" w:colLast="0"/>
      <w:bookmarkEnd w:id="2"/>
      <w:r>
        <w:rPr>
          <w:b/>
          <w:color w:val="000000"/>
          <w:sz w:val="26"/>
          <w:szCs w:val="26"/>
        </w:rPr>
        <w:t>📌 Types of Income Tax Notices You Might Receive</w:t>
      </w:r>
    </w:p>
    <w:p w:rsidR="001C7C51" w:rsidRDefault="00983876">
      <w:pPr>
        <w:spacing w:before="240" w:after="240"/>
      </w:pPr>
      <w:r>
        <w:t>Here are the most common types of notices:</w:t>
      </w:r>
    </w:p>
    <w:tbl>
      <w:tblPr>
        <w:tblStyle w:val="MediumGrid1-Accent1"/>
        <w:tblW w:w="0" w:type="auto"/>
        <w:tblLayout w:type="fixed"/>
        <w:tblLook w:val="0600" w:firstRow="0" w:lastRow="0" w:firstColumn="0" w:lastColumn="0" w:noHBand="1" w:noVBand="1"/>
      </w:tblPr>
      <w:tblGrid>
        <w:gridCol w:w="3120"/>
        <w:gridCol w:w="3120"/>
        <w:gridCol w:w="3670"/>
      </w:tblGrid>
      <w:tr w:rsidR="001C7C51" w:rsidTr="00106AFC">
        <w:tc>
          <w:tcPr>
            <w:tcW w:w="3120" w:type="dxa"/>
          </w:tcPr>
          <w:p w:rsidR="001C7C51" w:rsidRDefault="00983876">
            <w:pPr>
              <w:jc w:val="center"/>
            </w:pPr>
            <w:r>
              <w:rPr>
                <w:b/>
              </w:rPr>
              <w:t>Section</w:t>
            </w:r>
          </w:p>
        </w:tc>
        <w:tc>
          <w:tcPr>
            <w:tcW w:w="3120" w:type="dxa"/>
          </w:tcPr>
          <w:p w:rsidR="001C7C51" w:rsidRDefault="00983876">
            <w:pPr>
              <w:jc w:val="center"/>
            </w:pPr>
            <w:r>
              <w:rPr>
                <w:b/>
              </w:rPr>
              <w:t>Type of Notice</w:t>
            </w:r>
          </w:p>
        </w:tc>
        <w:tc>
          <w:tcPr>
            <w:tcW w:w="3670" w:type="dxa"/>
          </w:tcPr>
          <w:p w:rsidR="001C7C51" w:rsidRDefault="00983876">
            <w:pPr>
              <w:jc w:val="center"/>
            </w:pPr>
            <w:r>
              <w:rPr>
                <w:b/>
              </w:rPr>
              <w:t>Why You Might Receive It</w:t>
            </w:r>
          </w:p>
        </w:tc>
      </w:tr>
      <w:tr w:rsidR="001C7C51" w:rsidTr="00106AFC">
        <w:tc>
          <w:tcPr>
            <w:tcW w:w="3120" w:type="dxa"/>
          </w:tcPr>
          <w:p w:rsidR="001C7C51" w:rsidRDefault="00983876">
            <w:r>
              <w:rPr>
                <w:b/>
              </w:rPr>
              <w:t>Section 139(9)</w:t>
            </w:r>
          </w:p>
        </w:tc>
        <w:tc>
          <w:tcPr>
            <w:tcW w:w="3120" w:type="dxa"/>
          </w:tcPr>
          <w:p w:rsidR="001C7C51" w:rsidRDefault="00983876">
            <w:r>
              <w:rPr>
                <w:b/>
              </w:rPr>
              <w:t>Defective Return</w:t>
            </w:r>
          </w:p>
        </w:tc>
        <w:tc>
          <w:tcPr>
            <w:tcW w:w="3670" w:type="dxa"/>
          </w:tcPr>
          <w:p w:rsidR="001C7C51" w:rsidRDefault="00983876">
            <w:r>
              <w:t>If your ITR is incomplete or incorrect</w:t>
            </w:r>
          </w:p>
        </w:tc>
      </w:tr>
      <w:tr w:rsidR="001C7C51" w:rsidTr="00106AFC">
        <w:tc>
          <w:tcPr>
            <w:tcW w:w="3120" w:type="dxa"/>
          </w:tcPr>
          <w:p w:rsidR="001C7C51" w:rsidRDefault="00983876">
            <w:r>
              <w:rPr>
                <w:b/>
              </w:rPr>
              <w:t>Section 142(1)</w:t>
            </w:r>
          </w:p>
        </w:tc>
        <w:tc>
          <w:tcPr>
            <w:tcW w:w="3120" w:type="dxa"/>
          </w:tcPr>
          <w:p w:rsidR="001C7C51" w:rsidRDefault="00983876">
            <w:r>
              <w:rPr>
                <w:b/>
              </w:rPr>
              <w:t>Preliminary Inquiry</w:t>
            </w:r>
          </w:p>
        </w:tc>
        <w:tc>
          <w:tcPr>
            <w:tcW w:w="3670" w:type="dxa"/>
          </w:tcPr>
          <w:p w:rsidR="001C7C51" w:rsidRDefault="00983876">
            <w:r>
              <w:t>Asking for more documents or info before assessment</w:t>
            </w:r>
          </w:p>
        </w:tc>
      </w:tr>
      <w:tr w:rsidR="001C7C51" w:rsidTr="00106AFC">
        <w:tc>
          <w:tcPr>
            <w:tcW w:w="3120" w:type="dxa"/>
          </w:tcPr>
          <w:p w:rsidR="001C7C51" w:rsidRDefault="00983876">
            <w:r>
              <w:rPr>
                <w:b/>
              </w:rPr>
              <w:t>Section 143(1)</w:t>
            </w:r>
          </w:p>
        </w:tc>
        <w:tc>
          <w:tcPr>
            <w:tcW w:w="3120" w:type="dxa"/>
          </w:tcPr>
          <w:p w:rsidR="001C7C51" w:rsidRDefault="00983876">
            <w:r>
              <w:rPr>
                <w:b/>
              </w:rPr>
              <w:t>Intimation Notice</w:t>
            </w:r>
          </w:p>
        </w:tc>
        <w:tc>
          <w:tcPr>
            <w:tcW w:w="3670" w:type="dxa"/>
          </w:tcPr>
          <w:p w:rsidR="001C7C51" w:rsidRDefault="00983876">
            <w:r>
              <w:t>Informing about refund, tax payable, or arithmetical errors</w:t>
            </w:r>
          </w:p>
        </w:tc>
      </w:tr>
      <w:tr w:rsidR="001C7C51" w:rsidTr="00106AFC">
        <w:tc>
          <w:tcPr>
            <w:tcW w:w="3120" w:type="dxa"/>
          </w:tcPr>
          <w:p w:rsidR="001C7C51" w:rsidRDefault="00983876">
            <w:r>
              <w:rPr>
                <w:b/>
              </w:rPr>
              <w:t>Section 143(2)</w:t>
            </w:r>
          </w:p>
        </w:tc>
        <w:tc>
          <w:tcPr>
            <w:tcW w:w="3120" w:type="dxa"/>
          </w:tcPr>
          <w:p w:rsidR="001C7C51" w:rsidRDefault="00983876">
            <w:r>
              <w:rPr>
                <w:b/>
              </w:rPr>
              <w:t>Scrutiny Notice</w:t>
            </w:r>
          </w:p>
        </w:tc>
        <w:tc>
          <w:tcPr>
            <w:tcW w:w="3670" w:type="dxa"/>
          </w:tcPr>
          <w:p w:rsidR="001C7C51" w:rsidRDefault="00983876">
            <w:r>
              <w:t>If your return is selected for detailed assessment</w:t>
            </w:r>
          </w:p>
        </w:tc>
      </w:tr>
      <w:tr w:rsidR="001C7C51" w:rsidTr="00106AFC">
        <w:tc>
          <w:tcPr>
            <w:tcW w:w="3120" w:type="dxa"/>
          </w:tcPr>
          <w:p w:rsidR="001C7C51" w:rsidRDefault="00983876">
            <w:r>
              <w:rPr>
                <w:b/>
              </w:rPr>
              <w:t>Section 148</w:t>
            </w:r>
          </w:p>
        </w:tc>
        <w:tc>
          <w:tcPr>
            <w:tcW w:w="3120" w:type="dxa"/>
          </w:tcPr>
          <w:p w:rsidR="001C7C51" w:rsidRDefault="00983876">
            <w:r>
              <w:rPr>
                <w:b/>
              </w:rPr>
              <w:t>Income Escaped Assessment</w:t>
            </w:r>
          </w:p>
        </w:tc>
        <w:tc>
          <w:tcPr>
            <w:tcW w:w="3670" w:type="dxa"/>
          </w:tcPr>
          <w:p w:rsidR="001C7C51" w:rsidRDefault="00983876">
            <w:r>
              <w:t>If the department believes some income was not reported</w:t>
            </w:r>
          </w:p>
        </w:tc>
      </w:tr>
      <w:tr w:rsidR="001C7C51" w:rsidTr="00106AFC">
        <w:tc>
          <w:tcPr>
            <w:tcW w:w="3120" w:type="dxa"/>
          </w:tcPr>
          <w:p w:rsidR="001C7C51" w:rsidRDefault="00983876">
            <w:r>
              <w:rPr>
                <w:b/>
              </w:rPr>
              <w:t>Section 156</w:t>
            </w:r>
          </w:p>
        </w:tc>
        <w:tc>
          <w:tcPr>
            <w:tcW w:w="3120" w:type="dxa"/>
          </w:tcPr>
          <w:p w:rsidR="001C7C51" w:rsidRDefault="00983876">
            <w:r>
              <w:rPr>
                <w:b/>
              </w:rPr>
              <w:t>Demand Notice</w:t>
            </w:r>
          </w:p>
        </w:tc>
        <w:tc>
          <w:tcPr>
            <w:tcW w:w="3670" w:type="dxa"/>
          </w:tcPr>
          <w:p w:rsidR="001C7C51" w:rsidRDefault="00983876">
            <w:r>
              <w:t>When there is outstanding tax, penalty, or interest</w:t>
            </w:r>
          </w:p>
        </w:tc>
      </w:tr>
      <w:tr w:rsidR="001C7C51" w:rsidTr="00106AFC">
        <w:tc>
          <w:tcPr>
            <w:tcW w:w="3120" w:type="dxa"/>
          </w:tcPr>
          <w:p w:rsidR="001C7C51" w:rsidRDefault="00983876">
            <w:r>
              <w:rPr>
                <w:b/>
              </w:rPr>
              <w:t>Section 245</w:t>
            </w:r>
          </w:p>
        </w:tc>
        <w:tc>
          <w:tcPr>
            <w:tcW w:w="3120" w:type="dxa"/>
          </w:tcPr>
          <w:p w:rsidR="001C7C51" w:rsidRDefault="00983876">
            <w:r>
              <w:rPr>
                <w:b/>
              </w:rPr>
              <w:t>Adjustment Notice</w:t>
            </w:r>
          </w:p>
        </w:tc>
        <w:tc>
          <w:tcPr>
            <w:tcW w:w="3670" w:type="dxa"/>
          </w:tcPr>
          <w:p w:rsidR="001C7C51" w:rsidRDefault="00983876">
            <w:r>
              <w:t>When past dues are adjusted against a current refund</w:t>
            </w:r>
          </w:p>
        </w:tc>
      </w:tr>
    </w:tbl>
    <w:p w:rsidR="001C7C51" w:rsidRDefault="001C7C51"/>
    <w:p w:rsidR="00106AFC" w:rsidRDefault="00106AFC">
      <w:pPr>
        <w:pStyle w:val="Heading3"/>
        <w:keepNext w:val="0"/>
        <w:keepLines w:val="0"/>
        <w:spacing w:before="280"/>
        <w:rPr>
          <w:b/>
          <w:color w:val="000000"/>
          <w:sz w:val="26"/>
          <w:szCs w:val="26"/>
        </w:rPr>
      </w:pPr>
      <w:bookmarkStart w:id="3" w:name="_v0w2f8x25evs" w:colFirst="0" w:colLast="0"/>
      <w:bookmarkEnd w:id="3"/>
    </w:p>
    <w:p w:rsidR="00106AFC" w:rsidRDefault="00106AFC">
      <w:pPr>
        <w:pStyle w:val="Heading3"/>
        <w:keepNext w:val="0"/>
        <w:keepLines w:val="0"/>
        <w:spacing w:before="280"/>
        <w:rPr>
          <w:b/>
          <w:color w:val="000000"/>
          <w:sz w:val="26"/>
          <w:szCs w:val="26"/>
        </w:rPr>
      </w:pPr>
    </w:p>
    <w:p w:rsidR="001C7C51" w:rsidRDefault="00983876">
      <w:pPr>
        <w:pStyle w:val="Heading3"/>
        <w:keepNext w:val="0"/>
        <w:keepLines w:val="0"/>
        <w:spacing w:before="280"/>
        <w:rPr>
          <w:b/>
          <w:color w:val="000000"/>
          <w:sz w:val="26"/>
          <w:szCs w:val="26"/>
        </w:rPr>
      </w:pPr>
      <w:r>
        <w:rPr>
          <w:b/>
          <w:color w:val="000000"/>
          <w:sz w:val="26"/>
          <w:szCs w:val="26"/>
        </w:rPr>
        <w:lastRenderedPageBreak/>
        <w:t>🛠️ How I Can Help as Your CA</w:t>
      </w:r>
    </w:p>
    <w:p w:rsidR="001C7C51" w:rsidRDefault="00983876" w:rsidP="00162F3C">
      <w:pPr>
        <w:numPr>
          <w:ilvl w:val="0"/>
          <w:numId w:val="3"/>
        </w:numPr>
        <w:spacing w:before="120"/>
      </w:pPr>
      <w:r>
        <w:rPr>
          <w:b/>
        </w:rPr>
        <w:t>Notice Analysis:</w:t>
      </w:r>
      <w:r>
        <w:t xml:space="preserve"> I will read and interpret the notice for you</w:t>
      </w:r>
    </w:p>
    <w:p w:rsidR="001C7C51" w:rsidRDefault="00983876">
      <w:pPr>
        <w:numPr>
          <w:ilvl w:val="0"/>
          <w:numId w:val="3"/>
        </w:numPr>
      </w:pPr>
      <w:r>
        <w:rPr>
          <w:b/>
        </w:rPr>
        <w:t>Document Review:</w:t>
      </w:r>
      <w:r>
        <w:t xml:space="preserve"> Help gather and verify all supporting documents</w:t>
      </w:r>
    </w:p>
    <w:p w:rsidR="001C7C51" w:rsidRDefault="00983876">
      <w:pPr>
        <w:numPr>
          <w:ilvl w:val="0"/>
          <w:numId w:val="3"/>
        </w:numPr>
      </w:pPr>
      <w:r>
        <w:rPr>
          <w:b/>
        </w:rPr>
        <w:t>Drafting Response:</w:t>
      </w:r>
      <w:r>
        <w:t xml:space="preserve"> Prepare professional replies, letters, and explanations</w:t>
      </w:r>
    </w:p>
    <w:p w:rsidR="001C7C51" w:rsidRDefault="00983876">
      <w:pPr>
        <w:numPr>
          <w:ilvl w:val="0"/>
          <w:numId w:val="3"/>
        </w:numPr>
      </w:pPr>
      <w:r>
        <w:rPr>
          <w:b/>
        </w:rPr>
        <w:t>Timely Submission:</w:t>
      </w:r>
      <w:r>
        <w:t xml:space="preserve"> Ensure everything is filed on time to avoid penalties</w:t>
      </w:r>
    </w:p>
    <w:p w:rsidR="001C7C51" w:rsidRDefault="00983876">
      <w:pPr>
        <w:numPr>
          <w:ilvl w:val="0"/>
          <w:numId w:val="3"/>
        </w:numPr>
      </w:pPr>
      <w:r>
        <w:rPr>
          <w:b/>
        </w:rPr>
        <w:t>Communication with Department:</w:t>
      </w:r>
      <w:r>
        <w:t xml:space="preserve"> Handle all online/offline interactions with IT officials</w:t>
      </w:r>
    </w:p>
    <w:p w:rsidR="001C7C51" w:rsidRDefault="00983876">
      <w:pPr>
        <w:numPr>
          <w:ilvl w:val="0"/>
          <w:numId w:val="3"/>
        </w:numPr>
        <w:spacing w:after="240"/>
      </w:pPr>
      <w:r>
        <w:rPr>
          <w:b/>
        </w:rPr>
        <w:t>Appeal Filing:</w:t>
      </w:r>
      <w:r>
        <w:t xml:space="preserve"> If required, I will represent your case at every level of appeal</w:t>
      </w:r>
    </w:p>
    <w:p w:rsidR="001C7C51" w:rsidRDefault="00983876">
      <w:pPr>
        <w:pStyle w:val="Heading3"/>
        <w:keepNext w:val="0"/>
        <w:keepLines w:val="0"/>
        <w:spacing w:before="280"/>
        <w:rPr>
          <w:b/>
          <w:color w:val="000000"/>
          <w:sz w:val="26"/>
          <w:szCs w:val="26"/>
        </w:rPr>
      </w:pPr>
      <w:bookmarkStart w:id="4" w:name="_lvksrs34mzb5" w:colFirst="0" w:colLast="0"/>
      <w:bookmarkEnd w:id="4"/>
      <w:r>
        <w:rPr>
          <w:b/>
          <w:color w:val="000000"/>
          <w:sz w:val="26"/>
          <w:szCs w:val="26"/>
        </w:rPr>
        <w:t>⚖️ Income Tax Appeals – If You Disagree With the Notice</w:t>
      </w:r>
    </w:p>
    <w:p w:rsidR="001C7C51" w:rsidRDefault="00983876" w:rsidP="00162F3C">
      <w:pPr>
        <w:spacing w:before="120" w:after="120"/>
        <w:rPr>
          <w:b/>
        </w:rPr>
      </w:pPr>
      <w:r>
        <w:t xml:space="preserve">If you're not satisfied with the Income Tax Department’s assessment or demand, </w:t>
      </w:r>
      <w:r>
        <w:rPr>
          <w:b/>
        </w:rPr>
        <w:t>you have the right to appeal.</w:t>
      </w:r>
    </w:p>
    <w:p w:rsidR="001C7C51" w:rsidRDefault="00983876">
      <w:pPr>
        <w:pStyle w:val="Heading3"/>
        <w:keepNext w:val="0"/>
        <w:keepLines w:val="0"/>
        <w:spacing w:before="280"/>
        <w:rPr>
          <w:b/>
          <w:color w:val="000000"/>
          <w:sz w:val="26"/>
          <w:szCs w:val="26"/>
        </w:rPr>
      </w:pPr>
      <w:bookmarkStart w:id="5" w:name="_c7srgecezdw7" w:colFirst="0" w:colLast="0"/>
      <w:bookmarkEnd w:id="5"/>
      <w:r>
        <w:rPr>
          <w:b/>
          <w:color w:val="000000"/>
          <w:sz w:val="26"/>
          <w:szCs w:val="26"/>
        </w:rPr>
        <w:t>📋 Appeal Process in Income Tax – Step by Step</w:t>
      </w:r>
    </w:p>
    <w:tbl>
      <w:tblPr>
        <w:tblStyle w:val="MediumGrid1-Accent1"/>
        <w:tblW w:w="9830" w:type="dxa"/>
        <w:tblLayout w:type="fixed"/>
        <w:tblLook w:val="0600" w:firstRow="0" w:lastRow="0" w:firstColumn="0" w:lastColumn="0" w:noHBand="1" w:noVBand="1"/>
      </w:tblPr>
      <w:tblGrid>
        <w:gridCol w:w="2340"/>
        <w:gridCol w:w="2808"/>
        <w:gridCol w:w="1972"/>
        <w:gridCol w:w="2710"/>
      </w:tblGrid>
      <w:tr w:rsidR="001C7C51" w:rsidTr="00162F3C">
        <w:tc>
          <w:tcPr>
            <w:tcW w:w="2340" w:type="dxa"/>
          </w:tcPr>
          <w:p w:rsidR="001C7C51" w:rsidRDefault="00983876">
            <w:pPr>
              <w:jc w:val="center"/>
            </w:pPr>
            <w:r>
              <w:rPr>
                <w:b/>
              </w:rPr>
              <w:t>Level</w:t>
            </w:r>
          </w:p>
        </w:tc>
        <w:tc>
          <w:tcPr>
            <w:tcW w:w="2808" w:type="dxa"/>
          </w:tcPr>
          <w:p w:rsidR="001C7C51" w:rsidRDefault="00983876">
            <w:pPr>
              <w:jc w:val="center"/>
            </w:pPr>
            <w:r>
              <w:rPr>
                <w:b/>
              </w:rPr>
              <w:t>Filed Under</w:t>
            </w:r>
          </w:p>
        </w:tc>
        <w:tc>
          <w:tcPr>
            <w:tcW w:w="1972" w:type="dxa"/>
          </w:tcPr>
          <w:p w:rsidR="001C7C51" w:rsidRDefault="00983876">
            <w:pPr>
              <w:jc w:val="center"/>
            </w:pPr>
            <w:r>
              <w:rPr>
                <w:b/>
              </w:rPr>
              <w:t>Appeal Against</w:t>
            </w:r>
          </w:p>
        </w:tc>
        <w:tc>
          <w:tcPr>
            <w:tcW w:w="2710" w:type="dxa"/>
          </w:tcPr>
          <w:p w:rsidR="001C7C51" w:rsidRDefault="00983876">
            <w:pPr>
              <w:jc w:val="center"/>
            </w:pPr>
            <w:r>
              <w:rPr>
                <w:b/>
              </w:rPr>
              <w:t>Who Can File</w:t>
            </w:r>
          </w:p>
        </w:tc>
      </w:tr>
      <w:tr w:rsidR="001C7C51" w:rsidTr="00162F3C">
        <w:tc>
          <w:tcPr>
            <w:tcW w:w="2340" w:type="dxa"/>
          </w:tcPr>
          <w:p w:rsidR="001C7C51" w:rsidRDefault="00983876">
            <w:r>
              <w:rPr>
                <w:b/>
              </w:rPr>
              <w:t>1st Appeal</w:t>
            </w:r>
          </w:p>
        </w:tc>
        <w:tc>
          <w:tcPr>
            <w:tcW w:w="2808" w:type="dxa"/>
          </w:tcPr>
          <w:p w:rsidR="001C7C51" w:rsidRDefault="00983876">
            <w:r>
              <w:rPr>
                <w:b/>
              </w:rPr>
              <w:t>CIT(A) – Commissioner of Income Tax (Appeals)</w:t>
            </w:r>
          </w:p>
        </w:tc>
        <w:tc>
          <w:tcPr>
            <w:tcW w:w="1972" w:type="dxa"/>
          </w:tcPr>
          <w:p w:rsidR="001C7C51" w:rsidRDefault="00983876">
            <w:r>
              <w:t>Any order by AO</w:t>
            </w:r>
          </w:p>
        </w:tc>
        <w:tc>
          <w:tcPr>
            <w:tcW w:w="2710" w:type="dxa"/>
          </w:tcPr>
          <w:p w:rsidR="001C7C51" w:rsidRDefault="00983876">
            <w:r>
              <w:t>Taxpayer</w:t>
            </w:r>
          </w:p>
        </w:tc>
      </w:tr>
      <w:tr w:rsidR="001C7C51" w:rsidTr="00162F3C">
        <w:tc>
          <w:tcPr>
            <w:tcW w:w="2340" w:type="dxa"/>
          </w:tcPr>
          <w:p w:rsidR="001C7C51" w:rsidRDefault="00983876">
            <w:r>
              <w:rPr>
                <w:b/>
              </w:rPr>
              <w:t>2nd Appeal</w:t>
            </w:r>
          </w:p>
        </w:tc>
        <w:tc>
          <w:tcPr>
            <w:tcW w:w="2808" w:type="dxa"/>
          </w:tcPr>
          <w:p w:rsidR="001C7C51" w:rsidRDefault="00983876">
            <w:r>
              <w:rPr>
                <w:b/>
              </w:rPr>
              <w:t>ITAT – Income Tax Appellate Tribunal</w:t>
            </w:r>
          </w:p>
        </w:tc>
        <w:tc>
          <w:tcPr>
            <w:tcW w:w="1972" w:type="dxa"/>
          </w:tcPr>
          <w:p w:rsidR="001C7C51" w:rsidRDefault="00983876">
            <w:r>
              <w:t>Order of CIT(A)</w:t>
            </w:r>
          </w:p>
        </w:tc>
        <w:tc>
          <w:tcPr>
            <w:tcW w:w="2710" w:type="dxa"/>
          </w:tcPr>
          <w:p w:rsidR="001C7C51" w:rsidRDefault="00983876">
            <w:r>
              <w:t>Taxpayer or Department</w:t>
            </w:r>
          </w:p>
        </w:tc>
      </w:tr>
      <w:tr w:rsidR="001C7C51" w:rsidTr="00162F3C">
        <w:tc>
          <w:tcPr>
            <w:tcW w:w="2340" w:type="dxa"/>
          </w:tcPr>
          <w:p w:rsidR="001C7C51" w:rsidRDefault="00983876">
            <w:r>
              <w:rPr>
                <w:b/>
              </w:rPr>
              <w:t>3rd Appeal</w:t>
            </w:r>
          </w:p>
        </w:tc>
        <w:tc>
          <w:tcPr>
            <w:tcW w:w="2808" w:type="dxa"/>
          </w:tcPr>
          <w:p w:rsidR="001C7C51" w:rsidRDefault="00983876">
            <w:r>
              <w:rPr>
                <w:b/>
              </w:rPr>
              <w:t>High Court</w:t>
            </w:r>
          </w:p>
        </w:tc>
        <w:tc>
          <w:tcPr>
            <w:tcW w:w="1972" w:type="dxa"/>
          </w:tcPr>
          <w:p w:rsidR="001C7C51" w:rsidRDefault="00983876">
            <w:r>
              <w:t>Substantial questions of law</w:t>
            </w:r>
          </w:p>
        </w:tc>
        <w:tc>
          <w:tcPr>
            <w:tcW w:w="2710" w:type="dxa"/>
          </w:tcPr>
          <w:p w:rsidR="001C7C51" w:rsidRDefault="00983876">
            <w:r>
              <w:t>Taxpayer or Department</w:t>
            </w:r>
          </w:p>
        </w:tc>
      </w:tr>
      <w:tr w:rsidR="001C7C51" w:rsidTr="00162F3C">
        <w:tc>
          <w:tcPr>
            <w:tcW w:w="2340" w:type="dxa"/>
          </w:tcPr>
          <w:p w:rsidR="001C7C51" w:rsidRDefault="00983876">
            <w:r>
              <w:rPr>
                <w:b/>
              </w:rPr>
              <w:t>4th Appeal</w:t>
            </w:r>
          </w:p>
        </w:tc>
        <w:tc>
          <w:tcPr>
            <w:tcW w:w="2808" w:type="dxa"/>
          </w:tcPr>
          <w:p w:rsidR="001C7C51" w:rsidRDefault="00983876">
            <w:r>
              <w:rPr>
                <w:b/>
              </w:rPr>
              <w:t>Supreme Court</w:t>
            </w:r>
          </w:p>
        </w:tc>
        <w:tc>
          <w:tcPr>
            <w:tcW w:w="1972" w:type="dxa"/>
          </w:tcPr>
          <w:p w:rsidR="001C7C51" w:rsidRDefault="00983876">
            <w:r>
              <w:t>Important legal issues</w:t>
            </w:r>
          </w:p>
        </w:tc>
        <w:tc>
          <w:tcPr>
            <w:tcW w:w="2710" w:type="dxa"/>
          </w:tcPr>
          <w:p w:rsidR="001C7C51" w:rsidRDefault="00983876">
            <w:r>
              <w:t>Taxpayer or Department</w:t>
            </w:r>
          </w:p>
        </w:tc>
      </w:tr>
    </w:tbl>
    <w:p w:rsidR="001C7C51" w:rsidRDefault="00983876">
      <w:pPr>
        <w:pStyle w:val="Heading3"/>
        <w:keepNext w:val="0"/>
        <w:keepLines w:val="0"/>
        <w:spacing w:before="280"/>
        <w:rPr>
          <w:b/>
          <w:color w:val="000000"/>
          <w:sz w:val="26"/>
          <w:szCs w:val="26"/>
        </w:rPr>
      </w:pPr>
      <w:bookmarkStart w:id="6" w:name="_k3oj3a4ku5vh" w:colFirst="0" w:colLast="0"/>
      <w:bookmarkEnd w:id="6"/>
      <w:r>
        <w:rPr>
          <w:b/>
          <w:color w:val="000000"/>
          <w:sz w:val="26"/>
          <w:szCs w:val="26"/>
        </w:rPr>
        <w:t>📑 Types of Orders You Can Appeal Against</w:t>
      </w:r>
    </w:p>
    <w:p w:rsidR="001C7C51" w:rsidRDefault="00983876" w:rsidP="00162F3C">
      <w:pPr>
        <w:numPr>
          <w:ilvl w:val="0"/>
          <w:numId w:val="2"/>
        </w:numPr>
        <w:spacing w:before="120"/>
      </w:pPr>
      <w:r>
        <w:t>Wrong tax demand</w:t>
      </w:r>
    </w:p>
    <w:p w:rsidR="001C7C51" w:rsidRDefault="00983876">
      <w:pPr>
        <w:numPr>
          <w:ilvl w:val="0"/>
          <w:numId w:val="2"/>
        </w:numPr>
      </w:pPr>
      <w:r>
        <w:t>Rejection of refund</w:t>
      </w:r>
    </w:p>
    <w:p w:rsidR="001C7C51" w:rsidRDefault="00983876">
      <w:pPr>
        <w:numPr>
          <w:ilvl w:val="0"/>
          <w:numId w:val="2"/>
        </w:numPr>
      </w:pPr>
      <w:r>
        <w:t>Addition of income not declared</w:t>
      </w:r>
    </w:p>
    <w:p w:rsidR="001C7C51" w:rsidRDefault="00983876">
      <w:pPr>
        <w:numPr>
          <w:ilvl w:val="0"/>
          <w:numId w:val="2"/>
        </w:numPr>
      </w:pPr>
      <w:r>
        <w:t>Disallowance of expenses</w:t>
      </w:r>
    </w:p>
    <w:p w:rsidR="001C7C51" w:rsidRDefault="00983876">
      <w:pPr>
        <w:numPr>
          <w:ilvl w:val="0"/>
          <w:numId w:val="2"/>
        </w:numPr>
      </w:pPr>
      <w:r>
        <w:t>Penalty orders</w:t>
      </w:r>
    </w:p>
    <w:p w:rsidR="001C7C51" w:rsidRDefault="00983876">
      <w:pPr>
        <w:numPr>
          <w:ilvl w:val="0"/>
          <w:numId w:val="2"/>
        </w:numPr>
      </w:pPr>
      <w:r>
        <w:t>Interest levied wrongly</w:t>
      </w:r>
    </w:p>
    <w:p w:rsidR="001C7C51" w:rsidRDefault="00983876">
      <w:pPr>
        <w:numPr>
          <w:ilvl w:val="0"/>
          <w:numId w:val="2"/>
        </w:numPr>
        <w:spacing w:after="240"/>
      </w:pPr>
      <w:r>
        <w:t>Assessment without giving you a chance to explain</w:t>
      </w:r>
    </w:p>
    <w:p w:rsidR="001C7C51" w:rsidRDefault="00983876">
      <w:pPr>
        <w:pStyle w:val="Heading3"/>
        <w:keepNext w:val="0"/>
        <w:keepLines w:val="0"/>
        <w:spacing w:before="280"/>
        <w:rPr>
          <w:b/>
          <w:color w:val="000000"/>
          <w:sz w:val="26"/>
          <w:szCs w:val="26"/>
        </w:rPr>
      </w:pPr>
      <w:bookmarkStart w:id="7" w:name="_q3d0jlfky8hb" w:colFirst="0" w:colLast="0"/>
      <w:bookmarkEnd w:id="7"/>
      <w:r>
        <w:rPr>
          <w:b/>
          <w:color w:val="000000"/>
          <w:sz w:val="26"/>
          <w:szCs w:val="26"/>
        </w:rPr>
        <w:t>📌 Important Things to Know</w:t>
      </w:r>
    </w:p>
    <w:p w:rsidR="001C7C51" w:rsidRDefault="00983876" w:rsidP="00162F3C">
      <w:pPr>
        <w:numPr>
          <w:ilvl w:val="0"/>
          <w:numId w:val="1"/>
        </w:numPr>
        <w:spacing w:before="120"/>
      </w:pPr>
      <w:r>
        <w:rPr>
          <w:b/>
        </w:rPr>
        <w:t>Time Limit to Respond:</w:t>
      </w:r>
      <w:r>
        <w:t xml:space="preserve"> Every notice has a time limit (usually 15-30 days)</w:t>
      </w:r>
    </w:p>
    <w:p w:rsidR="001C7C51" w:rsidRDefault="00983876">
      <w:pPr>
        <w:numPr>
          <w:ilvl w:val="0"/>
          <w:numId w:val="1"/>
        </w:numPr>
      </w:pPr>
      <w:r>
        <w:rPr>
          <w:b/>
        </w:rPr>
        <w:t>No Action = Penalty:</w:t>
      </w:r>
      <w:r>
        <w:t xml:space="preserve"> Ignoring a notice can lead to penalties or legal action</w:t>
      </w:r>
    </w:p>
    <w:p w:rsidR="001C7C51" w:rsidRDefault="00983876">
      <w:pPr>
        <w:numPr>
          <w:ilvl w:val="0"/>
          <w:numId w:val="1"/>
        </w:numPr>
      </w:pPr>
      <w:r>
        <w:rPr>
          <w:b/>
        </w:rPr>
        <w:t>Appeal Deadline:</w:t>
      </w:r>
      <w:r>
        <w:t xml:space="preserve"> Usually 30 days from receipt of the order</w:t>
      </w:r>
    </w:p>
    <w:p w:rsidR="001C7C51" w:rsidRDefault="00983876">
      <w:pPr>
        <w:numPr>
          <w:ilvl w:val="0"/>
          <w:numId w:val="1"/>
        </w:numPr>
        <w:spacing w:after="240"/>
      </w:pPr>
      <w:r>
        <w:rPr>
          <w:b/>
        </w:rPr>
        <w:t>Professional Help is Key:</w:t>
      </w:r>
      <w:r>
        <w:t xml:space="preserve"> Responding incorrectly can worsen your case</w:t>
      </w:r>
    </w:p>
    <w:p w:rsidR="001C7C51" w:rsidRDefault="00983876">
      <w:pPr>
        <w:pStyle w:val="Heading3"/>
        <w:keepNext w:val="0"/>
        <w:keepLines w:val="0"/>
        <w:spacing w:before="280"/>
        <w:rPr>
          <w:b/>
          <w:color w:val="000000"/>
          <w:sz w:val="26"/>
          <w:szCs w:val="26"/>
        </w:rPr>
      </w:pPr>
      <w:bookmarkStart w:id="8" w:name="_ldyo53laefjy" w:colFirst="0" w:colLast="0"/>
      <w:bookmarkEnd w:id="8"/>
      <w:proofErr w:type="gramStart"/>
      <w:r>
        <w:rPr>
          <w:b/>
          <w:color w:val="000000"/>
          <w:sz w:val="26"/>
          <w:szCs w:val="26"/>
        </w:rPr>
        <w:t xml:space="preserve">✅ </w:t>
      </w:r>
      <w:r w:rsidR="00106AFC">
        <w:rPr>
          <w:b/>
          <w:color w:val="000000"/>
          <w:sz w:val="26"/>
          <w:szCs w:val="26"/>
        </w:rPr>
        <w:t xml:space="preserve"> </w:t>
      </w:r>
      <w:r>
        <w:rPr>
          <w:b/>
          <w:color w:val="000000"/>
          <w:sz w:val="26"/>
          <w:szCs w:val="26"/>
        </w:rPr>
        <w:t>Benefits</w:t>
      </w:r>
      <w:proofErr w:type="gramEnd"/>
      <w:r>
        <w:rPr>
          <w:b/>
          <w:color w:val="000000"/>
          <w:sz w:val="26"/>
          <w:szCs w:val="26"/>
        </w:rPr>
        <w:t xml:space="preserve"> of Choosing My CA Services</w:t>
      </w:r>
    </w:p>
    <w:p w:rsidR="001C7C51" w:rsidRDefault="00106AFC" w:rsidP="00162F3C">
      <w:pPr>
        <w:spacing w:before="120" w:after="120"/>
      </w:pPr>
      <w:r>
        <w:rPr>
          <w:rFonts w:ascii="MS Gothic" w:eastAsia="MS Gothic" w:hAnsi="MS Gothic" w:cs="MS Gothic"/>
        </w:rPr>
        <w:t xml:space="preserve"> </w:t>
      </w:r>
      <w:r w:rsidR="00983876">
        <w:rPr>
          <w:rFonts w:ascii="MS Gothic" w:eastAsia="MS Gothic" w:hAnsi="MS Gothic" w:cs="MS Gothic" w:hint="eastAsia"/>
        </w:rPr>
        <w:t>✔</w:t>
      </w:r>
      <w:r w:rsidR="00983876">
        <w:t xml:space="preserve"> </w:t>
      </w:r>
      <w:r>
        <w:tab/>
      </w:r>
      <w:r w:rsidR="00983876">
        <w:t>Thorough Review of Your Case</w:t>
      </w:r>
      <w:r w:rsidR="00983876">
        <w:br/>
        <w:t xml:space="preserve"> </w:t>
      </w:r>
      <w:r w:rsidR="00983876">
        <w:rPr>
          <w:rFonts w:ascii="MS Gothic" w:eastAsia="MS Gothic" w:hAnsi="MS Gothic" w:cs="MS Gothic" w:hint="eastAsia"/>
        </w:rPr>
        <w:t>✔</w:t>
      </w:r>
      <w:r w:rsidR="00983876">
        <w:t xml:space="preserve"> </w:t>
      </w:r>
      <w:r>
        <w:tab/>
      </w:r>
      <w:r w:rsidR="00983876">
        <w:t>Timely and Professional Replies</w:t>
      </w:r>
      <w:r w:rsidR="00983876">
        <w:br/>
        <w:t xml:space="preserve"> </w:t>
      </w:r>
      <w:r w:rsidR="00983876">
        <w:rPr>
          <w:rFonts w:ascii="MS Gothic" w:eastAsia="MS Gothic" w:hAnsi="MS Gothic" w:cs="MS Gothic" w:hint="eastAsia"/>
        </w:rPr>
        <w:t>✔</w:t>
      </w:r>
      <w:r w:rsidR="00983876">
        <w:t xml:space="preserve"> </w:t>
      </w:r>
      <w:r>
        <w:tab/>
      </w:r>
      <w:r w:rsidR="00983876">
        <w:t>Expert Representation in Appeals</w:t>
      </w:r>
      <w:bookmarkStart w:id="9" w:name="_GoBack"/>
      <w:bookmarkEnd w:id="9"/>
      <w:r w:rsidR="00983876">
        <w:br/>
        <w:t xml:space="preserve"> </w:t>
      </w:r>
      <w:r w:rsidR="00983876">
        <w:rPr>
          <w:rFonts w:ascii="MS Gothic" w:eastAsia="MS Gothic" w:hAnsi="MS Gothic" w:cs="MS Gothic" w:hint="eastAsia"/>
        </w:rPr>
        <w:t>✔</w:t>
      </w:r>
      <w:r w:rsidR="00983876">
        <w:t xml:space="preserve"> </w:t>
      </w:r>
      <w:r>
        <w:tab/>
      </w:r>
      <w:r w:rsidR="00983876">
        <w:t>Save Time, Stress, and Money</w:t>
      </w:r>
      <w:r w:rsidR="00983876">
        <w:br/>
        <w:t xml:space="preserve"> </w:t>
      </w:r>
      <w:r w:rsidR="00983876">
        <w:rPr>
          <w:rFonts w:ascii="MS Gothic" w:eastAsia="MS Gothic" w:hAnsi="MS Gothic" w:cs="MS Gothic" w:hint="eastAsia"/>
        </w:rPr>
        <w:t>✔</w:t>
      </w:r>
      <w:r w:rsidR="00983876">
        <w:t xml:space="preserve"> </w:t>
      </w:r>
      <w:r>
        <w:tab/>
      </w:r>
      <w:r w:rsidR="00983876">
        <w:t>Fully Online &amp; Paperless Process Available</w:t>
      </w:r>
    </w:p>
    <w:sectPr w:rsidR="001C7C51" w:rsidSect="00162F3C">
      <w:pgSz w:w="12240" w:h="15840"/>
      <w:pgMar w:top="1440" w:right="810" w:bottom="72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2F" w:rsidRDefault="003F552F" w:rsidP="00F67F30">
      <w:pPr>
        <w:spacing w:line="240" w:lineRule="auto"/>
      </w:pPr>
      <w:r>
        <w:separator/>
      </w:r>
    </w:p>
  </w:endnote>
  <w:endnote w:type="continuationSeparator" w:id="0">
    <w:p w:rsidR="003F552F" w:rsidRDefault="003F552F" w:rsidP="00F6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2F" w:rsidRDefault="003F552F" w:rsidP="00F67F30">
      <w:pPr>
        <w:spacing w:line="240" w:lineRule="auto"/>
      </w:pPr>
      <w:r>
        <w:separator/>
      </w:r>
    </w:p>
  </w:footnote>
  <w:footnote w:type="continuationSeparator" w:id="0">
    <w:p w:rsidR="003F552F" w:rsidRDefault="003F552F" w:rsidP="00F67F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D4853"/>
    <w:multiLevelType w:val="multilevel"/>
    <w:tmpl w:val="9800A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A96E35"/>
    <w:multiLevelType w:val="multilevel"/>
    <w:tmpl w:val="5858C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7B414F"/>
    <w:multiLevelType w:val="multilevel"/>
    <w:tmpl w:val="5ADC0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C51"/>
    <w:rsid w:val="00106AFC"/>
    <w:rsid w:val="00121135"/>
    <w:rsid w:val="00162F3C"/>
    <w:rsid w:val="001C7C51"/>
    <w:rsid w:val="003F552F"/>
    <w:rsid w:val="004D3DB5"/>
    <w:rsid w:val="005442E6"/>
    <w:rsid w:val="00983876"/>
    <w:rsid w:val="00F55E05"/>
    <w:rsid w:val="00F67F30"/>
    <w:rsid w:val="00F94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7F30"/>
    <w:pPr>
      <w:tabs>
        <w:tab w:val="center" w:pos="4513"/>
        <w:tab w:val="right" w:pos="9026"/>
      </w:tabs>
      <w:spacing w:line="240" w:lineRule="auto"/>
    </w:pPr>
  </w:style>
  <w:style w:type="character" w:customStyle="1" w:styleId="HeaderChar">
    <w:name w:val="Header Char"/>
    <w:basedOn w:val="DefaultParagraphFont"/>
    <w:link w:val="Header"/>
    <w:uiPriority w:val="99"/>
    <w:rsid w:val="00F67F30"/>
  </w:style>
  <w:style w:type="paragraph" w:styleId="Footer">
    <w:name w:val="footer"/>
    <w:basedOn w:val="Normal"/>
    <w:link w:val="FooterChar"/>
    <w:uiPriority w:val="99"/>
    <w:unhideWhenUsed/>
    <w:rsid w:val="00F67F30"/>
    <w:pPr>
      <w:tabs>
        <w:tab w:val="center" w:pos="4513"/>
        <w:tab w:val="right" w:pos="9026"/>
      </w:tabs>
      <w:spacing w:line="240" w:lineRule="auto"/>
    </w:pPr>
  </w:style>
  <w:style w:type="character" w:customStyle="1" w:styleId="FooterChar">
    <w:name w:val="Footer Char"/>
    <w:basedOn w:val="DefaultParagraphFont"/>
    <w:link w:val="Footer"/>
    <w:uiPriority w:val="99"/>
    <w:rsid w:val="00F67F30"/>
  </w:style>
  <w:style w:type="character" w:styleId="Emphasis">
    <w:name w:val="Emphasis"/>
    <w:basedOn w:val="DefaultParagraphFont"/>
    <w:uiPriority w:val="20"/>
    <w:qFormat/>
    <w:rsid w:val="00106AFC"/>
    <w:rPr>
      <w:i/>
      <w:iCs/>
    </w:rPr>
  </w:style>
  <w:style w:type="character" w:styleId="IntenseEmphasis">
    <w:name w:val="Intense Emphasis"/>
    <w:basedOn w:val="DefaultParagraphFont"/>
    <w:uiPriority w:val="21"/>
    <w:qFormat/>
    <w:rsid w:val="00106AFC"/>
    <w:rPr>
      <w:b/>
      <w:bCs/>
      <w:i/>
      <w:iCs/>
      <w:color w:val="4F81BD" w:themeColor="accent1"/>
    </w:rPr>
  </w:style>
  <w:style w:type="character" w:styleId="Strong">
    <w:name w:val="Strong"/>
    <w:basedOn w:val="DefaultParagraphFont"/>
    <w:uiPriority w:val="22"/>
    <w:qFormat/>
    <w:rsid w:val="00106AFC"/>
    <w:rPr>
      <w:b/>
      <w:bCs/>
    </w:rPr>
  </w:style>
  <w:style w:type="table" w:styleId="LightGrid-Accent4">
    <w:name w:val="Light Grid Accent 4"/>
    <w:basedOn w:val="TableNormal"/>
    <w:uiPriority w:val="62"/>
    <w:rsid w:val="00106AFC"/>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106AFC"/>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106AFC"/>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106AFC"/>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06AFC"/>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06AFC"/>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106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7F30"/>
    <w:pPr>
      <w:tabs>
        <w:tab w:val="center" w:pos="4513"/>
        <w:tab w:val="right" w:pos="9026"/>
      </w:tabs>
      <w:spacing w:line="240" w:lineRule="auto"/>
    </w:pPr>
  </w:style>
  <w:style w:type="character" w:customStyle="1" w:styleId="HeaderChar">
    <w:name w:val="Header Char"/>
    <w:basedOn w:val="DefaultParagraphFont"/>
    <w:link w:val="Header"/>
    <w:uiPriority w:val="99"/>
    <w:rsid w:val="00F67F30"/>
  </w:style>
  <w:style w:type="paragraph" w:styleId="Footer">
    <w:name w:val="footer"/>
    <w:basedOn w:val="Normal"/>
    <w:link w:val="FooterChar"/>
    <w:uiPriority w:val="99"/>
    <w:unhideWhenUsed/>
    <w:rsid w:val="00F67F30"/>
    <w:pPr>
      <w:tabs>
        <w:tab w:val="center" w:pos="4513"/>
        <w:tab w:val="right" w:pos="9026"/>
      </w:tabs>
      <w:spacing w:line="240" w:lineRule="auto"/>
    </w:pPr>
  </w:style>
  <w:style w:type="character" w:customStyle="1" w:styleId="FooterChar">
    <w:name w:val="Footer Char"/>
    <w:basedOn w:val="DefaultParagraphFont"/>
    <w:link w:val="Footer"/>
    <w:uiPriority w:val="99"/>
    <w:rsid w:val="00F67F30"/>
  </w:style>
  <w:style w:type="character" w:styleId="Emphasis">
    <w:name w:val="Emphasis"/>
    <w:basedOn w:val="DefaultParagraphFont"/>
    <w:uiPriority w:val="20"/>
    <w:qFormat/>
    <w:rsid w:val="00106AFC"/>
    <w:rPr>
      <w:i/>
      <w:iCs/>
    </w:rPr>
  </w:style>
  <w:style w:type="character" w:styleId="IntenseEmphasis">
    <w:name w:val="Intense Emphasis"/>
    <w:basedOn w:val="DefaultParagraphFont"/>
    <w:uiPriority w:val="21"/>
    <w:qFormat/>
    <w:rsid w:val="00106AFC"/>
    <w:rPr>
      <w:b/>
      <w:bCs/>
      <w:i/>
      <w:iCs/>
      <w:color w:val="4F81BD" w:themeColor="accent1"/>
    </w:rPr>
  </w:style>
  <w:style w:type="character" w:styleId="Strong">
    <w:name w:val="Strong"/>
    <w:basedOn w:val="DefaultParagraphFont"/>
    <w:uiPriority w:val="22"/>
    <w:qFormat/>
    <w:rsid w:val="00106AFC"/>
    <w:rPr>
      <w:b/>
      <w:bCs/>
    </w:rPr>
  </w:style>
  <w:style w:type="table" w:styleId="LightGrid-Accent4">
    <w:name w:val="Light Grid Accent 4"/>
    <w:basedOn w:val="TableNormal"/>
    <w:uiPriority w:val="62"/>
    <w:rsid w:val="00106AFC"/>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106AFC"/>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106AFC"/>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106AFC"/>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06AFC"/>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06AFC"/>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10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B6A98-D0EE-4BE0-9FD7-824C2D16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2025-06-12T07:43:00Z</dcterms:created>
  <dcterms:modified xsi:type="dcterms:W3CDTF">2025-06-22T09:03:00Z</dcterms:modified>
</cp:coreProperties>
</file>