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F3" w:rsidRPr="00D76862" w:rsidRDefault="000720F3" w:rsidP="00D76862">
      <w:pPr>
        <w:shd w:val="clear" w:color="auto" w:fill="FFFFFF" w:themeFill="background1"/>
        <w:jc w:val="center"/>
        <w:rPr>
          <w:b/>
          <w:bCs/>
          <w:smallCaps/>
          <w:sz w:val="40"/>
          <w:szCs w:val="40"/>
          <w:u w:val="single"/>
        </w:rPr>
      </w:pPr>
      <w:r w:rsidRPr="00D76862">
        <w:rPr>
          <w:rFonts w:ascii="Segoe UI Emoji" w:hAnsi="Segoe UI Emoji" w:cs="Segoe UI Emoji"/>
          <w:b/>
          <w:bCs/>
          <w:smallCaps/>
          <w:sz w:val="40"/>
          <w:szCs w:val="40"/>
        </w:rPr>
        <w:t>📘</w:t>
      </w:r>
      <w:r w:rsidRPr="00D76862">
        <w:rPr>
          <w:b/>
          <w:bCs/>
          <w:smallCaps/>
          <w:sz w:val="40"/>
          <w:szCs w:val="40"/>
        </w:rPr>
        <w:t> </w:t>
      </w:r>
      <w:r w:rsidRPr="00D76862">
        <w:rPr>
          <w:b/>
          <w:bCs/>
          <w:smallCaps/>
          <w:sz w:val="40"/>
          <w:szCs w:val="40"/>
          <w:u w:val="single"/>
        </w:rPr>
        <w:t>Director Minutes &amp; Resolutions – Ensure Legal Compliance &amp; Strong Governance</w:t>
      </w:r>
    </w:p>
    <w:p w:rsidR="000720F3" w:rsidRPr="006E181D" w:rsidRDefault="000720F3" w:rsidP="00D76862">
      <w:pPr>
        <w:spacing w:after="0"/>
        <w:jc w:val="both"/>
      </w:pPr>
      <w:r w:rsidRPr="006E181D">
        <w:t>In every company, key decisions are made by its Board of Directors. But just making decisions isn't enough—</w:t>
      </w:r>
      <w:r w:rsidRPr="006E181D">
        <w:rPr>
          <w:b/>
          <w:bCs/>
        </w:rPr>
        <w:t>documenting those decisions legally and correctly is equally important.</w:t>
      </w:r>
      <w:r w:rsidRPr="006E181D">
        <w:t> That's where </w:t>
      </w:r>
      <w:r w:rsidRPr="006E181D">
        <w:rPr>
          <w:i/>
          <w:iCs/>
        </w:rPr>
        <w:t>Director Minutes and Resolutions</w:t>
      </w:r>
      <w:r w:rsidRPr="006E181D">
        <w:t> come into play.</w:t>
      </w:r>
    </w:p>
    <w:p w:rsidR="000720F3" w:rsidRPr="006E181D" w:rsidRDefault="000720F3" w:rsidP="00D76862">
      <w:pPr>
        <w:spacing w:after="0"/>
        <w:jc w:val="both"/>
      </w:pPr>
      <w:r w:rsidRPr="006E181D">
        <w:t>As a business owner or company director, you must comply with corporate governance norms laid down under the Companies Act, 2013. Whether it’s a board meeting or a shareholder meeting, maintaining </w:t>
      </w:r>
      <w:r w:rsidRPr="006E181D">
        <w:rPr>
          <w:b/>
          <w:bCs/>
        </w:rPr>
        <w:t>accurate and timely minutes and resolutions</w:t>
      </w:r>
      <w:r w:rsidRPr="006E181D">
        <w:t> is not just a formality—it’s a legal necessity that protects your business from future disputes, audits, or penalties.</w:t>
      </w:r>
    </w:p>
    <w:p w:rsidR="000720F3" w:rsidRPr="006E181D" w:rsidRDefault="000720F3" w:rsidP="00D76862">
      <w:pPr>
        <w:spacing w:after="0"/>
        <w:jc w:val="both"/>
      </w:pPr>
      <w:r w:rsidRPr="006E181D">
        <w:t>Let us help you draft and maintain your board decisions in a professional and compliant manner, ensuring smooth corporate functioning.</w:t>
      </w:r>
    </w:p>
    <w:p w:rsidR="000720F3" w:rsidRDefault="000720F3" w:rsidP="00D7686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0720F3" w:rsidRPr="006E181D" w:rsidRDefault="000720F3" w:rsidP="00D76862">
      <w:pPr>
        <w:spacing w:after="0"/>
        <w:jc w:val="both"/>
        <w:rPr>
          <w:b/>
          <w:bCs/>
        </w:rPr>
      </w:pPr>
      <w:r w:rsidRPr="006E181D">
        <w:rPr>
          <w:rFonts w:ascii="Segoe UI Emoji" w:hAnsi="Segoe UI Emoji" w:cs="Segoe UI Emoji"/>
          <w:b/>
          <w:bCs/>
        </w:rPr>
        <w:t>📝</w:t>
      </w:r>
      <w:r w:rsidRPr="006E181D">
        <w:rPr>
          <w:b/>
          <w:bCs/>
        </w:rPr>
        <w:t> </w:t>
      </w:r>
      <w:r w:rsidRPr="006E181D">
        <w:rPr>
          <w:b/>
          <w:bCs/>
          <w:sz w:val="28"/>
          <w:szCs w:val="28"/>
        </w:rPr>
        <w:t>What Are Director Minutes and Resolutions</w:t>
      </w:r>
      <w:r w:rsidRPr="006E181D">
        <w:rPr>
          <w:b/>
          <w:bCs/>
        </w:rPr>
        <w:t>?</w:t>
      </w:r>
    </w:p>
    <w:p w:rsidR="000720F3" w:rsidRPr="006E181D" w:rsidRDefault="000720F3" w:rsidP="00CB57D4">
      <w:pPr>
        <w:numPr>
          <w:ilvl w:val="0"/>
          <w:numId w:val="2"/>
        </w:numPr>
        <w:tabs>
          <w:tab w:val="clear" w:pos="720"/>
        </w:tabs>
        <w:spacing w:after="0"/>
        <w:ind w:left="450" w:hanging="450"/>
        <w:jc w:val="both"/>
      </w:pPr>
      <w:r w:rsidRPr="006E181D">
        <w:rPr>
          <w:b/>
          <w:bCs/>
        </w:rPr>
        <w:t>Minutes</w:t>
      </w:r>
      <w:r w:rsidRPr="006E181D">
        <w:t> are the official, written records of decisions taken during board meetings or general meetings.</w:t>
      </w:r>
    </w:p>
    <w:p w:rsidR="000720F3" w:rsidRPr="006E181D" w:rsidRDefault="000720F3" w:rsidP="00CB57D4">
      <w:pPr>
        <w:numPr>
          <w:ilvl w:val="0"/>
          <w:numId w:val="2"/>
        </w:numPr>
        <w:tabs>
          <w:tab w:val="clear" w:pos="720"/>
        </w:tabs>
        <w:spacing w:after="0"/>
        <w:ind w:left="450" w:hanging="450"/>
        <w:jc w:val="both"/>
      </w:pPr>
      <w:r w:rsidRPr="006E181D">
        <w:rPr>
          <w:b/>
          <w:bCs/>
        </w:rPr>
        <w:t>Resolutions</w:t>
      </w:r>
      <w:r w:rsidRPr="006E181D">
        <w:t> are formal decisions passed by the board or shareholders, either in meetings or via circulation.</w:t>
      </w:r>
    </w:p>
    <w:p w:rsidR="000720F3" w:rsidRDefault="000720F3" w:rsidP="00D76862">
      <w:pPr>
        <w:spacing w:after="0"/>
        <w:jc w:val="both"/>
      </w:pPr>
      <w:r w:rsidRPr="006E181D">
        <w:t>These documents serve as </w:t>
      </w:r>
      <w:r w:rsidRPr="006E181D">
        <w:rPr>
          <w:b/>
          <w:bCs/>
        </w:rPr>
        <w:t>legal evidence</w:t>
      </w:r>
      <w:r w:rsidRPr="006E181D">
        <w:t> of decisions made and ensure transparency and accounta</w:t>
      </w:r>
      <w:r>
        <w:t>bility in corporate governance.</w:t>
      </w:r>
    </w:p>
    <w:p w:rsidR="000720F3" w:rsidRDefault="000720F3" w:rsidP="00D76862">
      <w:pPr>
        <w:spacing w:after="0"/>
        <w:jc w:val="both"/>
      </w:pPr>
    </w:p>
    <w:p w:rsidR="000720F3" w:rsidRPr="002006FA" w:rsidRDefault="000720F3" w:rsidP="00D76862">
      <w:pPr>
        <w:spacing w:after="0"/>
        <w:jc w:val="both"/>
      </w:pPr>
      <w:r w:rsidRPr="006E181D">
        <w:rPr>
          <w:rFonts w:ascii="Segoe UI Emoji" w:hAnsi="Segoe UI Emoji" w:cs="Segoe UI Emoji"/>
          <w:b/>
          <w:bCs/>
        </w:rPr>
        <w:t>🔍</w:t>
      </w:r>
      <w:r w:rsidRPr="006E181D">
        <w:rPr>
          <w:b/>
          <w:bCs/>
        </w:rPr>
        <w:t> </w:t>
      </w:r>
      <w:r w:rsidRPr="006E181D">
        <w:rPr>
          <w:b/>
          <w:bCs/>
          <w:sz w:val="28"/>
          <w:szCs w:val="28"/>
        </w:rPr>
        <w:t>Levels &amp; Importance of Documentation</w:t>
      </w:r>
    </w:p>
    <w:p w:rsidR="000720F3" w:rsidRPr="006E181D" w:rsidRDefault="000720F3" w:rsidP="00CB57D4">
      <w:pPr>
        <w:numPr>
          <w:ilvl w:val="0"/>
          <w:numId w:val="8"/>
        </w:numPr>
        <w:tabs>
          <w:tab w:val="clear" w:pos="720"/>
        </w:tabs>
        <w:spacing w:after="0"/>
        <w:ind w:left="450" w:hanging="450"/>
        <w:jc w:val="both"/>
      </w:pPr>
      <w:r w:rsidRPr="006E181D">
        <w:rPr>
          <w:b/>
          <w:bCs/>
        </w:rPr>
        <w:t>Board Level:</w:t>
      </w:r>
      <w:r w:rsidRPr="006E181D">
        <w:t> Minutes of Board Meetings (BM) are crucial for decision-making and regulatory compliance.</w:t>
      </w:r>
    </w:p>
    <w:p w:rsidR="000720F3" w:rsidRPr="006E181D" w:rsidRDefault="000720F3" w:rsidP="00CB57D4">
      <w:pPr>
        <w:numPr>
          <w:ilvl w:val="0"/>
          <w:numId w:val="8"/>
        </w:numPr>
        <w:tabs>
          <w:tab w:val="clear" w:pos="720"/>
        </w:tabs>
        <w:spacing w:after="0"/>
        <w:ind w:left="450" w:hanging="450"/>
        <w:jc w:val="both"/>
      </w:pPr>
      <w:r w:rsidRPr="006E181D">
        <w:rPr>
          <w:b/>
          <w:bCs/>
        </w:rPr>
        <w:t>Shareholder Level:</w:t>
      </w:r>
      <w:r w:rsidRPr="006E181D">
        <w:t> General Meeting Minutes (AGM/EGM) record decisions affecting shareholders' interests.</w:t>
      </w:r>
    </w:p>
    <w:p w:rsidR="000720F3" w:rsidRDefault="000720F3" w:rsidP="00CB57D4">
      <w:pPr>
        <w:numPr>
          <w:ilvl w:val="0"/>
          <w:numId w:val="8"/>
        </w:numPr>
        <w:tabs>
          <w:tab w:val="clear" w:pos="720"/>
        </w:tabs>
        <w:spacing w:after="0"/>
        <w:ind w:left="450" w:hanging="450"/>
        <w:jc w:val="both"/>
      </w:pPr>
      <w:r w:rsidRPr="006E181D">
        <w:rPr>
          <w:b/>
          <w:bCs/>
        </w:rPr>
        <w:t>Committee Level:</w:t>
      </w:r>
      <w:r w:rsidRPr="006E181D">
        <w:t> Minutes of committees (like Audit Committee, CSR Committee) as per requirement.</w:t>
      </w:r>
    </w:p>
    <w:p w:rsidR="000720F3" w:rsidRPr="00D76862" w:rsidRDefault="000720F3" w:rsidP="00D76862">
      <w:pPr>
        <w:spacing w:after="0"/>
        <w:jc w:val="both"/>
        <w:rPr>
          <w:b/>
          <w:sz w:val="28"/>
          <w:szCs w:val="28"/>
        </w:rPr>
      </w:pPr>
      <w:r w:rsidRPr="00D76862">
        <w:rPr>
          <w:b/>
          <w:sz w:val="28"/>
          <w:szCs w:val="28"/>
        </w:rPr>
        <w:t>Proper documentation of these helps avoid:</w:t>
      </w:r>
    </w:p>
    <w:p w:rsidR="000720F3" w:rsidRPr="006E181D" w:rsidRDefault="000720F3" w:rsidP="00CB57D4">
      <w:pPr>
        <w:numPr>
          <w:ilvl w:val="0"/>
          <w:numId w:val="9"/>
        </w:numPr>
        <w:tabs>
          <w:tab w:val="clear" w:pos="720"/>
        </w:tabs>
        <w:spacing w:after="0"/>
        <w:ind w:left="450" w:hanging="450"/>
        <w:jc w:val="both"/>
      </w:pPr>
      <w:r w:rsidRPr="006E181D">
        <w:t>Legal disputes</w:t>
      </w:r>
    </w:p>
    <w:p w:rsidR="000720F3" w:rsidRPr="006E181D" w:rsidRDefault="000720F3" w:rsidP="00CB57D4">
      <w:pPr>
        <w:numPr>
          <w:ilvl w:val="0"/>
          <w:numId w:val="9"/>
        </w:numPr>
        <w:tabs>
          <w:tab w:val="clear" w:pos="720"/>
        </w:tabs>
        <w:spacing w:after="0"/>
        <w:ind w:left="450" w:hanging="450"/>
        <w:jc w:val="both"/>
      </w:pPr>
      <w:r w:rsidRPr="006E181D">
        <w:t>Regulatory penalties</w:t>
      </w:r>
    </w:p>
    <w:p w:rsidR="000720F3" w:rsidRPr="006E181D" w:rsidRDefault="000720F3" w:rsidP="00CB57D4">
      <w:pPr>
        <w:numPr>
          <w:ilvl w:val="0"/>
          <w:numId w:val="9"/>
        </w:numPr>
        <w:tabs>
          <w:tab w:val="clear" w:pos="720"/>
        </w:tabs>
        <w:spacing w:after="0"/>
        <w:ind w:left="450" w:hanging="450"/>
        <w:jc w:val="both"/>
      </w:pPr>
      <w:r w:rsidRPr="006E181D">
        <w:t>Non-compliance issues during audits or inspections</w:t>
      </w:r>
    </w:p>
    <w:p w:rsidR="00DA7ABE" w:rsidRDefault="00DA7ABE" w:rsidP="00DA7ABE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DA7ABE" w:rsidRPr="006E181D" w:rsidRDefault="00DA7ABE" w:rsidP="00DA7ABE">
      <w:pPr>
        <w:spacing w:after="0"/>
        <w:jc w:val="both"/>
        <w:rPr>
          <w:b/>
          <w:bCs/>
        </w:rPr>
      </w:pPr>
      <w:r w:rsidRPr="006E181D">
        <w:rPr>
          <w:rFonts w:ascii="Segoe UI Emoji" w:hAnsi="Segoe UI Emoji" w:cs="Segoe UI Emoji"/>
          <w:b/>
          <w:bCs/>
        </w:rPr>
        <w:t>⚖️</w:t>
      </w:r>
      <w:r w:rsidRPr="006E181D">
        <w:rPr>
          <w:b/>
          <w:bCs/>
        </w:rPr>
        <w:t xml:space="preserve"> </w:t>
      </w:r>
      <w:r w:rsidRPr="006E181D">
        <w:rPr>
          <w:b/>
          <w:bCs/>
          <w:sz w:val="32"/>
          <w:szCs w:val="32"/>
          <w:u w:val="single"/>
        </w:rPr>
        <w:t>Legal Provisions under the Companies Act, 2013</w:t>
      </w:r>
    </w:p>
    <w:p w:rsidR="00DA7ABE" w:rsidRPr="006E181D" w:rsidRDefault="00DA7ABE" w:rsidP="00DA7ABE">
      <w:pPr>
        <w:numPr>
          <w:ilvl w:val="0"/>
          <w:numId w:val="6"/>
        </w:numPr>
        <w:tabs>
          <w:tab w:val="clear" w:pos="720"/>
        </w:tabs>
        <w:spacing w:after="0"/>
        <w:ind w:left="450" w:hanging="450"/>
        <w:jc w:val="both"/>
      </w:pPr>
      <w:r w:rsidRPr="006E181D">
        <w:rPr>
          <w:b/>
          <w:bCs/>
        </w:rPr>
        <w:t>Section 118</w:t>
      </w:r>
      <w:r w:rsidRPr="006E181D">
        <w:t xml:space="preserve"> – Deals with </w:t>
      </w:r>
      <w:r w:rsidRPr="006E181D">
        <w:rPr>
          <w:b/>
          <w:bCs/>
        </w:rPr>
        <w:t>minutes of proceedings</w:t>
      </w:r>
      <w:r w:rsidRPr="006E181D">
        <w:t xml:space="preserve"> of general meetings, board meetings, and resolutions.</w:t>
      </w:r>
    </w:p>
    <w:p w:rsidR="00DA7ABE" w:rsidRPr="006E181D" w:rsidRDefault="00DA7ABE" w:rsidP="00DA7ABE">
      <w:pPr>
        <w:numPr>
          <w:ilvl w:val="0"/>
          <w:numId w:val="6"/>
        </w:numPr>
        <w:tabs>
          <w:tab w:val="clear" w:pos="720"/>
        </w:tabs>
        <w:spacing w:after="0"/>
        <w:ind w:left="450" w:hanging="450"/>
        <w:jc w:val="both"/>
      </w:pPr>
      <w:r w:rsidRPr="006E181D">
        <w:rPr>
          <w:b/>
          <w:bCs/>
        </w:rPr>
        <w:t>Section 179</w:t>
      </w:r>
      <w:r w:rsidRPr="006E181D">
        <w:t xml:space="preserve"> – Covers the </w:t>
      </w:r>
      <w:r w:rsidRPr="006E181D">
        <w:rPr>
          <w:b/>
          <w:bCs/>
        </w:rPr>
        <w:t>powers of the Board</w:t>
      </w:r>
      <w:r w:rsidRPr="006E181D">
        <w:t xml:space="preserve"> and authorisation of key decisions via resolutions.</w:t>
      </w:r>
    </w:p>
    <w:p w:rsidR="00DA7ABE" w:rsidRPr="006E181D" w:rsidRDefault="00DA7ABE" w:rsidP="00DA7ABE">
      <w:pPr>
        <w:numPr>
          <w:ilvl w:val="0"/>
          <w:numId w:val="6"/>
        </w:numPr>
        <w:tabs>
          <w:tab w:val="clear" w:pos="720"/>
        </w:tabs>
        <w:spacing w:after="0"/>
        <w:ind w:left="450" w:hanging="450"/>
        <w:jc w:val="both"/>
      </w:pPr>
      <w:r w:rsidRPr="006E181D">
        <w:rPr>
          <w:b/>
          <w:bCs/>
        </w:rPr>
        <w:t>Rule 25 &amp; 26 of Companies (Management &amp; Administration) Rules, 2014</w:t>
      </w:r>
      <w:r w:rsidRPr="006E181D">
        <w:t xml:space="preserve"> – Specify the manner of maintenance and signing of minutes.</w:t>
      </w:r>
    </w:p>
    <w:p w:rsidR="000720F3" w:rsidRPr="006E181D" w:rsidRDefault="000720F3" w:rsidP="00D76862">
      <w:pPr>
        <w:spacing w:after="0"/>
        <w:jc w:val="both"/>
        <w:rPr>
          <w:b/>
          <w:bCs/>
          <w:sz w:val="28"/>
          <w:szCs w:val="28"/>
        </w:rPr>
      </w:pPr>
      <w:r w:rsidRPr="006E181D">
        <w:rPr>
          <w:rFonts w:ascii="Segoe UI Emoji" w:hAnsi="Segoe UI Emoji" w:cs="Segoe UI Emoji"/>
          <w:b/>
          <w:bCs/>
        </w:rPr>
        <w:lastRenderedPageBreak/>
        <w:t>🧾</w:t>
      </w:r>
      <w:r w:rsidRPr="006E181D">
        <w:rPr>
          <w:b/>
          <w:bCs/>
        </w:rPr>
        <w:t> </w:t>
      </w:r>
      <w:r w:rsidRPr="006E181D">
        <w:rPr>
          <w:b/>
          <w:bCs/>
          <w:sz w:val="28"/>
          <w:szCs w:val="28"/>
        </w:rPr>
        <w:t>Types of Resolutions</w:t>
      </w:r>
    </w:p>
    <w:p w:rsidR="000720F3" w:rsidRPr="006E181D" w:rsidRDefault="000720F3" w:rsidP="00D76862">
      <w:pPr>
        <w:spacing w:after="0"/>
        <w:jc w:val="both"/>
      </w:pPr>
      <w:r w:rsidRPr="006E181D">
        <w:t>Depending on the nature of the decision, resolutions can be of the following types:</w:t>
      </w:r>
    </w:p>
    <w:p w:rsidR="00D76862" w:rsidRPr="00DA7ABE" w:rsidRDefault="000720F3" w:rsidP="00D76862">
      <w:pPr>
        <w:numPr>
          <w:ilvl w:val="0"/>
          <w:numId w:val="3"/>
        </w:numPr>
        <w:tabs>
          <w:tab w:val="clear" w:pos="720"/>
          <w:tab w:val="num" w:pos="450"/>
        </w:tabs>
        <w:spacing w:after="0"/>
        <w:ind w:left="450" w:hanging="450"/>
        <w:jc w:val="both"/>
        <w:rPr>
          <w:sz w:val="28"/>
        </w:rPr>
      </w:pPr>
      <w:r w:rsidRPr="00DA7ABE">
        <w:rPr>
          <w:b/>
          <w:bCs/>
          <w:sz w:val="28"/>
        </w:rPr>
        <w:t>Board Resolutions</w:t>
      </w:r>
    </w:p>
    <w:p w:rsidR="000720F3" w:rsidRPr="006E181D" w:rsidRDefault="000720F3" w:rsidP="00D76862">
      <w:pPr>
        <w:tabs>
          <w:tab w:val="num" w:pos="450"/>
        </w:tabs>
        <w:spacing w:after="0"/>
        <w:ind w:left="450" w:hanging="450"/>
        <w:jc w:val="both"/>
      </w:pPr>
      <w:r w:rsidRPr="006E181D">
        <w:t>Passed by the Board of Directors for routine or operational decisions, such as:</w:t>
      </w:r>
    </w:p>
    <w:p w:rsidR="000720F3" w:rsidRPr="006E181D" w:rsidRDefault="000720F3" w:rsidP="00D76862">
      <w:pPr>
        <w:numPr>
          <w:ilvl w:val="1"/>
          <w:numId w:val="3"/>
        </w:numPr>
        <w:tabs>
          <w:tab w:val="clear" w:pos="1440"/>
          <w:tab w:val="num" w:pos="450"/>
        </w:tabs>
        <w:spacing w:after="0"/>
        <w:ind w:left="450" w:hanging="450"/>
        <w:jc w:val="both"/>
      </w:pPr>
      <w:r w:rsidRPr="006E181D">
        <w:t>Appointment or resignation of directors</w:t>
      </w:r>
    </w:p>
    <w:p w:rsidR="000720F3" w:rsidRPr="006E181D" w:rsidRDefault="000720F3" w:rsidP="00D76862">
      <w:pPr>
        <w:numPr>
          <w:ilvl w:val="1"/>
          <w:numId w:val="3"/>
        </w:numPr>
        <w:tabs>
          <w:tab w:val="clear" w:pos="1440"/>
          <w:tab w:val="num" w:pos="450"/>
        </w:tabs>
        <w:spacing w:after="0"/>
        <w:ind w:left="450" w:hanging="450"/>
        <w:jc w:val="both"/>
      </w:pPr>
      <w:r w:rsidRPr="006E181D">
        <w:t>Opening bank accounts</w:t>
      </w:r>
    </w:p>
    <w:p w:rsidR="000720F3" w:rsidRPr="006E181D" w:rsidRDefault="000720F3" w:rsidP="00D76862">
      <w:pPr>
        <w:numPr>
          <w:ilvl w:val="1"/>
          <w:numId w:val="3"/>
        </w:numPr>
        <w:tabs>
          <w:tab w:val="clear" w:pos="1440"/>
          <w:tab w:val="num" w:pos="450"/>
        </w:tabs>
        <w:spacing w:after="0"/>
        <w:ind w:left="450" w:hanging="450"/>
        <w:jc w:val="both"/>
      </w:pPr>
      <w:r w:rsidRPr="006E181D">
        <w:t>Approval of financial statements</w:t>
      </w:r>
    </w:p>
    <w:p w:rsidR="000720F3" w:rsidRDefault="000720F3" w:rsidP="00D76862">
      <w:pPr>
        <w:numPr>
          <w:ilvl w:val="1"/>
          <w:numId w:val="3"/>
        </w:numPr>
        <w:tabs>
          <w:tab w:val="clear" w:pos="1440"/>
          <w:tab w:val="num" w:pos="450"/>
        </w:tabs>
        <w:spacing w:after="0"/>
        <w:ind w:left="450" w:hanging="450"/>
        <w:jc w:val="both"/>
      </w:pPr>
      <w:r w:rsidRPr="006E181D">
        <w:t>Allotment of shares</w:t>
      </w:r>
    </w:p>
    <w:p w:rsidR="00DA7ABE" w:rsidRPr="006E181D" w:rsidRDefault="00DA7ABE" w:rsidP="00DA7ABE">
      <w:pPr>
        <w:spacing w:after="0"/>
        <w:ind w:left="450"/>
        <w:jc w:val="both"/>
      </w:pPr>
    </w:p>
    <w:p w:rsidR="00D76862" w:rsidRPr="00DA7ABE" w:rsidRDefault="000720F3" w:rsidP="00D76862">
      <w:pPr>
        <w:numPr>
          <w:ilvl w:val="0"/>
          <w:numId w:val="3"/>
        </w:numPr>
        <w:tabs>
          <w:tab w:val="clear" w:pos="720"/>
          <w:tab w:val="num" w:pos="450"/>
        </w:tabs>
        <w:spacing w:after="0"/>
        <w:ind w:left="450" w:hanging="450"/>
        <w:jc w:val="both"/>
        <w:rPr>
          <w:sz w:val="28"/>
        </w:rPr>
      </w:pPr>
      <w:r w:rsidRPr="00DA7ABE">
        <w:rPr>
          <w:b/>
          <w:bCs/>
          <w:sz w:val="28"/>
        </w:rPr>
        <w:t>Shareholder Resolutions (Members' Resolutions)</w:t>
      </w:r>
    </w:p>
    <w:p w:rsidR="000720F3" w:rsidRPr="006E181D" w:rsidRDefault="000720F3" w:rsidP="00D76862">
      <w:pPr>
        <w:tabs>
          <w:tab w:val="num" w:pos="450"/>
        </w:tabs>
        <w:spacing w:after="0"/>
        <w:ind w:left="450" w:hanging="450"/>
        <w:jc w:val="both"/>
      </w:pPr>
      <w:r w:rsidRPr="006E181D">
        <w:t>Passed by shareholders at general meetings, they include:</w:t>
      </w:r>
    </w:p>
    <w:p w:rsidR="000720F3" w:rsidRPr="006E181D" w:rsidRDefault="000720F3" w:rsidP="00D76862">
      <w:pPr>
        <w:numPr>
          <w:ilvl w:val="1"/>
          <w:numId w:val="3"/>
        </w:numPr>
        <w:tabs>
          <w:tab w:val="clear" w:pos="1440"/>
          <w:tab w:val="num" w:pos="450"/>
        </w:tabs>
        <w:spacing w:after="0"/>
        <w:ind w:left="450" w:hanging="450"/>
        <w:jc w:val="both"/>
      </w:pPr>
      <w:r w:rsidRPr="006E181D">
        <w:t>Appointment or removal of directors/auditors</w:t>
      </w:r>
    </w:p>
    <w:p w:rsidR="000720F3" w:rsidRPr="006E181D" w:rsidRDefault="000720F3" w:rsidP="00D76862">
      <w:pPr>
        <w:numPr>
          <w:ilvl w:val="1"/>
          <w:numId w:val="3"/>
        </w:numPr>
        <w:tabs>
          <w:tab w:val="clear" w:pos="1440"/>
          <w:tab w:val="num" w:pos="450"/>
        </w:tabs>
        <w:spacing w:after="0"/>
        <w:ind w:left="450" w:hanging="450"/>
        <w:jc w:val="both"/>
      </w:pPr>
      <w:r w:rsidRPr="006E181D">
        <w:t>Alteration of MOA/AOA</w:t>
      </w:r>
    </w:p>
    <w:p w:rsidR="000720F3" w:rsidRPr="006E181D" w:rsidRDefault="000720F3" w:rsidP="00D76862">
      <w:pPr>
        <w:numPr>
          <w:ilvl w:val="1"/>
          <w:numId w:val="3"/>
        </w:numPr>
        <w:tabs>
          <w:tab w:val="clear" w:pos="1440"/>
          <w:tab w:val="num" w:pos="450"/>
        </w:tabs>
        <w:spacing w:after="0"/>
        <w:ind w:left="450" w:hanging="450"/>
        <w:jc w:val="both"/>
      </w:pPr>
      <w:r w:rsidRPr="006E181D">
        <w:t>Change of company name or registered office</w:t>
      </w:r>
    </w:p>
    <w:p w:rsidR="000720F3" w:rsidRDefault="000720F3" w:rsidP="00D76862">
      <w:pPr>
        <w:numPr>
          <w:ilvl w:val="1"/>
          <w:numId w:val="3"/>
        </w:numPr>
        <w:tabs>
          <w:tab w:val="clear" w:pos="1440"/>
          <w:tab w:val="num" w:pos="450"/>
        </w:tabs>
        <w:spacing w:after="0"/>
        <w:ind w:left="450" w:hanging="450"/>
        <w:jc w:val="both"/>
      </w:pPr>
      <w:r w:rsidRPr="006E181D">
        <w:t>Voluntary winding up</w:t>
      </w:r>
    </w:p>
    <w:p w:rsidR="00DA7ABE" w:rsidRPr="006E181D" w:rsidRDefault="00DA7ABE" w:rsidP="00DA7ABE">
      <w:pPr>
        <w:spacing w:after="0"/>
        <w:ind w:left="450"/>
        <w:jc w:val="both"/>
      </w:pPr>
    </w:p>
    <w:p w:rsidR="00D76862" w:rsidRPr="00DA7ABE" w:rsidRDefault="000720F3" w:rsidP="00D76862">
      <w:pPr>
        <w:numPr>
          <w:ilvl w:val="0"/>
          <w:numId w:val="3"/>
        </w:numPr>
        <w:tabs>
          <w:tab w:val="clear" w:pos="720"/>
          <w:tab w:val="num" w:pos="450"/>
        </w:tabs>
        <w:spacing w:after="0"/>
        <w:ind w:left="450" w:hanging="450"/>
        <w:jc w:val="both"/>
        <w:rPr>
          <w:sz w:val="28"/>
        </w:rPr>
      </w:pPr>
      <w:r w:rsidRPr="00DA7ABE">
        <w:rPr>
          <w:b/>
          <w:bCs/>
          <w:sz w:val="28"/>
        </w:rPr>
        <w:t>Ordinary Resolution</w:t>
      </w:r>
    </w:p>
    <w:p w:rsidR="000720F3" w:rsidRDefault="000720F3" w:rsidP="00D76862">
      <w:pPr>
        <w:tabs>
          <w:tab w:val="num" w:pos="450"/>
        </w:tabs>
        <w:spacing w:after="0"/>
        <w:ind w:left="450" w:hanging="450"/>
        <w:jc w:val="both"/>
      </w:pPr>
      <w:proofErr w:type="gramStart"/>
      <w:r w:rsidRPr="006E181D">
        <w:t>Requires a simple majority.</w:t>
      </w:r>
      <w:proofErr w:type="gramEnd"/>
      <w:r w:rsidRPr="006E181D">
        <w:t xml:space="preserve"> Used for regular decisions.</w:t>
      </w:r>
    </w:p>
    <w:p w:rsidR="00DA7ABE" w:rsidRPr="006E181D" w:rsidRDefault="00DA7ABE" w:rsidP="00D76862">
      <w:pPr>
        <w:tabs>
          <w:tab w:val="num" w:pos="450"/>
        </w:tabs>
        <w:spacing w:after="0"/>
        <w:ind w:left="450" w:hanging="450"/>
        <w:jc w:val="both"/>
      </w:pPr>
    </w:p>
    <w:p w:rsidR="00D76862" w:rsidRPr="00DA7ABE" w:rsidRDefault="000720F3" w:rsidP="00D76862">
      <w:pPr>
        <w:numPr>
          <w:ilvl w:val="0"/>
          <w:numId w:val="3"/>
        </w:numPr>
        <w:tabs>
          <w:tab w:val="clear" w:pos="720"/>
          <w:tab w:val="num" w:pos="450"/>
        </w:tabs>
        <w:spacing w:after="0"/>
        <w:ind w:left="450" w:hanging="450"/>
        <w:jc w:val="both"/>
        <w:rPr>
          <w:sz w:val="28"/>
        </w:rPr>
      </w:pPr>
      <w:r w:rsidRPr="00DA7ABE">
        <w:rPr>
          <w:b/>
          <w:bCs/>
          <w:sz w:val="28"/>
        </w:rPr>
        <w:t>Special Resolution</w:t>
      </w:r>
    </w:p>
    <w:p w:rsidR="00DA7ABE" w:rsidRDefault="000720F3" w:rsidP="00D76862">
      <w:pPr>
        <w:tabs>
          <w:tab w:val="num" w:pos="450"/>
        </w:tabs>
        <w:spacing w:after="0"/>
        <w:ind w:left="450" w:hanging="450"/>
        <w:jc w:val="both"/>
      </w:pPr>
      <w:proofErr w:type="gramStart"/>
      <w:r w:rsidRPr="006E181D">
        <w:t>Requires at least 75% majority.</w:t>
      </w:r>
      <w:proofErr w:type="gramEnd"/>
      <w:r w:rsidRPr="006E181D">
        <w:t xml:space="preserve"> Used for critical decisions (e.g., a</w:t>
      </w:r>
      <w:r w:rsidR="00DA7ABE">
        <w:t>lteration in capital structure,</w:t>
      </w:r>
    </w:p>
    <w:p w:rsidR="000720F3" w:rsidRDefault="000720F3" w:rsidP="00D76862">
      <w:pPr>
        <w:tabs>
          <w:tab w:val="num" w:pos="450"/>
        </w:tabs>
        <w:spacing w:after="0"/>
        <w:ind w:left="450" w:hanging="450"/>
        <w:jc w:val="both"/>
      </w:pPr>
      <w:proofErr w:type="gramStart"/>
      <w:r w:rsidRPr="006E181D">
        <w:t>mergers</w:t>
      </w:r>
      <w:proofErr w:type="gramEnd"/>
      <w:r w:rsidRPr="006E181D">
        <w:t>, etc.).</w:t>
      </w:r>
    </w:p>
    <w:p w:rsidR="00DA7ABE" w:rsidRPr="006E181D" w:rsidRDefault="00DA7ABE" w:rsidP="00D76862">
      <w:pPr>
        <w:tabs>
          <w:tab w:val="num" w:pos="450"/>
        </w:tabs>
        <w:spacing w:after="0"/>
        <w:ind w:left="450" w:hanging="450"/>
        <w:jc w:val="both"/>
      </w:pPr>
    </w:p>
    <w:p w:rsidR="00D76862" w:rsidRPr="00DA7ABE" w:rsidRDefault="000720F3" w:rsidP="00D76862">
      <w:pPr>
        <w:numPr>
          <w:ilvl w:val="0"/>
          <w:numId w:val="3"/>
        </w:numPr>
        <w:tabs>
          <w:tab w:val="clear" w:pos="720"/>
          <w:tab w:val="num" w:pos="450"/>
        </w:tabs>
        <w:spacing w:after="0"/>
        <w:ind w:left="450" w:hanging="450"/>
        <w:jc w:val="both"/>
        <w:rPr>
          <w:sz w:val="28"/>
        </w:rPr>
      </w:pPr>
      <w:r w:rsidRPr="00DA7ABE">
        <w:rPr>
          <w:b/>
          <w:bCs/>
          <w:sz w:val="28"/>
        </w:rPr>
        <w:t>Resolutions by Circulation</w:t>
      </w:r>
    </w:p>
    <w:p w:rsidR="000720F3" w:rsidRPr="006E181D" w:rsidRDefault="000720F3" w:rsidP="00D76862">
      <w:pPr>
        <w:tabs>
          <w:tab w:val="num" w:pos="450"/>
        </w:tabs>
        <w:spacing w:after="0"/>
        <w:ind w:left="450" w:hanging="450"/>
        <w:jc w:val="both"/>
      </w:pPr>
      <w:proofErr w:type="gramStart"/>
      <w:r w:rsidRPr="006E181D">
        <w:t>Passed without a physical meeting, sent to all directors for approval.</w:t>
      </w:r>
      <w:proofErr w:type="gramEnd"/>
    </w:p>
    <w:p w:rsidR="000720F3" w:rsidRDefault="000720F3" w:rsidP="00D7686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0720F3" w:rsidRPr="006E181D" w:rsidRDefault="000720F3" w:rsidP="00D76862">
      <w:pPr>
        <w:jc w:val="both"/>
      </w:pPr>
    </w:p>
    <w:p w:rsidR="000720F3" w:rsidRPr="006E181D" w:rsidRDefault="000720F3" w:rsidP="00D76862">
      <w:pPr>
        <w:spacing w:after="0"/>
        <w:jc w:val="both"/>
        <w:rPr>
          <w:b/>
          <w:bCs/>
        </w:rPr>
      </w:pPr>
      <w:r w:rsidRPr="006E181D">
        <w:rPr>
          <w:rFonts w:ascii="Segoe UI Emoji" w:hAnsi="Segoe UI Emoji" w:cs="Segoe UI Emoji"/>
          <w:b/>
          <w:bCs/>
        </w:rPr>
        <w:t>❗</w:t>
      </w:r>
      <w:r w:rsidRPr="006E181D">
        <w:rPr>
          <w:b/>
          <w:bCs/>
        </w:rPr>
        <w:t xml:space="preserve"> </w:t>
      </w:r>
      <w:r w:rsidRPr="006E181D">
        <w:rPr>
          <w:b/>
          <w:bCs/>
          <w:sz w:val="28"/>
          <w:szCs w:val="28"/>
        </w:rPr>
        <w:t>Penalties for Non-Compliance</w:t>
      </w:r>
    </w:p>
    <w:p w:rsidR="000720F3" w:rsidRPr="006E181D" w:rsidRDefault="000720F3" w:rsidP="00D76862">
      <w:pPr>
        <w:spacing w:after="0"/>
        <w:jc w:val="both"/>
      </w:pPr>
      <w:r w:rsidRPr="006E181D">
        <w:t>Failure to maintain or sign minutes properly may lead to: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rPr>
          <w:b/>
          <w:bCs/>
        </w:rPr>
        <w:t>Penalty up to ₹25,000 for the company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rPr>
          <w:b/>
          <w:bCs/>
        </w:rPr>
        <w:t>₹5,000 per officer in default (including directors/CS)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 xml:space="preserve">MCA may consider it as a case of </w:t>
      </w:r>
      <w:r w:rsidRPr="006E181D">
        <w:rPr>
          <w:i/>
          <w:iCs/>
        </w:rPr>
        <w:t>mismanagement or suppression of records</w:t>
      </w:r>
    </w:p>
    <w:p w:rsidR="000720F3" w:rsidRDefault="000720F3" w:rsidP="00D76862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  <w:r w:rsidRPr="006E181D">
        <w:t>Auditor or regulatory disqualification</w:t>
      </w:r>
    </w:p>
    <w:p w:rsidR="000720F3" w:rsidRDefault="000720F3" w:rsidP="00D76862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  <w:bookmarkStart w:id="0" w:name="_GoBack"/>
      <w:bookmarkEnd w:id="0"/>
    </w:p>
    <w:p w:rsidR="00457A9E" w:rsidRDefault="00457A9E" w:rsidP="00D76862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457A9E" w:rsidRDefault="00457A9E" w:rsidP="00D76862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0720F3" w:rsidRDefault="000720F3" w:rsidP="00D76862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0720F3" w:rsidRPr="006E181D" w:rsidRDefault="000720F3" w:rsidP="00D76862">
      <w:pPr>
        <w:shd w:val="clear" w:color="auto" w:fill="FFFFFF" w:themeFill="background1"/>
        <w:spacing w:after="0"/>
        <w:jc w:val="both"/>
        <w:rPr>
          <w:b/>
          <w:bCs/>
          <w:sz w:val="28"/>
          <w:szCs w:val="28"/>
        </w:rPr>
      </w:pPr>
      <w:r w:rsidRPr="006E181D">
        <w:rPr>
          <w:rFonts w:ascii="Segoe UI Emoji" w:hAnsi="Segoe UI Emoji" w:cs="Segoe UI Emoji"/>
          <w:b/>
          <w:bCs/>
          <w:sz w:val="28"/>
          <w:szCs w:val="28"/>
        </w:rPr>
        <w:lastRenderedPageBreak/>
        <w:t>⏳</w:t>
      </w:r>
      <w:r w:rsidRPr="006E181D">
        <w:rPr>
          <w:b/>
          <w:bCs/>
          <w:sz w:val="28"/>
          <w:szCs w:val="28"/>
        </w:rPr>
        <w:t xml:space="preserve"> Timelines &amp; Maintenance Requirements</w:t>
      </w: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2718"/>
        <w:gridCol w:w="2340"/>
        <w:gridCol w:w="2970"/>
        <w:gridCol w:w="1818"/>
      </w:tblGrid>
      <w:tr w:rsidR="000720F3" w:rsidRPr="006E181D" w:rsidTr="00457A9E">
        <w:tc>
          <w:tcPr>
            <w:tcW w:w="2718" w:type="dxa"/>
            <w:shd w:val="clear" w:color="auto" w:fill="D9E2F3" w:themeFill="accent5" w:themeFillTint="33"/>
            <w:hideMark/>
          </w:tcPr>
          <w:p w:rsidR="000720F3" w:rsidRPr="00457A9E" w:rsidRDefault="000720F3" w:rsidP="00D76862">
            <w:pPr>
              <w:shd w:val="clear" w:color="auto" w:fill="4472C4" w:themeFill="accent5"/>
              <w:jc w:val="both"/>
              <w:rPr>
                <w:b/>
                <w:bCs/>
                <w:color w:val="FFFFFF" w:themeColor="background1"/>
              </w:rPr>
            </w:pPr>
            <w:r w:rsidRPr="00457A9E">
              <w:rPr>
                <w:b/>
                <w:bCs/>
                <w:color w:val="FFFFFF" w:themeColor="background1"/>
              </w:rPr>
              <w:t>Document</w:t>
            </w:r>
          </w:p>
        </w:tc>
        <w:tc>
          <w:tcPr>
            <w:tcW w:w="2340" w:type="dxa"/>
            <w:shd w:val="clear" w:color="auto" w:fill="D9E2F3" w:themeFill="accent5" w:themeFillTint="33"/>
            <w:hideMark/>
          </w:tcPr>
          <w:p w:rsidR="000720F3" w:rsidRPr="00457A9E" w:rsidRDefault="000720F3" w:rsidP="00D76862">
            <w:pPr>
              <w:shd w:val="clear" w:color="auto" w:fill="4472C4" w:themeFill="accent5"/>
              <w:jc w:val="both"/>
              <w:rPr>
                <w:b/>
                <w:bCs/>
                <w:color w:val="FFFFFF" w:themeColor="background1"/>
              </w:rPr>
            </w:pPr>
            <w:r w:rsidRPr="00457A9E">
              <w:rPr>
                <w:b/>
                <w:bCs/>
                <w:color w:val="FFFFFF" w:themeColor="background1"/>
              </w:rPr>
              <w:t>Timeline for Preparation</w:t>
            </w:r>
          </w:p>
        </w:tc>
        <w:tc>
          <w:tcPr>
            <w:tcW w:w="2970" w:type="dxa"/>
            <w:shd w:val="clear" w:color="auto" w:fill="D9E2F3" w:themeFill="accent5" w:themeFillTint="33"/>
            <w:hideMark/>
          </w:tcPr>
          <w:p w:rsidR="000720F3" w:rsidRPr="00457A9E" w:rsidRDefault="000720F3" w:rsidP="00D76862">
            <w:pPr>
              <w:shd w:val="clear" w:color="auto" w:fill="4472C4" w:themeFill="accent5"/>
              <w:jc w:val="both"/>
              <w:rPr>
                <w:b/>
                <w:bCs/>
                <w:color w:val="FFFFFF" w:themeColor="background1"/>
              </w:rPr>
            </w:pPr>
            <w:r w:rsidRPr="00457A9E">
              <w:rPr>
                <w:b/>
                <w:bCs/>
                <w:color w:val="FFFFFF" w:themeColor="background1"/>
              </w:rPr>
              <w:t>Signing Authority</w:t>
            </w:r>
          </w:p>
        </w:tc>
        <w:tc>
          <w:tcPr>
            <w:tcW w:w="1818" w:type="dxa"/>
            <w:shd w:val="clear" w:color="auto" w:fill="D9E2F3" w:themeFill="accent5" w:themeFillTint="33"/>
            <w:hideMark/>
          </w:tcPr>
          <w:p w:rsidR="000720F3" w:rsidRPr="00457A9E" w:rsidRDefault="000720F3" w:rsidP="00D76862">
            <w:pPr>
              <w:shd w:val="clear" w:color="auto" w:fill="4472C4" w:themeFill="accent5"/>
              <w:jc w:val="both"/>
              <w:rPr>
                <w:b/>
                <w:bCs/>
                <w:color w:val="FFFFFF" w:themeColor="background1"/>
              </w:rPr>
            </w:pPr>
            <w:r w:rsidRPr="00457A9E">
              <w:rPr>
                <w:b/>
                <w:bCs/>
                <w:color w:val="FFFFFF" w:themeColor="background1"/>
              </w:rPr>
              <w:t>Storage Requirement</w:t>
            </w:r>
          </w:p>
        </w:tc>
      </w:tr>
      <w:tr w:rsidR="000720F3" w:rsidRPr="006E181D" w:rsidTr="00457A9E">
        <w:tc>
          <w:tcPr>
            <w:tcW w:w="2718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Board Meeting Minutes</w:t>
            </w:r>
          </w:p>
        </w:tc>
        <w:tc>
          <w:tcPr>
            <w:tcW w:w="2340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Within 30 days of meeting</w:t>
            </w:r>
          </w:p>
        </w:tc>
        <w:tc>
          <w:tcPr>
            <w:tcW w:w="2970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Chairman of the meeting</w:t>
            </w:r>
          </w:p>
        </w:tc>
        <w:tc>
          <w:tcPr>
            <w:tcW w:w="1818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8 years (physical or electronic)</w:t>
            </w:r>
          </w:p>
        </w:tc>
      </w:tr>
      <w:tr w:rsidR="000720F3" w:rsidRPr="006E181D" w:rsidTr="00457A9E">
        <w:tc>
          <w:tcPr>
            <w:tcW w:w="2718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General Meeting Minutes</w:t>
            </w:r>
          </w:p>
        </w:tc>
        <w:tc>
          <w:tcPr>
            <w:tcW w:w="2340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Within 30 days of the meeting</w:t>
            </w:r>
          </w:p>
        </w:tc>
        <w:tc>
          <w:tcPr>
            <w:tcW w:w="2970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Chairman of the meeting</w:t>
            </w:r>
          </w:p>
        </w:tc>
        <w:tc>
          <w:tcPr>
            <w:tcW w:w="1818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Permanently</w:t>
            </w:r>
          </w:p>
        </w:tc>
      </w:tr>
      <w:tr w:rsidR="000720F3" w:rsidRPr="006E181D" w:rsidTr="00457A9E">
        <w:tc>
          <w:tcPr>
            <w:tcW w:w="2718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Committee Minutes</w:t>
            </w:r>
          </w:p>
        </w:tc>
        <w:tc>
          <w:tcPr>
            <w:tcW w:w="2340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Within 30 days of meeting</w:t>
            </w:r>
          </w:p>
        </w:tc>
        <w:tc>
          <w:tcPr>
            <w:tcW w:w="2970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Chairman of the committee</w:t>
            </w:r>
          </w:p>
        </w:tc>
        <w:tc>
          <w:tcPr>
            <w:tcW w:w="1818" w:type="dxa"/>
            <w:shd w:val="clear" w:color="auto" w:fill="D9E2F3" w:themeFill="accent5" w:themeFillTint="33"/>
            <w:hideMark/>
          </w:tcPr>
          <w:p w:rsidR="000720F3" w:rsidRPr="006E181D" w:rsidRDefault="000720F3" w:rsidP="00D76862">
            <w:pPr>
              <w:jc w:val="both"/>
            </w:pPr>
            <w:r w:rsidRPr="006E181D">
              <w:t>8 years</w:t>
            </w:r>
          </w:p>
        </w:tc>
      </w:tr>
    </w:tbl>
    <w:p w:rsidR="000720F3" w:rsidRDefault="000720F3" w:rsidP="00D7686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0720F3" w:rsidRPr="006E181D" w:rsidRDefault="000720F3" w:rsidP="00D76862">
      <w:pPr>
        <w:spacing w:after="0"/>
        <w:jc w:val="both"/>
        <w:rPr>
          <w:b/>
          <w:bCs/>
        </w:rPr>
      </w:pPr>
      <w:r w:rsidRPr="006E181D">
        <w:rPr>
          <w:rFonts w:ascii="Segoe UI Emoji" w:hAnsi="Segoe UI Emoji" w:cs="Segoe UI Emoji"/>
          <w:b/>
          <w:bCs/>
        </w:rPr>
        <w:t>🖋️</w:t>
      </w:r>
      <w:r w:rsidRPr="006E181D">
        <w:rPr>
          <w:b/>
          <w:bCs/>
          <w:sz w:val="28"/>
          <w:szCs w:val="28"/>
        </w:rPr>
        <w:t xml:space="preserve"> Format &amp; Key Contents of Minutes</w:t>
      </w:r>
    </w:p>
    <w:p w:rsidR="000720F3" w:rsidRPr="006E181D" w:rsidRDefault="000720F3" w:rsidP="00D76862">
      <w:pPr>
        <w:spacing w:after="0"/>
        <w:jc w:val="both"/>
      </w:pPr>
      <w:r w:rsidRPr="006E181D">
        <w:t>Well-drafted minutes should contain:</w:t>
      </w:r>
    </w:p>
    <w:p w:rsidR="000720F3" w:rsidRPr="006E181D" w:rsidRDefault="000720F3" w:rsidP="00D76862">
      <w:pPr>
        <w:numPr>
          <w:ilvl w:val="0"/>
          <w:numId w:val="7"/>
        </w:numPr>
        <w:spacing w:after="0"/>
        <w:jc w:val="both"/>
      </w:pPr>
      <w:r w:rsidRPr="006E181D">
        <w:t>Date, time, and venue of the meeting</w:t>
      </w:r>
    </w:p>
    <w:p w:rsidR="000720F3" w:rsidRPr="006E181D" w:rsidRDefault="000720F3" w:rsidP="00D76862">
      <w:pPr>
        <w:numPr>
          <w:ilvl w:val="0"/>
          <w:numId w:val="7"/>
        </w:numPr>
        <w:spacing w:after="0"/>
        <w:jc w:val="both"/>
      </w:pPr>
      <w:r w:rsidRPr="006E181D">
        <w:t>Names of present members and quorum status</w:t>
      </w:r>
    </w:p>
    <w:p w:rsidR="000720F3" w:rsidRPr="006E181D" w:rsidRDefault="000720F3" w:rsidP="00D76862">
      <w:pPr>
        <w:numPr>
          <w:ilvl w:val="0"/>
          <w:numId w:val="7"/>
        </w:numPr>
        <w:spacing w:after="0"/>
        <w:jc w:val="both"/>
      </w:pPr>
      <w:r w:rsidRPr="006E181D">
        <w:t>Agenda items discussed</w:t>
      </w:r>
    </w:p>
    <w:p w:rsidR="000720F3" w:rsidRPr="006E181D" w:rsidRDefault="000720F3" w:rsidP="00D76862">
      <w:pPr>
        <w:numPr>
          <w:ilvl w:val="0"/>
          <w:numId w:val="7"/>
        </w:numPr>
        <w:spacing w:after="0"/>
        <w:jc w:val="both"/>
      </w:pPr>
      <w:r w:rsidRPr="006E181D">
        <w:t>Summary of deliberations</w:t>
      </w:r>
    </w:p>
    <w:p w:rsidR="000720F3" w:rsidRPr="006E181D" w:rsidRDefault="000720F3" w:rsidP="00D76862">
      <w:pPr>
        <w:numPr>
          <w:ilvl w:val="0"/>
          <w:numId w:val="7"/>
        </w:numPr>
        <w:spacing w:after="0"/>
        <w:jc w:val="both"/>
      </w:pPr>
      <w:r w:rsidRPr="006E181D">
        <w:t>Exact resolution text passed</w:t>
      </w:r>
    </w:p>
    <w:p w:rsidR="000720F3" w:rsidRPr="006E181D" w:rsidRDefault="000720F3" w:rsidP="00D76862">
      <w:pPr>
        <w:numPr>
          <w:ilvl w:val="0"/>
          <w:numId w:val="7"/>
        </w:numPr>
        <w:spacing w:after="0"/>
        <w:jc w:val="both"/>
      </w:pPr>
      <w:r w:rsidRPr="006E181D">
        <w:t>Signature and date by Chairman</w:t>
      </w:r>
    </w:p>
    <w:p w:rsidR="000720F3" w:rsidRDefault="000720F3" w:rsidP="00D76862">
      <w:pPr>
        <w:spacing w:after="0"/>
        <w:jc w:val="both"/>
      </w:pPr>
      <w:r w:rsidRPr="006E181D">
        <w:t xml:space="preserve">We use </w:t>
      </w:r>
      <w:r w:rsidRPr="006E181D">
        <w:rPr>
          <w:b/>
          <w:bCs/>
        </w:rPr>
        <w:t>structured formats</w:t>
      </w:r>
      <w:r w:rsidRPr="006E181D">
        <w:t xml:space="preserve"> based on MCA and ICSI guidelines to m</w:t>
      </w:r>
      <w:r>
        <w:t>aintain quality and uniformity.</w:t>
      </w:r>
    </w:p>
    <w:p w:rsidR="00457A9E" w:rsidRDefault="00457A9E" w:rsidP="00D76862">
      <w:pPr>
        <w:spacing w:after="0"/>
        <w:jc w:val="both"/>
      </w:pPr>
    </w:p>
    <w:p w:rsidR="000720F3" w:rsidRPr="002006FA" w:rsidRDefault="000720F3" w:rsidP="00D76862">
      <w:pPr>
        <w:spacing w:after="0"/>
        <w:jc w:val="both"/>
      </w:pPr>
      <w:r w:rsidRPr="006E181D">
        <w:rPr>
          <w:rFonts w:ascii="Segoe UI Emoji" w:hAnsi="Segoe UI Emoji" w:cs="Segoe UI Emoji"/>
          <w:b/>
          <w:bCs/>
        </w:rPr>
        <w:t>💡</w:t>
      </w:r>
      <w:r w:rsidRPr="006E181D">
        <w:rPr>
          <w:b/>
          <w:bCs/>
        </w:rPr>
        <w:t xml:space="preserve"> </w:t>
      </w:r>
      <w:r w:rsidRPr="006E181D">
        <w:rPr>
          <w:b/>
          <w:bCs/>
          <w:sz w:val="28"/>
          <w:szCs w:val="28"/>
        </w:rPr>
        <w:t xml:space="preserve">Common Scenarios Where Resolutions are </w:t>
      </w:r>
      <w:proofErr w:type="gramStart"/>
      <w:r w:rsidRPr="006E181D">
        <w:rPr>
          <w:b/>
          <w:bCs/>
          <w:sz w:val="28"/>
          <w:szCs w:val="28"/>
        </w:rPr>
        <w:t>Required</w:t>
      </w:r>
      <w:proofErr w:type="gramEnd"/>
    </w:p>
    <w:p w:rsidR="000720F3" w:rsidRPr="006E181D" w:rsidRDefault="000720F3" w:rsidP="00D76862">
      <w:pPr>
        <w:spacing w:after="0"/>
        <w:jc w:val="both"/>
      </w:pPr>
      <w:r w:rsidRPr="006E181D">
        <w:t xml:space="preserve">Clients often overlook the need for formal resolutions. Here are </w:t>
      </w:r>
      <w:r w:rsidRPr="006E181D">
        <w:rPr>
          <w:b/>
          <w:bCs/>
        </w:rPr>
        <w:t>key decisions</w:t>
      </w:r>
      <w:r w:rsidRPr="006E181D">
        <w:t xml:space="preserve"> where resolutions are mandatory: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Appointment or change of directors or auditors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Issue or transfer of shares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Declaration of dividend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Borrowing money or giving loans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Buyback of shares or ESOP issuance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Related party transactions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Investment in other companies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Any alteration in MOA, AOA, or capital</w:t>
      </w:r>
    </w:p>
    <w:p w:rsidR="000720F3" w:rsidRDefault="000720F3" w:rsidP="00D76862">
      <w:pPr>
        <w:spacing w:after="0"/>
        <w:jc w:val="both"/>
      </w:pPr>
      <w:r w:rsidRPr="006E181D">
        <w:t>We help you identify when resolutions are legally necessary, and assist in drafting &amp; filing them properly.</w:t>
      </w:r>
    </w:p>
    <w:p w:rsidR="00457A9E" w:rsidRPr="006E181D" w:rsidRDefault="00457A9E" w:rsidP="00D76862">
      <w:pPr>
        <w:spacing w:after="0"/>
        <w:jc w:val="both"/>
      </w:pPr>
    </w:p>
    <w:p w:rsidR="000720F3" w:rsidRPr="006E181D" w:rsidRDefault="000720F3" w:rsidP="00D76862">
      <w:pPr>
        <w:spacing w:after="0"/>
        <w:jc w:val="both"/>
        <w:rPr>
          <w:b/>
          <w:bCs/>
        </w:rPr>
      </w:pPr>
      <w:r w:rsidRPr="006E181D">
        <w:rPr>
          <w:rFonts w:ascii="Segoe UI Emoji" w:hAnsi="Segoe UI Emoji" w:cs="Segoe UI Emoji"/>
          <w:b/>
          <w:bCs/>
        </w:rPr>
        <w:t>📑</w:t>
      </w:r>
      <w:r w:rsidRPr="006E181D">
        <w:rPr>
          <w:b/>
          <w:bCs/>
        </w:rPr>
        <w:t xml:space="preserve"> </w:t>
      </w:r>
      <w:r w:rsidRPr="006E181D">
        <w:rPr>
          <w:b/>
          <w:bCs/>
          <w:sz w:val="28"/>
          <w:szCs w:val="28"/>
        </w:rPr>
        <w:t>Digital Maintenance &amp; E-Documentation Support</w:t>
      </w:r>
    </w:p>
    <w:p w:rsidR="000720F3" w:rsidRPr="006E181D" w:rsidRDefault="000720F3" w:rsidP="00D76862">
      <w:pPr>
        <w:spacing w:after="0"/>
        <w:jc w:val="both"/>
      </w:pPr>
      <w:r w:rsidRPr="006E181D">
        <w:t>We also provide: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rPr>
          <w:b/>
          <w:bCs/>
        </w:rPr>
        <w:t>E-minute book maintenance</w:t>
      </w:r>
      <w:r w:rsidRPr="006E181D">
        <w:t xml:space="preserve"> as per the Companies (Amendment) Act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Board portal integration for easy access to minutes &amp; resolutions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 xml:space="preserve">Resolutions by </w:t>
      </w:r>
      <w:r w:rsidRPr="006E181D">
        <w:rPr>
          <w:i/>
          <w:iCs/>
        </w:rPr>
        <w:t>email circulation with digital consent tracking</w:t>
      </w:r>
    </w:p>
    <w:p w:rsidR="000720F3" w:rsidRPr="006E181D" w:rsidRDefault="000720F3" w:rsidP="00D76862">
      <w:pPr>
        <w:numPr>
          <w:ilvl w:val="0"/>
          <w:numId w:val="1"/>
        </w:numPr>
        <w:jc w:val="both"/>
      </w:pPr>
      <w:r w:rsidRPr="006E181D">
        <w:rPr>
          <w:i/>
          <w:iCs/>
        </w:rPr>
        <w:t>Cloud-based register and documentation</w:t>
      </w:r>
      <w:r w:rsidRPr="006E181D">
        <w:t xml:space="preserve"> (if opted)</w:t>
      </w:r>
    </w:p>
    <w:p w:rsidR="000720F3" w:rsidRPr="006E181D" w:rsidRDefault="000720F3" w:rsidP="00D76862">
      <w:pPr>
        <w:spacing w:after="0"/>
        <w:jc w:val="both"/>
        <w:rPr>
          <w:b/>
          <w:bCs/>
          <w:sz w:val="28"/>
          <w:szCs w:val="28"/>
        </w:rPr>
      </w:pPr>
      <w:r w:rsidRPr="006E181D">
        <w:rPr>
          <w:rFonts w:ascii="Segoe UI Emoji" w:hAnsi="Segoe UI Emoji" w:cs="Segoe UI Emoji"/>
          <w:b/>
          <w:bCs/>
          <w:sz w:val="28"/>
          <w:szCs w:val="28"/>
        </w:rPr>
        <w:lastRenderedPageBreak/>
        <w:t>📊</w:t>
      </w:r>
      <w:r w:rsidRPr="006E181D">
        <w:rPr>
          <w:b/>
          <w:bCs/>
          <w:sz w:val="28"/>
          <w:szCs w:val="28"/>
        </w:rPr>
        <w:t xml:space="preserve"> Our Value-Added Compliance Support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Reminders for meeting due dates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Ready-to-use resolution templates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ROC filing services (like MGT-14 for special resolutions)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Statutory register updates alongside minutes</w:t>
      </w:r>
    </w:p>
    <w:p w:rsidR="000720F3" w:rsidRDefault="000720F3" w:rsidP="00D76862">
      <w:pPr>
        <w:numPr>
          <w:ilvl w:val="0"/>
          <w:numId w:val="1"/>
        </w:numPr>
        <w:spacing w:after="0"/>
        <w:jc w:val="both"/>
      </w:pPr>
      <w:r w:rsidRPr="006E181D">
        <w:t>Training to directors on legal compliance during board proceedings</w:t>
      </w:r>
    </w:p>
    <w:p w:rsidR="00457A9E" w:rsidRPr="006E181D" w:rsidRDefault="00457A9E" w:rsidP="00D76862">
      <w:pPr>
        <w:numPr>
          <w:ilvl w:val="0"/>
          <w:numId w:val="1"/>
        </w:numPr>
        <w:spacing w:after="0"/>
        <w:jc w:val="both"/>
      </w:pPr>
    </w:p>
    <w:p w:rsidR="000720F3" w:rsidRPr="006E181D" w:rsidRDefault="000720F3" w:rsidP="00D76862">
      <w:pPr>
        <w:spacing w:after="0"/>
        <w:jc w:val="both"/>
        <w:rPr>
          <w:b/>
          <w:bCs/>
          <w:sz w:val="28"/>
          <w:szCs w:val="28"/>
        </w:rPr>
      </w:pPr>
      <w:r w:rsidRPr="006E181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6E181D">
        <w:rPr>
          <w:b/>
          <w:bCs/>
          <w:sz w:val="28"/>
          <w:szCs w:val="28"/>
        </w:rPr>
        <w:t xml:space="preserve"> Why It Matters for Your Business</w:t>
      </w:r>
    </w:p>
    <w:p w:rsidR="000720F3" w:rsidRPr="006E181D" w:rsidRDefault="000720F3" w:rsidP="00D76862">
      <w:pPr>
        <w:spacing w:after="0"/>
        <w:jc w:val="both"/>
        <w:rPr>
          <w:b/>
          <w:bCs/>
        </w:rPr>
      </w:pPr>
      <w:r w:rsidRPr="006E181D">
        <w:rPr>
          <w:b/>
          <w:bCs/>
        </w:rPr>
        <w:t>“A well-documented decision today is your strongest defence tomorrow.”</w:t>
      </w:r>
    </w:p>
    <w:p w:rsidR="000720F3" w:rsidRPr="006E181D" w:rsidRDefault="000720F3" w:rsidP="00D76862">
      <w:pPr>
        <w:spacing w:after="0"/>
        <w:jc w:val="both"/>
        <w:rPr>
          <w:b/>
          <w:bCs/>
        </w:rPr>
      </w:pPr>
      <w:r w:rsidRPr="006E181D">
        <w:rPr>
          <w:b/>
          <w:bCs/>
        </w:rPr>
        <w:t>Maintaining proper minutes and resolutions: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6E181D">
        <w:rPr>
          <w:b/>
          <w:bCs/>
        </w:rPr>
        <w:t>Safeguards directors from liability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6E181D">
        <w:rPr>
          <w:b/>
          <w:bCs/>
        </w:rPr>
        <w:t>Enhances investor, auditor &amp; banker confidence</w:t>
      </w:r>
    </w:p>
    <w:p w:rsidR="000720F3" w:rsidRPr="006E181D" w:rsidRDefault="000720F3" w:rsidP="00D7686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6E181D">
        <w:rPr>
          <w:b/>
          <w:bCs/>
        </w:rPr>
        <w:t>Makes future due diligence and M&amp;A easier</w:t>
      </w:r>
    </w:p>
    <w:p w:rsidR="000720F3" w:rsidRDefault="000720F3" w:rsidP="00D76862">
      <w:pPr>
        <w:numPr>
          <w:ilvl w:val="0"/>
          <w:numId w:val="1"/>
        </w:numPr>
        <w:spacing w:after="0"/>
        <w:jc w:val="both"/>
        <w:rPr>
          <w:b/>
          <w:bCs/>
        </w:rPr>
      </w:pPr>
      <w:r w:rsidRPr="006E181D">
        <w:rPr>
          <w:b/>
          <w:bCs/>
        </w:rPr>
        <w:t>Ensures ROC &amp; regulatory compliance</w:t>
      </w:r>
    </w:p>
    <w:p w:rsidR="00457A9E" w:rsidRPr="006E181D" w:rsidRDefault="00457A9E" w:rsidP="00457A9E">
      <w:pPr>
        <w:spacing w:after="0"/>
        <w:ind w:left="720"/>
        <w:jc w:val="both"/>
        <w:rPr>
          <w:b/>
          <w:bCs/>
        </w:rPr>
      </w:pPr>
    </w:p>
    <w:p w:rsidR="000720F3" w:rsidRPr="006E181D" w:rsidRDefault="000720F3" w:rsidP="00D76862">
      <w:pPr>
        <w:spacing w:after="0"/>
        <w:jc w:val="both"/>
        <w:rPr>
          <w:b/>
          <w:bCs/>
          <w:sz w:val="28"/>
          <w:szCs w:val="28"/>
        </w:rPr>
      </w:pPr>
      <w:r w:rsidRPr="006E181D">
        <w:rPr>
          <w:rFonts w:ascii="Segoe UI Emoji" w:hAnsi="Segoe UI Emoji" w:cs="Segoe UI Emoji"/>
          <w:b/>
          <w:bCs/>
        </w:rPr>
        <w:t>🛡️</w:t>
      </w:r>
      <w:r w:rsidRPr="006E181D">
        <w:rPr>
          <w:b/>
          <w:bCs/>
        </w:rPr>
        <w:t> </w:t>
      </w:r>
      <w:r w:rsidRPr="006E181D">
        <w:rPr>
          <w:b/>
          <w:bCs/>
          <w:sz w:val="28"/>
          <w:szCs w:val="28"/>
        </w:rPr>
        <w:t>Why Clients Trust Us</w:t>
      </w:r>
    </w:p>
    <w:p w:rsidR="000720F3" w:rsidRPr="006E181D" w:rsidRDefault="000720F3" w:rsidP="00D76862">
      <w:pPr>
        <w:spacing w:after="0"/>
        <w:jc w:val="both"/>
      </w:pPr>
      <w:r w:rsidRPr="006E181D">
        <w:t>As your trusted CS service provider, we offer:</w:t>
      </w:r>
    </w:p>
    <w:p w:rsidR="000720F3" w:rsidRPr="006E181D" w:rsidRDefault="000720F3" w:rsidP="005E4903">
      <w:pPr>
        <w:numPr>
          <w:ilvl w:val="0"/>
          <w:numId w:val="4"/>
        </w:numPr>
        <w:spacing w:after="0"/>
        <w:ind w:hanging="360"/>
        <w:jc w:val="both"/>
      </w:pPr>
      <w:r w:rsidRPr="006E181D">
        <w:t>Drafting of accurate, legally compliant minutes &amp; resolutions</w:t>
      </w:r>
    </w:p>
    <w:p w:rsidR="000720F3" w:rsidRPr="006E181D" w:rsidRDefault="000720F3" w:rsidP="005E4903">
      <w:pPr>
        <w:numPr>
          <w:ilvl w:val="0"/>
          <w:numId w:val="4"/>
        </w:numPr>
        <w:spacing w:after="0"/>
        <w:ind w:hanging="360"/>
        <w:jc w:val="both"/>
      </w:pPr>
      <w:r w:rsidRPr="006E181D">
        <w:t>Customization based on your business needs</w:t>
      </w:r>
    </w:p>
    <w:p w:rsidR="000720F3" w:rsidRPr="006E181D" w:rsidRDefault="000720F3" w:rsidP="005E4903">
      <w:pPr>
        <w:numPr>
          <w:ilvl w:val="0"/>
          <w:numId w:val="4"/>
        </w:numPr>
        <w:spacing w:after="0"/>
        <w:ind w:hanging="360"/>
        <w:jc w:val="both"/>
      </w:pPr>
      <w:r w:rsidRPr="006E181D">
        <w:t>Timely compliance with ROC and Companies Act norms</w:t>
      </w:r>
    </w:p>
    <w:p w:rsidR="000720F3" w:rsidRPr="006E181D" w:rsidRDefault="000720F3" w:rsidP="005E4903">
      <w:pPr>
        <w:numPr>
          <w:ilvl w:val="0"/>
          <w:numId w:val="4"/>
        </w:numPr>
        <w:spacing w:after="0"/>
        <w:ind w:hanging="360"/>
        <w:jc w:val="both"/>
      </w:pPr>
      <w:r w:rsidRPr="006E181D">
        <w:t>Expert support during audits or inspections</w:t>
      </w:r>
    </w:p>
    <w:p w:rsidR="00457A9E" w:rsidRDefault="00457A9E" w:rsidP="00D76862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0720F3" w:rsidRPr="006E181D" w:rsidRDefault="000720F3" w:rsidP="00D76862">
      <w:pPr>
        <w:spacing w:after="0"/>
        <w:jc w:val="both"/>
        <w:rPr>
          <w:b/>
          <w:bCs/>
          <w:sz w:val="28"/>
          <w:szCs w:val="28"/>
        </w:rPr>
      </w:pPr>
      <w:r w:rsidRPr="006E181D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6E181D">
        <w:rPr>
          <w:b/>
          <w:bCs/>
          <w:sz w:val="28"/>
          <w:szCs w:val="28"/>
        </w:rPr>
        <w:t> Our Services Include:</w:t>
      </w:r>
    </w:p>
    <w:p w:rsidR="000720F3" w:rsidRPr="006E181D" w:rsidRDefault="000720F3" w:rsidP="005E4903">
      <w:pPr>
        <w:numPr>
          <w:ilvl w:val="0"/>
          <w:numId w:val="2"/>
        </w:numPr>
        <w:spacing w:after="0"/>
        <w:ind w:hanging="360"/>
        <w:jc w:val="both"/>
      </w:pPr>
      <w:r w:rsidRPr="006E181D">
        <w:t>Drafting Board and Shareholder Resolutions</w:t>
      </w:r>
    </w:p>
    <w:p w:rsidR="000720F3" w:rsidRPr="006E181D" w:rsidRDefault="000720F3" w:rsidP="005E4903">
      <w:pPr>
        <w:numPr>
          <w:ilvl w:val="0"/>
          <w:numId w:val="2"/>
        </w:numPr>
        <w:spacing w:after="0"/>
        <w:ind w:hanging="360"/>
        <w:jc w:val="both"/>
      </w:pPr>
      <w:r w:rsidRPr="006E181D">
        <w:t>Preparing Minutes of Board, Committee, and General Meetings</w:t>
      </w:r>
    </w:p>
    <w:p w:rsidR="000720F3" w:rsidRPr="006E181D" w:rsidRDefault="000720F3" w:rsidP="005E4903">
      <w:pPr>
        <w:numPr>
          <w:ilvl w:val="0"/>
          <w:numId w:val="2"/>
        </w:numPr>
        <w:spacing w:after="0"/>
        <w:ind w:hanging="360"/>
        <w:jc w:val="both"/>
      </w:pPr>
      <w:r w:rsidRPr="006E181D">
        <w:t>Maintenance of Statutory Registers &amp; Minute Books</w:t>
      </w:r>
    </w:p>
    <w:p w:rsidR="000720F3" w:rsidRPr="006E181D" w:rsidRDefault="000720F3" w:rsidP="005E4903">
      <w:pPr>
        <w:numPr>
          <w:ilvl w:val="0"/>
          <w:numId w:val="2"/>
        </w:numPr>
        <w:spacing w:after="0"/>
        <w:ind w:hanging="360"/>
        <w:jc w:val="both"/>
      </w:pPr>
      <w:r w:rsidRPr="006E181D">
        <w:t>Filing relevant resolutions with ROC (MGT-7, MGT-14, etc.)</w:t>
      </w:r>
    </w:p>
    <w:p w:rsidR="000720F3" w:rsidRPr="006E181D" w:rsidRDefault="000720F3" w:rsidP="005E4903">
      <w:pPr>
        <w:numPr>
          <w:ilvl w:val="0"/>
          <w:numId w:val="2"/>
        </w:numPr>
        <w:spacing w:after="0"/>
        <w:ind w:hanging="360"/>
        <w:jc w:val="both"/>
      </w:pPr>
      <w:r w:rsidRPr="006E181D">
        <w:t>Providing compliance calendar for regular documentation</w:t>
      </w:r>
    </w:p>
    <w:p w:rsidR="00457A9E" w:rsidRDefault="00457A9E" w:rsidP="00D76862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0720F3" w:rsidRPr="006E181D" w:rsidRDefault="000720F3" w:rsidP="00D76862">
      <w:pPr>
        <w:spacing w:after="0"/>
        <w:jc w:val="both"/>
        <w:rPr>
          <w:b/>
          <w:bCs/>
        </w:rPr>
      </w:pPr>
      <w:r w:rsidRPr="006E181D">
        <w:rPr>
          <w:rFonts w:ascii="Segoe UI Emoji" w:hAnsi="Segoe UI Emoji" w:cs="Segoe UI Emoji"/>
          <w:b/>
          <w:bCs/>
        </w:rPr>
        <w:t>🏢</w:t>
      </w:r>
      <w:r w:rsidRPr="006E181D">
        <w:rPr>
          <w:b/>
          <w:bCs/>
        </w:rPr>
        <w:t> </w:t>
      </w:r>
      <w:r w:rsidRPr="006E181D">
        <w:rPr>
          <w:b/>
          <w:bCs/>
          <w:sz w:val="28"/>
          <w:szCs w:val="28"/>
        </w:rPr>
        <w:t>Who Needs These Services?</w:t>
      </w:r>
    </w:p>
    <w:p w:rsidR="000720F3" w:rsidRPr="006E181D" w:rsidRDefault="000720F3" w:rsidP="005E4903">
      <w:pPr>
        <w:numPr>
          <w:ilvl w:val="0"/>
          <w:numId w:val="5"/>
        </w:numPr>
        <w:spacing w:after="0"/>
        <w:ind w:hanging="360"/>
        <w:jc w:val="both"/>
      </w:pPr>
      <w:r w:rsidRPr="006E181D">
        <w:t>Private Limited Companies</w:t>
      </w:r>
    </w:p>
    <w:p w:rsidR="000720F3" w:rsidRPr="006E181D" w:rsidRDefault="000720F3" w:rsidP="005E4903">
      <w:pPr>
        <w:numPr>
          <w:ilvl w:val="0"/>
          <w:numId w:val="5"/>
        </w:numPr>
        <w:spacing w:after="0"/>
        <w:ind w:hanging="360"/>
        <w:jc w:val="both"/>
      </w:pPr>
      <w:r w:rsidRPr="006E181D">
        <w:t>Public Limited Companies</w:t>
      </w:r>
    </w:p>
    <w:p w:rsidR="000720F3" w:rsidRPr="006E181D" w:rsidRDefault="000720F3" w:rsidP="005E4903">
      <w:pPr>
        <w:numPr>
          <w:ilvl w:val="0"/>
          <w:numId w:val="5"/>
        </w:numPr>
        <w:spacing w:after="0"/>
        <w:ind w:hanging="360"/>
        <w:jc w:val="both"/>
      </w:pPr>
      <w:r w:rsidRPr="006E181D">
        <w:t>Section 8 Companies (NGOs)</w:t>
      </w:r>
    </w:p>
    <w:p w:rsidR="000720F3" w:rsidRPr="006E181D" w:rsidRDefault="000720F3" w:rsidP="005E4903">
      <w:pPr>
        <w:numPr>
          <w:ilvl w:val="0"/>
          <w:numId w:val="5"/>
        </w:numPr>
        <w:spacing w:after="0"/>
        <w:ind w:hanging="360"/>
        <w:jc w:val="both"/>
      </w:pPr>
      <w:r w:rsidRPr="006E181D">
        <w:t>LLPs (for partner resolutions)</w:t>
      </w:r>
    </w:p>
    <w:p w:rsidR="000720F3" w:rsidRPr="006E181D" w:rsidRDefault="000720F3" w:rsidP="005E4903">
      <w:pPr>
        <w:numPr>
          <w:ilvl w:val="0"/>
          <w:numId w:val="5"/>
        </w:numPr>
        <w:ind w:hanging="360"/>
        <w:jc w:val="both"/>
      </w:pPr>
      <w:proofErr w:type="spellStart"/>
      <w:r w:rsidRPr="006E181D">
        <w:t>Startups</w:t>
      </w:r>
      <w:proofErr w:type="spellEnd"/>
      <w:r w:rsidRPr="006E181D">
        <w:t xml:space="preserve"> and growing businesses seeking investment or funding</w:t>
      </w:r>
    </w:p>
    <w:p w:rsidR="000720F3" w:rsidRPr="006E181D" w:rsidRDefault="000720F3" w:rsidP="00D76862">
      <w:pPr>
        <w:spacing w:after="0"/>
        <w:jc w:val="both"/>
        <w:rPr>
          <w:b/>
          <w:bCs/>
          <w:sz w:val="28"/>
          <w:szCs w:val="28"/>
        </w:rPr>
      </w:pPr>
      <w:r w:rsidRPr="006E181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6E181D">
        <w:rPr>
          <w:b/>
          <w:bCs/>
          <w:sz w:val="28"/>
          <w:szCs w:val="28"/>
        </w:rPr>
        <w:t xml:space="preserve"> Final Note:</w:t>
      </w:r>
    </w:p>
    <w:p w:rsidR="000720F3" w:rsidRPr="006E181D" w:rsidRDefault="000720F3" w:rsidP="00D76862">
      <w:pPr>
        <w:spacing w:after="0"/>
        <w:jc w:val="both"/>
      </w:pPr>
      <w:r w:rsidRPr="006E181D">
        <w:rPr>
          <w:b/>
          <w:bCs/>
        </w:rPr>
        <w:t>Neglecting minutes and resolutions can lead to heavy penalties and disqualification of directors.</w:t>
      </w:r>
      <w:r w:rsidRPr="006E181D">
        <w:t> Stay ahead with professional documentation support and protect your company's legal standing.</w:t>
      </w:r>
    </w:p>
    <w:p w:rsidR="000720F3" w:rsidRDefault="000720F3" w:rsidP="00D76862">
      <w:pPr>
        <w:spacing w:after="0"/>
        <w:jc w:val="both"/>
      </w:pPr>
      <w:r w:rsidRPr="006E181D">
        <w:rPr>
          <w:b/>
          <w:bCs/>
        </w:rPr>
        <w:t>Let us handle the paperwork—so you can focus on growing your business.</w:t>
      </w:r>
    </w:p>
    <w:sectPr w:rsidR="000720F3" w:rsidSect="00DA7ABE">
      <w:pgSz w:w="11906" w:h="16838"/>
      <w:pgMar w:top="1440" w:right="83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A7B84"/>
    <w:multiLevelType w:val="multilevel"/>
    <w:tmpl w:val="F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ACA67D3"/>
    <w:multiLevelType w:val="multilevel"/>
    <w:tmpl w:val="C42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F3"/>
    <w:rsid w:val="000720F3"/>
    <w:rsid w:val="00457A9E"/>
    <w:rsid w:val="005E4903"/>
    <w:rsid w:val="007E7EBA"/>
    <w:rsid w:val="009F3872"/>
    <w:rsid w:val="009F6087"/>
    <w:rsid w:val="00B12BC7"/>
    <w:rsid w:val="00CB57D4"/>
    <w:rsid w:val="00D76862"/>
    <w:rsid w:val="00D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F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0720F3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F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0720F3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Admin</cp:lastModifiedBy>
  <cp:revision>9</cp:revision>
  <dcterms:created xsi:type="dcterms:W3CDTF">2025-06-19T10:20:00Z</dcterms:created>
  <dcterms:modified xsi:type="dcterms:W3CDTF">2025-06-22T10:28:00Z</dcterms:modified>
</cp:coreProperties>
</file>