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86980" w14:textId="77777777" w:rsidR="009C4F14" w:rsidRPr="00D74403" w:rsidRDefault="009C4F14" w:rsidP="00212C17">
      <w:pPr>
        <w:jc w:val="center"/>
        <w:rPr>
          <w:b/>
          <w:bCs/>
          <w:smallCaps/>
          <w:color w:val="5B9BD5" w:themeColor="accent5"/>
          <w:sz w:val="40"/>
          <w:szCs w:val="40"/>
        </w:rPr>
      </w:pPr>
      <w:r w:rsidRPr="00D74403">
        <w:rPr>
          <w:b/>
          <w:bCs/>
          <w:smallCaps/>
          <w:color w:val="5B9BD5" w:themeColor="accent5"/>
          <w:sz w:val="40"/>
          <w:szCs w:val="40"/>
        </w:rPr>
        <w:t>Corporate &amp; Financial Restructuring Services</w:t>
      </w:r>
    </w:p>
    <w:p w14:paraId="06F37CCA" w14:textId="6431ED67" w:rsidR="009C4F14" w:rsidRPr="00887718" w:rsidRDefault="009C4F14" w:rsidP="00212C17">
      <w:pPr>
        <w:jc w:val="both"/>
        <w:rPr>
          <w:sz w:val="28"/>
          <w:szCs w:val="28"/>
        </w:rPr>
      </w:pPr>
      <w:r w:rsidRPr="009C4F14">
        <w:rPr>
          <w:sz w:val="28"/>
          <w:szCs w:val="28"/>
        </w:rPr>
        <w:t>Redefining</w:t>
      </w:r>
      <w:r w:rsidRPr="009C4F14">
        <w:rPr>
          <w:i/>
          <w:iCs/>
          <w:sz w:val="28"/>
          <w:szCs w:val="28"/>
        </w:rPr>
        <w:t xml:space="preserve"> </w:t>
      </w:r>
      <w:r w:rsidRPr="009C4F14">
        <w:rPr>
          <w:sz w:val="28"/>
          <w:szCs w:val="28"/>
        </w:rPr>
        <w:t>Business</w:t>
      </w:r>
      <w:r w:rsidRPr="009C4F14">
        <w:rPr>
          <w:i/>
          <w:iCs/>
          <w:sz w:val="28"/>
          <w:szCs w:val="28"/>
        </w:rPr>
        <w:t xml:space="preserve"> </w:t>
      </w:r>
      <w:r w:rsidRPr="009C4F14">
        <w:rPr>
          <w:sz w:val="28"/>
          <w:szCs w:val="28"/>
        </w:rPr>
        <w:t>Structures</w:t>
      </w:r>
      <w:r w:rsidRPr="009C4F14">
        <w:rPr>
          <w:i/>
          <w:iCs/>
          <w:sz w:val="28"/>
          <w:szCs w:val="28"/>
        </w:rPr>
        <w:t xml:space="preserve"> </w:t>
      </w:r>
      <w:r w:rsidRPr="009C4F14">
        <w:rPr>
          <w:sz w:val="28"/>
          <w:szCs w:val="28"/>
        </w:rPr>
        <w:t>for Growth, Stability &amp; Compliance</w:t>
      </w:r>
    </w:p>
    <w:p w14:paraId="28576394" w14:textId="77777777" w:rsidR="009C4F14" w:rsidRPr="009C4F14" w:rsidRDefault="009C4F14" w:rsidP="00212C17">
      <w:pPr>
        <w:spacing w:after="0"/>
        <w:jc w:val="both"/>
      </w:pPr>
      <w:r w:rsidRPr="009C4F14">
        <w:t>In today’s fast-paced business environment, change is not just inev</w:t>
      </w:r>
      <w:bookmarkStart w:id="0" w:name="_GoBack"/>
      <w:bookmarkEnd w:id="0"/>
      <w:r w:rsidRPr="009C4F14">
        <w:t xml:space="preserve">itable—it’s essential. Whether you’re facing financial challenges, aiming for expansion, or realigning your corporate strategy, </w:t>
      </w:r>
      <w:r w:rsidRPr="009C4F14">
        <w:rPr>
          <w:b/>
          <w:bCs/>
        </w:rPr>
        <w:t>Corporate &amp; Financial Restructuring</w:t>
      </w:r>
      <w:r w:rsidRPr="009C4F14">
        <w:t xml:space="preserve"> plays a pivotal role in ensuring your company remains agile, compliant, and profitable. As experienced CS professionals, we offer strategic, legal, and procedural assistance to help you restructure your company seamlessly—ensuring minimal disruption and maximum value.</w:t>
      </w:r>
    </w:p>
    <w:p w14:paraId="3B93FDEE" w14:textId="7CB6B76F" w:rsidR="009C4F14" w:rsidRPr="009C4F14" w:rsidRDefault="009C4F14" w:rsidP="00212C17">
      <w:pPr>
        <w:spacing w:after="0"/>
        <w:jc w:val="both"/>
      </w:pPr>
    </w:p>
    <w:p w14:paraId="37817325" w14:textId="77777777" w:rsidR="009C4F14" w:rsidRPr="009C4F14" w:rsidRDefault="009C4F14" w:rsidP="00212C17">
      <w:pPr>
        <w:spacing w:after="0"/>
        <w:jc w:val="both"/>
        <w:rPr>
          <w:b/>
          <w:bCs/>
        </w:rPr>
      </w:pPr>
      <w:r w:rsidRPr="009C4F14">
        <w:rPr>
          <w:b/>
          <w:bCs/>
        </w:rPr>
        <w:t>What is Corporate &amp; Financial Restructuring?</w:t>
      </w:r>
    </w:p>
    <w:p w14:paraId="7C2B2A8E" w14:textId="77777777" w:rsidR="009C4F14" w:rsidRPr="009C4F14" w:rsidRDefault="009C4F14" w:rsidP="00212C17">
      <w:pPr>
        <w:spacing w:after="0"/>
        <w:jc w:val="both"/>
      </w:pPr>
      <w:r w:rsidRPr="009C4F14">
        <w:t>It refers to the reorganization of a company’s legal, ownership, operational, or financial structure with the objective of enhancing business efficiency, managing risks, complying with regulatory norms, or overcoming financial distress.</w:t>
      </w:r>
    </w:p>
    <w:p w14:paraId="1F0C7ACE" w14:textId="08A80720" w:rsidR="009C4F14" w:rsidRPr="009C4F14" w:rsidRDefault="009C4F14" w:rsidP="00212C17">
      <w:pPr>
        <w:spacing w:after="0"/>
        <w:jc w:val="both"/>
      </w:pPr>
    </w:p>
    <w:p w14:paraId="3CCFF5FF" w14:textId="77777777" w:rsidR="009C4F14" w:rsidRPr="009C4F14" w:rsidRDefault="009C4F14" w:rsidP="00212C17">
      <w:pPr>
        <w:spacing w:after="0"/>
        <w:jc w:val="both"/>
        <w:rPr>
          <w:b/>
          <w:bCs/>
        </w:rPr>
      </w:pPr>
      <w:r w:rsidRPr="009C4F14">
        <w:rPr>
          <w:b/>
          <w:bCs/>
        </w:rPr>
        <w:t>Types of Restructuring Services We Offer:</w:t>
      </w:r>
    </w:p>
    <w:p w14:paraId="111D0437" w14:textId="77777777" w:rsidR="009C4F14" w:rsidRPr="009C4F14" w:rsidRDefault="009C4F14" w:rsidP="00212C17">
      <w:pPr>
        <w:spacing w:after="0"/>
        <w:jc w:val="both"/>
        <w:rPr>
          <w:b/>
          <w:bCs/>
        </w:rPr>
      </w:pPr>
      <w:r w:rsidRPr="009C4F14">
        <w:rPr>
          <w:rFonts w:ascii="Segoe UI Emoji" w:hAnsi="Segoe UI Emoji" w:cs="Segoe UI Emoji"/>
          <w:b/>
          <w:bCs/>
        </w:rPr>
        <w:t>🔷</w:t>
      </w:r>
      <w:r w:rsidRPr="009C4F14">
        <w:rPr>
          <w:b/>
          <w:bCs/>
        </w:rPr>
        <w:t xml:space="preserve"> Corporate Restructuring</w:t>
      </w:r>
    </w:p>
    <w:p w14:paraId="21377DE3" w14:textId="77777777" w:rsidR="009C4F14" w:rsidRPr="00887718" w:rsidRDefault="009C4F14" w:rsidP="00212C17">
      <w:pPr>
        <w:numPr>
          <w:ilvl w:val="0"/>
          <w:numId w:val="1"/>
        </w:numPr>
        <w:spacing w:after="0"/>
        <w:jc w:val="both"/>
      </w:pPr>
      <w:r w:rsidRPr="00887718">
        <w:rPr>
          <w:bCs/>
        </w:rPr>
        <w:t>Mergers &amp; Amalgamations</w:t>
      </w:r>
    </w:p>
    <w:p w14:paraId="68E52103" w14:textId="77777777" w:rsidR="009C4F14" w:rsidRPr="00887718" w:rsidRDefault="009C4F14" w:rsidP="00212C17">
      <w:pPr>
        <w:numPr>
          <w:ilvl w:val="0"/>
          <w:numId w:val="1"/>
        </w:numPr>
        <w:spacing w:after="0"/>
        <w:jc w:val="both"/>
      </w:pPr>
      <w:r w:rsidRPr="00887718">
        <w:rPr>
          <w:bCs/>
        </w:rPr>
        <w:t>Demerger or Spin-off of Units</w:t>
      </w:r>
    </w:p>
    <w:p w14:paraId="39306F18" w14:textId="77777777" w:rsidR="009C4F14" w:rsidRPr="00887718" w:rsidRDefault="009C4F14" w:rsidP="00212C17">
      <w:pPr>
        <w:numPr>
          <w:ilvl w:val="0"/>
          <w:numId w:val="1"/>
        </w:numPr>
        <w:spacing w:after="0"/>
        <w:jc w:val="both"/>
      </w:pPr>
      <w:r w:rsidRPr="00887718">
        <w:rPr>
          <w:bCs/>
        </w:rPr>
        <w:t>Change in Capital Structure (e.g., increase/reduction of share capital)</w:t>
      </w:r>
    </w:p>
    <w:p w14:paraId="1222C0FE" w14:textId="77777777" w:rsidR="009C4F14" w:rsidRPr="00887718" w:rsidRDefault="009C4F14" w:rsidP="00212C17">
      <w:pPr>
        <w:numPr>
          <w:ilvl w:val="0"/>
          <w:numId w:val="1"/>
        </w:numPr>
        <w:spacing w:after="0"/>
        <w:jc w:val="both"/>
      </w:pPr>
      <w:r w:rsidRPr="00887718">
        <w:rPr>
          <w:bCs/>
        </w:rPr>
        <w:t>Conversion of Company Type (e.g., Private to Public or vice versa)</w:t>
      </w:r>
    </w:p>
    <w:p w14:paraId="5A527882" w14:textId="77777777" w:rsidR="009C4F14" w:rsidRPr="00887718" w:rsidRDefault="009C4F14" w:rsidP="00212C17">
      <w:pPr>
        <w:numPr>
          <w:ilvl w:val="0"/>
          <w:numId w:val="1"/>
        </w:numPr>
        <w:spacing w:after="0"/>
        <w:jc w:val="both"/>
      </w:pPr>
      <w:r w:rsidRPr="00887718">
        <w:rPr>
          <w:bCs/>
        </w:rPr>
        <w:t>Buy-back of Shares</w:t>
      </w:r>
    </w:p>
    <w:p w14:paraId="28E601D3" w14:textId="77777777" w:rsidR="009C4F14" w:rsidRPr="00212C17" w:rsidRDefault="009C4F14" w:rsidP="00212C17">
      <w:pPr>
        <w:numPr>
          <w:ilvl w:val="0"/>
          <w:numId w:val="1"/>
        </w:numPr>
        <w:spacing w:after="0"/>
        <w:jc w:val="both"/>
      </w:pPr>
      <w:r w:rsidRPr="00887718">
        <w:rPr>
          <w:bCs/>
        </w:rPr>
        <w:t>Change in Ownership Structure</w:t>
      </w:r>
    </w:p>
    <w:p w14:paraId="10C1A6D9" w14:textId="77777777" w:rsidR="00212C17" w:rsidRPr="00887718" w:rsidRDefault="00212C17" w:rsidP="00212C17">
      <w:pPr>
        <w:spacing w:after="0"/>
        <w:ind w:left="720"/>
        <w:jc w:val="both"/>
      </w:pPr>
    </w:p>
    <w:p w14:paraId="1AE0B307" w14:textId="77777777" w:rsidR="009C4F14" w:rsidRPr="009C4F14" w:rsidRDefault="009C4F14" w:rsidP="00212C17">
      <w:pPr>
        <w:spacing w:after="0"/>
        <w:jc w:val="both"/>
        <w:rPr>
          <w:b/>
          <w:bCs/>
        </w:rPr>
      </w:pPr>
      <w:r w:rsidRPr="009C4F14">
        <w:rPr>
          <w:rFonts w:ascii="Segoe UI Emoji" w:hAnsi="Segoe UI Emoji" w:cs="Segoe UI Emoji"/>
          <w:b/>
          <w:bCs/>
        </w:rPr>
        <w:t>🔷</w:t>
      </w:r>
      <w:r w:rsidRPr="009C4F14">
        <w:rPr>
          <w:b/>
          <w:bCs/>
        </w:rPr>
        <w:t xml:space="preserve"> Financial Restructuring</w:t>
      </w:r>
    </w:p>
    <w:p w14:paraId="3940CFF0" w14:textId="77777777" w:rsidR="009C4F14" w:rsidRPr="00887718" w:rsidRDefault="009C4F14" w:rsidP="00212C17">
      <w:pPr>
        <w:numPr>
          <w:ilvl w:val="0"/>
          <w:numId w:val="2"/>
        </w:numPr>
        <w:spacing w:after="0"/>
        <w:jc w:val="both"/>
      </w:pPr>
      <w:r w:rsidRPr="00887718">
        <w:rPr>
          <w:bCs/>
        </w:rPr>
        <w:t>Debt Restructuring</w:t>
      </w:r>
      <w:r w:rsidRPr="00887718">
        <w:t xml:space="preserve"> (negotiation with creditors, loan rescheduling)</w:t>
      </w:r>
    </w:p>
    <w:p w14:paraId="0675ED1A" w14:textId="77777777" w:rsidR="009C4F14" w:rsidRPr="00887718" w:rsidRDefault="009C4F14" w:rsidP="00212C17">
      <w:pPr>
        <w:numPr>
          <w:ilvl w:val="0"/>
          <w:numId w:val="2"/>
        </w:numPr>
        <w:spacing w:after="0"/>
        <w:jc w:val="both"/>
      </w:pPr>
      <w:r w:rsidRPr="00887718">
        <w:rPr>
          <w:bCs/>
        </w:rPr>
        <w:t>Equity Restructuring</w:t>
      </w:r>
      <w:r w:rsidRPr="00887718">
        <w:t xml:space="preserve"> (rights issue, bonus issue, preference share changes)</w:t>
      </w:r>
    </w:p>
    <w:p w14:paraId="7515B9C9" w14:textId="77777777" w:rsidR="009C4F14" w:rsidRPr="00887718" w:rsidRDefault="009C4F14" w:rsidP="00212C17">
      <w:pPr>
        <w:numPr>
          <w:ilvl w:val="0"/>
          <w:numId w:val="2"/>
        </w:numPr>
        <w:spacing w:after="0"/>
        <w:jc w:val="both"/>
      </w:pPr>
      <w:r w:rsidRPr="00887718">
        <w:rPr>
          <w:bCs/>
        </w:rPr>
        <w:t>Settlement Agreements with Banks/Financial Institutions</w:t>
      </w:r>
    </w:p>
    <w:p w14:paraId="5D854ED3" w14:textId="77777777" w:rsidR="009C4F14" w:rsidRPr="00887718" w:rsidRDefault="009C4F14" w:rsidP="00212C17">
      <w:pPr>
        <w:numPr>
          <w:ilvl w:val="0"/>
          <w:numId w:val="2"/>
        </w:numPr>
        <w:spacing w:after="0"/>
        <w:jc w:val="both"/>
      </w:pPr>
      <w:r w:rsidRPr="00887718">
        <w:rPr>
          <w:bCs/>
        </w:rPr>
        <w:t>Revival of Sick Companies</w:t>
      </w:r>
    </w:p>
    <w:p w14:paraId="5E2DE9C4" w14:textId="77777777" w:rsidR="009C4F14" w:rsidRPr="00887718" w:rsidRDefault="009C4F14" w:rsidP="00212C17">
      <w:pPr>
        <w:numPr>
          <w:ilvl w:val="0"/>
          <w:numId w:val="2"/>
        </w:numPr>
        <w:spacing w:after="0"/>
        <w:jc w:val="both"/>
      </w:pPr>
      <w:r w:rsidRPr="00887718">
        <w:rPr>
          <w:bCs/>
        </w:rPr>
        <w:t>Insolvency &amp; Bankruptcy Process Support</w:t>
      </w:r>
    </w:p>
    <w:p w14:paraId="226DDA5F" w14:textId="31261C62" w:rsidR="009C4F14" w:rsidRPr="009C4F14" w:rsidRDefault="009C4F14" w:rsidP="00212C17">
      <w:pPr>
        <w:spacing w:after="0"/>
        <w:jc w:val="both"/>
      </w:pPr>
    </w:p>
    <w:p w14:paraId="6B5F4401" w14:textId="77777777" w:rsidR="009C4F14" w:rsidRPr="009C4F14" w:rsidRDefault="009C4F14" w:rsidP="00212C17">
      <w:pPr>
        <w:spacing w:after="0"/>
        <w:jc w:val="both"/>
        <w:rPr>
          <w:b/>
          <w:bCs/>
        </w:rPr>
      </w:pPr>
      <w:r w:rsidRPr="009C4F14">
        <w:rPr>
          <w:b/>
          <w:bCs/>
        </w:rPr>
        <w:t>Levels/Stages of Restructuring:</w:t>
      </w:r>
    </w:p>
    <w:p w14:paraId="40C0BDDE" w14:textId="77777777" w:rsidR="009C4F14" w:rsidRPr="009C4F14" w:rsidRDefault="009C4F14" w:rsidP="00212C17">
      <w:pPr>
        <w:numPr>
          <w:ilvl w:val="0"/>
          <w:numId w:val="3"/>
        </w:numPr>
        <w:spacing w:after="0"/>
        <w:jc w:val="both"/>
      </w:pPr>
      <w:r w:rsidRPr="009C4F14">
        <w:rPr>
          <w:b/>
          <w:bCs/>
        </w:rPr>
        <w:t>Assessment &amp; Diagnosis</w:t>
      </w:r>
      <w:r w:rsidRPr="009C4F14">
        <w:t xml:space="preserve"> – We </w:t>
      </w:r>
      <w:proofErr w:type="spellStart"/>
      <w:r w:rsidRPr="009C4F14">
        <w:t>analyze</w:t>
      </w:r>
      <w:proofErr w:type="spellEnd"/>
      <w:r w:rsidRPr="009C4F14">
        <w:t xml:space="preserve"> your company’s financial and corporate health.</w:t>
      </w:r>
    </w:p>
    <w:p w14:paraId="3D40CFE1" w14:textId="77777777" w:rsidR="009C4F14" w:rsidRPr="009C4F14" w:rsidRDefault="009C4F14" w:rsidP="00212C17">
      <w:pPr>
        <w:numPr>
          <w:ilvl w:val="0"/>
          <w:numId w:val="3"/>
        </w:numPr>
        <w:spacing w:after="0"/>
        <w:jc w:val="both"/>
      </w:pPr>
      <w:r w:rsidRPr="009C4F14">
        <w:rPr>
          <w:b/>
          <w:bCs/>
        </w:rPr>
        <w:t>Strategy Development</w:t>
      </w:r>
      <w:r w:rsidRPr="009C4F14">
        <w:t xml:space="preserve"> – Custom restructuring plan aligning with your business goals.</w:t>
      </w:r>
    </w:p>
    <w:p w14:paraId="7A73C998" w14:textId="77777777" w:rsidR="009C4F14" w:rsidRPr="009C4F14" w:rsidRDefault="009C4F14" w:rsidP="00212C17">
      <w:pPr>
        <w:numPr>
          <w:ilvl w:val="0"/>
          <w:numId w:val="3"/>
        </w:numPr>
        <w:spacing w:after="0"/>
        <w:jc w:val="both"/>
      </w:pPr>
      <w:r w:rsidRPr="009C4F14">
        <w:rPr>
          <w:b/>
          <w:bCs/>
        </w:rPr>
        <w:t>Legal &amp; Regulatory Compliance</w:t>
      </w:r>
      <w:r w:rsidRPr="009C4F14">
        <w:t xml:space="preserve"> – We take care of all ROC filings, drafting resolutions, and scheme approvals.</w:t>
      </w:r>
    </w:p>
    <w:p w14:paraId="4709CAC6" w14:textId="77777777" w:rsidR="009C4F14" w:rsidRPr="009C4F14" w:rsidRDefault="009C4F14" w:rsidP="00212C17">
      <w:pPr>
        <w:numPr>
          <w:ilvl w:val="0"/>
          <w:numId w:val="3"/>
        </w:numPr>
        <w:spacing w:after="0"/>
        <w:jc w:val="both"/>
      </w:pPr>
      <w:r w:rsidRPr="009C4F14">
        <w:rPr>
          <w:b/>
          <w:bCs/>
        </w:rPr>
        <w:t>Execution &amp; Monitoring</w:t>
      </w:r>
      <w:r w:rsidRPr="009C4F14">
        <w:t xml:space="preserve"> – End-to-end implementation with post-restructuring support.</w:t>
      </w:r>
    </w:p>
    <w:p w14:paraId="5B4EEBF0" w14:textId="77777777" w:rsidR="00887718" w:rsidRDefault="00887718" w:rsidP="00212C17">
      <w:pPr>
        <w:spacing w:after="0"/>
        <w:jc w:val="both"/>
        <w:rPr>
          <w:rFonts w:ascii="Segoe UI Emoji" w:hAnsi="Segoe UI Emoji" w:cs="Segoe UI Emoji"/>
          <w:b/>
          <w:bCs/>
        </w:rPr>
      </w:pPr>
    </w:p>
    <w:p w14:paraId="702A8063" w14:textId="77777777" w:rsidR="00212C17" w:rsidRDefault="00212C17" w:rsidP="00212C17">
      <w:pPr>
        <w:spacing w:after="0"/>
        <w:jc w:val="both"/>
        <w:rPr>
          <w:rFonts w:ascii="Segoe UI Emoji" w:hAnsi="Segoe UI Emoji" w:cs="Segoe UI Emoji"/>
          <w:b/>
          <w:bCs/>
        </w:rPr>
      </w:pPr>
    </w:p>
    <w:p w14:paraId="298C4097" w14:textId="77777777" w:rsidR="00212C17" w:rsidRDefault="00212C17" w:rsidP="00212C17">
      <w:pPr>
        <w:spacing w:after="0"/>
        <w:jc w:val="both"/>
        <w:rPr>
          <w:rFonts w:ascii="Segoe UI Emoji" w:hAnsi="Segoe UI Emoji" w:cs="Segoe UI Emoji"/>
          <w:b/>
          <w:bCs/>
        </w:rPr>
      </w:pPr>
    </w:p>
    <w:p w14:paraId="4E06CA95" w14:textId="68584195" w:rsidR="009C4F14" w:rsidRPr="009C4F14" w:rsidRDefault="009C4F14" w:rsidP="00212C17">
      <w:pPr>
        <w:spacing w:after="0"/>
        <w:jc w:val="both"/>
        <w:rPr>
          <w:b/>
          <w:bCs/>
        </w:rPr>
      </w:pPr>
      <w:r w:rsidRPr="009C4F14">
        <w:rPr>
          <w:rFonts w:ascii="Segoe UI Emoji" w:hAnsi="Segoe UI Emoji" w:cs="Segoe UI Emoji"/>
          <w:b/>
          <w:bCs/>
        </w:rPr>
        <w:lastRenderedPageBreak/>
        <w:t>🔍</w:t>
      </w:r>
      <w:r w:rsidRPr="009C4F14">
        <w:rPr>
          <w:b/>
          <w:bCs/>
        </w:rPr>
        <w:t xml:space="preserve"> Regulatory Framework Involved</w:t>
      </w:r>
    </w:p>
    <w:p w14:paraId="7596A3D2" w14:textId="77777777" w:rsidR="009C4F14" w:rsidRPr="009C4F14" w:rsidRDefault="009C4F14" w:rsidP="00212C17">
      <w:pPr>
        <w:spacing w:after="0"/>
        <w:jc w:val="both"/>
      </w:pPr>
      <w:r w:rsidRPr="009C4F14">
        <w:t>We ensure full compliance with all applicable laws and regulations, including:</w:t>
      </w:r>
    </w:p>
    <w:p w14:paraId="2F17AC7F" w14:textId="77777777" w:rsidR="009C4F14" w:rsidRPr="009C4F14" w:rsidRDefault="009C4F14" w:rsidP="00212C17">
      <w:pPr>
        <w:numPr>
          <w:ilvl w:val="0"/>
          <w:numId w:val="5"/>
        </w:numPr>
        <w:spacing w:after="0"/>
        <w:jc w:val="both"/>
      </w:pPr>
      <w:r w:rsidRPr="009C4F14">
        <w:rPr>
          <w:b/>
          <w:bCs/>
        </w:rPr>
        <w:t>Companies Act, 2013</w:t>
      </w:r>
      <w:r w:rsidRPr="009C4F14">
        <w:t xml:space="preserve"> (for mergers, demergers, buy-backs, capital reduction, etc.)</w:t>
      </w:r>
    </w:p>
    <w:p w14:paraId="3A414BB2" w14:textId="77777777" w:rsidR="009C4F14" w:rsidRPr="009C4F14" w:rsidRDefault="009C4F14" w:rsidP="00212C17">
      <w:pPr>
        <w:numPr>
          <w:ilvl w:val="0"/>
          <w:numId w:val="5"/>
        </w:numPr>
        <w:spacing w:after="0"/>
        <w:jc w:val="both"/>
      </w:pPr>
      <w:r w:rsidRPr="009C4F14">
        <w:rPr>
          <w:b/>
          <w:bCs/>
        </w:rPr>
        <w:t>Insolvency &amp; Bankruptcy Code (IBC), 2016</w:t>
      </w:r>
    </w:p>
    <w:p w14:paraId="7601B10B" w14:textId="77777777" w:rsidR="009C4F14" w:rsidRPr="009C4F14" w:rsidRDefault="009C4F14" w:rsidP="00212C17">
      <w:pPr>
        <w:numPr>
          <w:ilvl w:val="0"/>
          <w:numId w:val="5"/>
        </w:numPr>
        <w:spacing w:after="0"/>
        <w:jc w:val="both"/>
      </w:pPr>
      <w:r w:rsidRPr="009C4F14">
        <w:rPr>
          <w:b/>
          <w:bCs/>
        </w:rPr>
        <w:t>SEBI Regulations</w:t>
      </w:r>
      <w:r w:rsidRPr="009C4F14">
        <w:t xml:space="preserve"> (for listed companies)</w:t>
      </w:r>
    </w:p>
    <w:p w14:paraId="39F1FAD7" w14:textId="77777777" w:rsidR="009C4F14" w:rsidRPr="009C4F14" w:rsidRDefault="009C4F14" w:rsidP="00212C17">
      <w:pPr>
        <w:numPr>
          <w:ilvl w:val="0"/>
          <w:numId w:val="5"/>
        </w:numPr>
        <w:spacing w:after="0"/>
        <w:jc w:val="both"/>
      </w:pPr>
      <w:r w:rsidRPr="009C4F14">
        <w:rPr>
          <w:b/>
          <w:bCs/>
        </w:rPr>
        <w:t>Income Tax Act, 1961</w:t>
      </w:r>
      <w:r w:rsidRPr="009C4F14">
        <w:t xml:space="preserve"> (for tax-neutral restructuring)</w:t>
      </w:r>
    </w:p>
    <w:p w14:paraId="1330F016" w14:textId="77777777" w:rsidR="009C4F14" w:rsidRPr="009C4F14" w:rsidRDefault="009C4F14" w:rsidP="00212C17">
      <w:pPr>
        <w:numPr>
          <w:ilvl w:val="0"/>
          <w:numId w:val="5"/>
        </w:numPr>
        <w:spacing w:after="0"/>
        <w:jc w:val="both"/>
      </w:pPr>
      <w:r w:rsidRPr="009C4F14">
        <w:rPr>
          <w:b/>
          <w:bCs/>
        </w:rPr>
        <w:t>FEMA Regulations</w:t>
      </w:r>
      <w:r w:rsidRPr="009C4F14">
        <w:t xml:space="preserve"> (for foreign investments)</w:t>
      </w:r>
    </w:p>
    <w:p w14:paraId="577737A2" w14:textId="77777777" w:rsidR="009C4F14" w:rsidRPr="009C4F14" w:rsidRDefault="009C4F14" w:rsidP="00212C17">
      <w:pPr>
        <w:numPr>
          <w:ilvl w:val="0"/>
          <w:numId w:val="5"/>
        </w:numPr>
        <w:spacing w:after="0"/>
        <w:jc w:val="both"/>
      </w:pPr>
      <w:r w:rsidRPr="009C4F14">
        <w:rPr>
          <w:b/>
          <w:bCs/>
        </w:rPr>
        <w:t>RBI Guidelines</w:t>
      </w:r>
      <w:r w:rsidRPr="009C4F14">
        <w:t xml:space="preserve"> (for debt restructuring and banking compliance)</w:t>
      </w:r>
    </w:p>
    <w:p w14:paraId="139E322C" w14:textId="49A95BCF" w:rsidR="009C4F14" w:rsidRPr="009C4F14" w:rsidRDefault="009C4F14" w:rsidP="00212C17">
      <w:pPr>
        <w:spacing w:after="0"/>
        <w:jc w:val="both"/>
      </w:pPr>
    </w:p>
    <w:p w14:paraId="36F7802D" w14:textId="77777777" w:rsidR="009C4F14" w:rsidRPr="009C4F14" w:rsidRDefault="009C4F14" w:rsidP="00212C17">
      <w:pPr>
        <w:spacing w:after="0"/>
        <w:jc w:val="both"/>
        <w:rPr>
          <w:b/>
          <w:bCs/>
        </w:rPr>
      </w:pPr>
      <w:r w:rsidRPr="009C4F14">
        <w:rPr>
          <w:rFonts w:ascii="Segoe UI Emoji" w:hAnsi="Segoe UI Emoji" w:cs="Segoe UI Emoji"/>
          <w:b/>
          <w:bCs/>
        </w:rPr>
        <w:t>📜</w:t>
      </w:r>
      <w:r w:rsidRPr="009C4F14">
        <w:rPr>
          <w:b/>
          <w:bCs/>
        </w:rPr>
        <w:t xml:space="preserve"> Documentation &amp; Filings Handled</w:t>
      </w:r>
    </w:p>
    <w:p w14:paraId="4FFD0F0B" w14:textId="77777777" w:rsidR="009C4F14" w:rsidRPr="009C4F14" w:rsidRDefault="009C4F14" w:rsidP="00212C17">
      <w:pPr>
        <w:numPr>
          <w:ilvl w:val="0"/>
          <w:numId w:val="6"/>
        </w:numPr>
        <w:spacing w:after="0"/>
        <w:jc w:val="both"/>
      </w:pPr>
      <w:r w:rsidRPr="009C4F14">
        <w:t>Drafting of Restructuring Scheme / Business Transfer Agreements</w:t>
      </w:r>
    </w:p>
    <w:p w14:paraId="3A370AE3" w14:textId="77777777" w:rsidR="009C4F14" w:rsidRPr="009C4F14" w:rsidRDefault="009C4F14" w:rsidP="00212C17">
      <w:pPr>
        <w:numPr>
          <w:ilvl w:val="0"/>
          <w:numId w:val="6"/>
        </w:numPr>
        <w:spacing w:after="0"/>
        <w:jc w:val="both"/>
      </w:pPr>
      <w:r w:rsidRPr="009C4F14">
        <w:t>Shareholder and Board Resolutions</w:t>
      </w:r>
    </w:p>
    <w:p w14:paraId="6CA983E6" w14:textId="77777777" w:rsidR="009C4F14" w:rsidRPr="009C4F14" w:rsidRDefault="009C4F14" w:rsidP="00212C17">
      <w:pPr>
        <w:numPr>
          <w:ilvl w:val="0"/>
          <w:numId w:val="6"/>
        </w:numPr>
        <w:spacing w:after="0"/>
        <w:jc w:val="both"/>
      </w:pPr>
      <w:r w:rsidRPr="009C4F14">
        <w:t xml:space="preserve">Filing with </w:t>
      </w:r>
      <w:r w:rsidRPr="009C4F14">
        <w:rPr>
          <w:b/>
          <w:bCs/>
        </w:rPr>
        <w:t>Registrar of Companies (ROC)</w:t>
      </w:r>
    </w:p>
    <w:p w14:paraId="3E35FBCD" w14:textId="77777777" w:rsidR="009C4F14" w:rsidRPr="009C4F14" w:rsidRDefault="009C4F14" w:rsidP="00212C17">
      <w:pPr>
        <w:numPr>
          <w:ilvl w:val="0"/>
          <w:numId w:val="6"/>
        </w:numPr>
        <w:spacing w:after="0"/>
        <w:jc w:val="both"/>
      </w:pPr>
      <w:r w:rsidRPr="009C4F14">
        <w:t xml:space="preserve">Application filing with </w:t>
      </w:r>
      <w:r w:rsidRPr="009C4F14">
        <w:rPr>
          <w:b/>
          <w:bCs/>
        </w:rPr>
        <w:t>NCLT (National Company Law Tribunal)</w:t>
      </w:r>
    </w:p>
    <w:p w14:paraId="3809BB05" w14:textId="77777777" w:rsidR="009C4F14" w:rsidRPr="009C4F14" w:rsidRDefault="009C4F14" w:rsidP="00212C17">
      <w:pPr>
        <w:numPr>
          <w:ilvl w:val="0"/>
          <w:numId w:val="6"/>
        </w:numPr>
        <w:spacing w:after="0"/>
        <w:jc w:val="both"/>
      </w:pPr>
      <w:r w:rsidRPr="009C4F14">
        <w:t>Coordination with auditors, legal counsels, and valuation professionals</w:t>
      </w:r>
    </w:p>
    <w:p w14:paraId="68587698" w14:textId="77777777" w:rsidR="009C4F14" w:rsidRPr="009C4F14" w:rsidRDefault="009C4F14" w:rsidP="00212C17">
      <w:pPr>
        <w:numPr>
          <w:ilvl w:val="0"/>
          <w:numId w:val="6"/>
        </w:numPr>
        <w:spacing w:after="0"/>
        <w:jc w:val="both"/>
      </w:pPr>
      <w:r w:rsidRPr="009C4F14">
        <w:t xml:space="preserve">Support in </w:t>
      </w:r>
      <w:r w:rsidRPr="009C4F14">
        <w:rPr>
          <w:b/>
          <w:bCs/>
        </w:rPr>
        <w:t>stamp duty assessments</w:t>
      </w:r>
      <w:r w:rsidRPr="009C4F14">
        <w:t xml:space="preserve"> and </w:t>
      </w:r>
      <w:r w:rsidRPr="009C4F14">
        <w:rPr>
          <w:b/>
          <w:bCs/>
        </w:rPr>
        <w:t>tax clearance certificates</w:t>
      </w:r>
    </w:p>
    <w:p w14:paraId="24CAA5DF" w14:textId="0133F5D6" w:rsidR="009C4F14" w:rsidRPr="009C4F14" w:rsidRDefault="009C4F14" w:rsidP="00212C17">
      <w:pPr>
        <w:spacing w:after="0"/>
        <w:jc w:val="both"/>
      </w:pPr>
    </w:p>
    <w:p w14:paraId="0D4A3122" w14:textId="2E407623" w:rsidR="009C4F14" w:rsidRPr="009C4F14" w:rsidRDefault="009C4F14" w:rsidP="00212C17">
      <w:pPr>
        <w:spacing w:after="0"/>
        <w:jc w:val="both"/>
        <w:rPr>
          <w:b/>
          <w:bCs/>
        </w:rPr>
      </w:pPr>
      <w:r w:rsidRPr="009C4F14">
        <w:rPr>
          <w:rFonts w:ascii="Segoe UI Emoji" w:hAnsi="Segoe UI Emoji" w:cs="Segoe UI Emoji"/>
          <w:b/>
          <w:bCs/>
        </w:rPr>
        <w:t>📈</w:t>
      </w:r>
      <w:r w:rsidRPr="009C4F14">
        <w:rPr>
          <w:b/>
          <w:bCs/>
        </w:rPr>
        <w:t xml:space="preserve"> Key Benefits for Clients</w:t>
      </w:r>
    </w:p>
    <w:p w14:paraId="0496A69E" w14:textId="77777777" w:rsidR="00212C17" w:rsidRDefault="009C4F14" w:rsidP="00212C17">
      <w:pPr>
        <w:spacing w:after="0"/>
        <w:jc w:val="both"/>
        <w:rPr>
          <w:b/>
          <w:bCs/>
        </w:rPr>
      </w:pPr>
      <w:r w:rsidRPr="009C4F14">
        <w:rPr>
          <w:rFonts w:ascii="Segoe UI Emoji" w:hAnsi="Segoe UI Emoji" w:cs="Segoe UI Emoji"/>
        </w:rPr>
        <w:t>✔️</w:t>
      </w:r>
      <w:r w:rsidRPr="009C4F14">
        <w:t xml:space="preserve"> </w:t>
      </w:r>
      <w:r w:rsidRPr="009C4F14">
        <w:rPr>
          <w:b/>
          <w:bCs/>
        </w:rPr>
        <w:t>Enhanced Operational Efficiency</w:t>
      </w:r>
    </w:p>
    <w:p w14:paraId="0B19B1F0" w14:textId="1935AF75" w:rsidR="00212C17" w:rsidRDefault="009C4F14" w:rsidP="00212C17">
      <w:pPr>
        <w:spacing w:after="0"/>
        <w:jc w:val="both"/>
        <w:rPr>
          <w:b/>
          <w:bCs/>
        </w:rPr>
      </w:pPr>
      <w:r w:rsidRPr="009C4F14">
        <w:rPr>
          <w:rFonts w:ascii="Segoe UI Emoji" w:hAnsi="Segoe UI Emoji" w:cs="Segoe UI Emoji"/>
        </w:rPr>
        <w:t>✔️</w:t>
      </w:r>
      <w:r w:rsidRPr="009C4F14">
        <w:t xml:space="preserve"> </w:t>
      </w:r>
      <w:r w:rsidRPr="009C4F14">
        <w:rPr>
          <w:b/>
          <w:bCs/>
        </w:rPr>
        <w:t>Improved Cash Flow Management</w:t>
      </w:r>
    </w:p>
    <w:p w14:paraId="12FF9A2F" w14:textId="3B98E8E8" w:rsidR="00212C17" w:rsidRDefault="009C4F14" w:rsidP="00212C17">
      <w:pPr>
        <w:spacing w:after="0"/>
        <w:jc w:val="both"/>
        <w:rPr>
          <w:b/>
          <w:bCs/>
        </w:rPr>
      </w:pPr>
      <w:r w:rsidRPr="009C4F14">
        <w:rPr>
          <w:rFonts w:ascii="Segoe UI Emoji" w:hAnsi="Segoe UI Emoji" w:cs="Segoe UI Emoji"/>
        </w:rPr>
        <w:t>✔️</w:t>
      </w:r>
      <w:r w:rsidRPr="009C4F14">
        <w:t xml:space="preserve"> </w:t>
      </w:r>
      <w:r w:rsidRPr="009C4F14">
        <w:rPr>
          <w:b/>
          <w:bCs/>
        </w:rPr>
        <w:t>Regulatory Compliance Simplified</w:t>
      </w:r>
    </w:p>
    <w:p w14:paraId="649086A5" w14:textId="77777777" w:rsidR="00212C17" w:rsidRDefault="009C4F14" w:rsidP="00212C17">
      <w:pPr>
        <w:spacing w:after="0"/>
        <w:jc w:val="both"/>
        <w:rPr>
          <w:b/>
          <w:bCs/>
        </w:rPr>
      </w:pPr>
      <w:r w:rsidRPr="009C4F14">
        <w:rPr>
          <w:rFonts w:ascii="Segoe UI Emoji" w:hAnsi="Segoe UI Emoji" w:cs="Segoe UI Emoji"/>
        </w:rPr>
        <w:t>✔️</w:t>
      </w:r>
      <w:r w:rsidRPr="009C4F14">
        <w:t xml:space="preserve"> </w:t>
      </w:r>
      <w:r w:rsidRPr="009C4F14">
        <w:rPr>
          <w:b/>
          <w:bCs/>
        </w:rPr>
        <w:t>Investor Confidence Boosted</w:t>
      </w:r>
    </w:p>
    <w:p w14:paraId="2EA5A059" w14:textId="510E7D1E" w:rsidR="00212C17" w:rsidRDefault="009C4F14" w:rsidP="00212C17">
      <w:pPr>
        <w:spacing w:after="0"/>
        <w:jc w:val="both"/>
        <w:rPr>
          <w:b/>
          <w:bCs/>
        </w:rPr>
      </w:pPr>
      <w:r w:rsidRPr="009C4F14">
        <w:rPr>
          <w:rFonts w:ascii="Segoe UI Emoji" w:hAnsi="Segoe UI Emoji" w:cs="Segoe UI Emoji"/>
        </w:rPr>
        <w:t>✔️</w:t>
      </w:r>
      <w:r w:rsidRPr="009C4F14">
        <w:t xml:space="preserve"> </w:t>
      </w:r>
      <w:r w:rsidRPr="009C4F14">
        <w:rPr>
          <w:b/>
          <w:bCs/>
        </w:rPr>
        <w:t>Better Risk Management and Control</w:t>
      </w:r>
    </w:p>
    <w:p w14:paraId="724BA603" w14:textId="33E2C4BC" w:rsidR="009C4F14" w:rsidRPr="009C4F14" w:rsidRDefault="009C4F14" w:rsidP="00212C17">
      <w:pPr>
        <w:spacing w:after="0"/>
        <w:jc w:val="both"/>
      </w:pPr>
      <w:r w:rsidRPr="009C4F14">
        <w:rPr>
          <w:rFonts w:ascii="Segoe UI Emoji" w:hAnsi="Segoe UI Emoji" w:cs="Segoe UI Emoji"/>
        </w:rPr>
        <w:t>✔️</w:t>
      </w:r>
      <w:r w:rsidRPr="009C4F14">
        <w:t xml:space="preserve"> </w:t>
      </w:r>
      <w:r w:rsidRPr="009C4F14">
        <w:rPr>
          <w:b/>
          <w:bCs/>
        </w:rPr>
        <w:t>Legal Protection in Complex Transitions</w:t>
      </w:r>
    </w:p>
    <w:p w14:paraId="5B2CB7ED" w14:textId="416AB9DB" w:rsidR="009C4F14" w:rsidRPr="009C4F14" w:rsidRDefault="009C4F14" w:rsidP="00212C17">
      <w:pPr>
        <w:spacing w:after="0"/>
        <w:jc w:val="both"/>
      </w:pPr>
    </w:p>
    <w:p w14:paraId="5D98DC3B" w14:textId="77777777" w:rsidR="009C4F14" w:rsidRPr="009C4F14" w:rsidRDefault="009C4F14" w:rsidP="00212C17">
      <w:pPr>
        <w:spacing w:after="0"/>
        <w:jc w:val="both"/>
        <w:rPr>
          <w:b/>
          <w:bCs/>
        </w:rPr>
      </w:pPr>
      <w:r w:rsidRPr="009C4F14">
        <w:rPr>
          <w:rFonts w:ascii="Segoe UI Emoji" w:hAnsi="Segoe UI Emoji" w:cs="Segoe UI Emoji"/>
          <w:b/>
          <w:bCs/>
        </w:rPr>
        <w:t>🧩</w:t>
      </w:r>
      <w:r w:rsidRPr="009C4F14">
        <w:rPr>
          <w:b/>
          <w:bCs/>
        </w:rPr>
        <w:t xml:space="preserve"> Our Role as Company Secretary Professionals</w:t>
      </w:r>
    </w:p>
    <w:p w14:paraId="4C45BB2B" w14:textId="77777777" w:rsidR="009C4F14" w:rsidRPr="009C4F14" w:rsidRDefault="009C4F14" w:rsidP="00212C17">
      <w:pPr>
        <w:spacing w:after="0"/>
        <w:jc w:val="both"/>
      </w:pPr>
      <w:r w:rsidRPr="009C4F14">
        <w:t>As certified Company Secretaries, our role includes:</w:t>
      </w:r>
    </w:p>
    <w:p w14:paraId="2A2A4481" w14:textId="77777777" w:rsidR="009C4F14" w:rsidRPr="00887718" w:rsidRDefault="009C4F14" w:rsidP="00212C17">
      <w:pPr>
        <w:numPr>
          <w:ilvl w:val="0"/>
          <w:numId w:val="7"/>
        </w:numPr>
        <w:spacing w:after="0"/>
        <w:jc w:val="both"/>
      </w:pPr>
      <w:r w:rsidRPr="00887718">
        <w:rPr>
          <w:bCs/>
        </w:rPr>
        <w:t>Strategic Advisory</w:t>
      </w:r>
      <w:r w:rsidRPr="00887718">
        <w:t xml:space="preserve"> on suitable restructuring options</w:t>
      </w:r>
    </w:p>
    <w:p w14:paraId="3292C136" w14:textId="77777777" w:rsidR="009C4F14" w:rsidRPr="00887718" w:rsidRDefault="009C4F14" w:rsidP="00212C17">
      <w:pPr>
        <w:numPr>
          <w:ilvl w:val="0"/>
          <w:numId w:val="7"/>
        </w:numPr>
        <w:spacing w:after="0"/>
        <w:jc w:val="both"/>
      </w:pPr>
      <w:r w:rsidRPr="00887718">
        <w:rPr>
          <w:bCs/>
        </w:rPr>
        <w:t>Due Diligence &amp; Feasibility Reports</w:t>
      </w:r>
    </w:p>
    <w:p w14:paraId="430AFEDF" w14:textId="77777777" w:rsidR="009C4F14" w:rsidRPr="00887718" w:rsidRDefault="009C4F14" w:rsidP="00212C17">
      <w:pPr>
        <w:numPr>
          <w:ilvl w:val="0"/>
          <w:numId w:val="7"/>
        </w:numPr>
        <w:spacing w:after="0"/>
        <w:jc w:val="both"/>
      </w:pPr>
      <w:r w:rsidRPr="00887718">
        <w:rPr>
          <w:bCs/>
        </w:rPr>
        <w:t>Legal Drafting &amp; Documentation</w:t>
      </w:r>
    </w:p>
    <w:p w14:paraId="17E08B14" w14:textId="77777777" w:rsidR="009C4F14" w:rsidRPr="00887718" w:rsidRDefault="009C4F14" w:rsidP="00212C17">
      <w:pPr>
        <w:numPr>
          <w:ilvl w:val="0"/>
          <w:numId w:val="7"/>
        </w:numPr>
        <w:spacing w:after="0"/>
        <w:jc w:val="both"/>
      </w:pPr>
      <w:r w:rsidRPr="00887718">
        <w:rPr>
          <w:bCs/>
        </w:rPr>
        <w:t>Liaising with Authorities</w:t>
      </w:r>
      <w:r w:rsidRPr="00887718">
        <w:t xml:space="preserve"> (ROC, NCLT, SEBI, RBI, Banks)</w:t>
      </w:r>
    </w:p>
    <w:p w14:paraId="1C443E7B" w14:textId="77777777" w:rsidR="009C4F14" w:rsidRPr="00887718" w:rsidRDefault="009C4F14" w:rsidP="00212C17">
      <w:pPr>
        <w:numPr>
          <w:ilvl w:val="0"/>
          <w:numId w:val="7"/>
        </w:numPr>
        <w:spacing w:after="0"/>
        <w:jc w:val="both"/>
      </w:pPr>
      <w:r w:rsidRPr="00887718">
        <w:rPr>
          <w:bCs/>
        </w:rPr>
        <w:t>Corporate Governance Assurance</w:t>
      </w:r>
      <w:r w:rsidRPr="00887718">
        <w:t xml:space="preserve"> throughout the process</w:t>
      </w:r>
    </w:p>
    <w:p w14:paraId="011DC1B7" w14:textId="77777777" w:rsidR="009C4F14" w:rsidRPr="00887718" w:rsidRDefault="009C4F14" w:rsidP="00212C17">
      <w:pPr>
        <w:numPr>
          <w:ilvl w:val="0"/>
          <w:numId w:val="7"/>
        </w:numPr>
        <w:spacing w:after="0"/>
        <w:jc w:val="both"/>
      </w:pPr>
      <w:r w:rsidRPr="00887718">
        <w:rPr>
          <w:bCs/>
        </w:rPr>
        <w:t>End-to-End Execution &amp; Handholding</w:t>
      </w:r>
    </w:p>
    <w:p w14:paraId="6D9D3277" w14:textId="3668D95B" w:rsidR="009C4F14" w:rsidRPr="00887718" w:rsidRDefault="009C4F14" w:rsidP="00212C17">
      <w:pPr>
        <w:spacing w:after="0"/>
        <w:jc w:val="both"/>
      </w:pPr>
    </w:p>
    <w:p w14:paraId="42A5E6C8" w14:textId="77777777" w:rsidR="009C4F14" w:rsidRPr="009C4F14" w:rsidRDefault="009C4F14" w:rsidP="00212C17">
      <w:pPr>
        <w:spacing w:after="0"/>
        <w:jc w:val="both"/>
        <w:rPr>
          <w:b/>
          <w:bCs/>
        </w:rPr>
      </w:pPr>
      <w:r w:rsidRPr="009C4F14">
        <w:rPr>
          <w:rFonts w:ascii="Segoe UI Emoji" w:hAnsi="Segoe UI Emoji" w:cs="Segoe UI Emoji"/>
          <w:b/>
          <w:bCs/>
        </w:rPr>
        <w:t>📌</w:t>
      </w:r>
      <w:r w:rsidRPr="009C4F14">
        <w:rPr>
          <w:b/>
          <w:bCs/>
        </w:rPr>
        <w:t xml:space="preserve"> Common Scenarios We Handle</w:t>
      </w:r>
    </w:p>
    <w:p w14:paraId="71936D15" w14:textId="77777777" w:rsidR="009C4F14" w:rsidRPr="009C4F14" w:rsidRDefault="009C4F14" w:rsidP="00212C17">
      <w:pPr>
        <w:numPr>
          <w:ilvl w:val="0"/>
          <w:numId w:val="8"/>
        </w:numPr>
        <w:spacing w:after="0"/>
        <w:jc w:val="both"/>
      </w:pPr>
      <w:r w:rsidRPr="009C4F14">
        <w:t>Merger of Group Companies for operational synergy</w:t>
      </w:r>
    </w:p>
    <w:p w14:paraId="3FCCA415" w14:textId="77777777" w:rsidR="009C4F14" w:rsidRPr="009C4F14" w:rsidRDefault="009C4F14" w:rsidP="00212C17">
      <w:pPr>
        <w:numPr>
          <w:ilvl w:val="0"/>
          <w:numId w:val="8"/>
        </w:numPr>
        <w:spacing w:after="0"/>
        <w:jc w:val="both"/>
      </w:pPr>
      <w:r w:rsidRPr="009C4F14">
        <w:t>Spin-off of underperforming business units</w:t>
      </w:r>
    </w:p>
    <w:p w14:paraId="28BF915F" w14:textId="77777777" w:rsidR="009C4F14" w:rsidRPr="009C4F14" w:rsidRDefault="009C4F14" w:rsidP="00212C17">
      <w:pPr>
        <w:numPr>
          <w:ilvl w:val="0"/>
          <w:numId w:val="8"/>
        </w:numPr>
        <w:spacing w:after="0"/>
        <w:jc w:val="both"/>
      </w:pPr>
      <w:r w:rsidRPr="009C4F14">
        <w:t>Debt restructuring for companies under financial pressure</w:t>
      </w:r>
    </w:p>
    <w:p w14:paraId="5838B7E3" w14:textId="77777777" w:rsidR="009C4F14" w:rsidRPr="009C4F14" w:rsidRDefault="009C4F14" w:rsidP="00212C17">
      <w:pPr>
        <w:numPr>
          <w:ilvl w:val="0"/>
          <w:numId w:val="8"/>
        </w:numPr>
        <w:spacing w:after="0"/>
        <w:jc w:val="both"/>
      </w:pPr>
      <w:r w:rsidRPr="009C4F14">
        <w:t>Conversion of LLP to Company or vice versa</w:t>
      </w:r>
    </w:p>
    <w:p w14:paraId="12F35928" w14:textId="77777777" w:rsidR="009C4F14" w:rsidRPr="009C4F14" w:rsidRDefault="009C4F14" w:rsidP="00212C17">
      <w:pPr>
        <w:numPr>
          <w:ilvl w:val="0"/>
          <w:numId w:val="8"/>
        </w:numPr>
        <w:spacing w:after="0"/>
        <w:jc w:val="both"/>
      </w:pPr>
      <w:r w:rsidRPr="009C4F14">
        <w:t>Capital restructuring for attracting investors</w:t>
      </w:r>
    </w:p>
    <w:p w14:paraId="2A796D56" w14:textId="77777777" w:rsidR="009C4F14" w:rsidRPr="009C4F14" w:rsidRDefault="009C4F14" w:rsidP="00212C17">
      <w:pPr>
        <w:spacing w:after="0"/>
        <w:jc w:val="both"/>
        <w:rPr>
          <w:b/>
          <w:bCs/>
        </w:rPr>
      </w:pPr>
      <w:r w:rsidRPr="009C4F14">
        <w:rPr>
          <w:rFonts w:ascii="Segoe UI Emoji" w:hAnsi="Segoe UI Emoji" w:cs="Segoe UI Emoji"/>
          <w:b/>
          <w:bCs/>
        </w:rPr>
        <w:lastRenderedPageBreak/>
        <w:t>🕒</w:t>
      </w:r>
      <w:r w:rsidRPr="009C4F14">
        <w:rPr>
          <w:b/>
          <w:bCs/>
        </w:rPr>
        <w:t xml:space="preserve"> Turnaround Time</w:t>
      </w:r>
    </w:p>
    <w:p w14:paraId="0F6449B9" w14:textId="77777777" w:rsidR="009C4F14" w:rsidRPr="009C4F14" w:rsidRDefault="009C4F14" w:rsidP="00212C17">
      <w:pPr>
        <w:spacing w:after="0"/>
        <w:jc w:val="both"/>
      </w:pPr>
      <w:r w:rsidRPr="009C4F14">
        <w:t>The time required for restructuring varies based on the type and complexity (usually 3–6 months for mergers/demergers; 30–45 days for capital restructuring or company conversion).</w:t>
      </w:r>
    </w:p>
    <w:p w14:paraId="366F68A2" w14:textId="77777777" w:rsidR="009C4F14" w:rsidRDefault="009C4F14" w:rsidP="00212C17">
      <w:pPr>
        <w:spacing w:after="0"/>
        <w:jc w:val="both"/>
        <w:rPr>
          <w:b/>
          <w:bCs/>
        </w:rPr>
      </w:pPr>
    </w:p>
    <w:p w14:paraId="7EFB8FF1" w14:textId="22E14060" w:rsidR="009C4F14" w:rsidRPr="009C4F14" w:rsidRDefault="009C4F14" w:rsidP="00212C17">
      <w:pPr>
        <w:spacing w:after="0"/>
        <w:jc w:val="both"/>
        <w:rPr>
          <w:b/>
          <w:bCs/>
        </w:rPr>
      </w:pPr>
      <w:r w:rsidRPr="009C4F14">
        <w:rPr>
          <w:b/>
          <w:bCs/>
        </w:rPr>
        <w:t>Why Clients Choose Us?</w:t>
      </w:r>
    </w:p>
    <w:p w14:paraId="1DA23C29" w14:textId="77777777" w:rsidR="00212C17" w:rsidRDefault="009C4F14" w:rsidP="00212C17">
      <w:pPr>
        <w:spacing w:after="0"/>
        <w:jc w:val="both"/>
        <w:rPr>
          <w:bCs/>
        </w:rPr>
      </w:pPr>
      <w:r w:rsidRPr="009C4F14">
        <w:rPr>
          <w:rFonts w:ascii="Segoe UI Emoji" w:hAnsi="Segoe UI Emoji" w:cs="Segoe UI Emoji"/>
        </w:rPr>
        <w:t>✅</w:t>
      </w:r>
      <w:r w:rsidRPr="009C4F14">
        <w:t xml:space="preserve"> </w:t>
      </w:r>
      <w:r w:rsidRPr="00887718">
        <w:rPr>
          <w:bCs/>
        </w:rPr>
        <w:t>Expert Guidance from Certified CS Professionals</w:t>
      </w:r>
    </w:p>
    <w:p w14:paraId="0FAA3468" w14:textId="1BD80932" w:rsidR="00212C17" w:rsidRDefault="009C4F14" w:rsidP="00212C17">
      <w:pPr>
        <w:spacing w:after="0"/>
        <w:jc w:val="both"/>
        <w:rPr>
          <w:bCs/>
        </w:rPr>
      </w:pPr>
      <w:r w:rsidRPr="00887718">
        <w:rPr>
          <w:rFonts w:ascii="Segoe UI Emoji" w:hAnsi="Segoe UI Emoji" w:cs="Segoe UI Emoji"/>
        </w:rPr>
        <w:t>✅</w:t>
      </w:r>
      <w:r w:rsidRPr="00887718">
        <w:t xml:space="preserve"> </w:t>
      </w:r>
      <w:r w:rsidRPr="00887718">
        <w:rPr>
          <w:bCs/>
        </w:rPr>
        <w:t>Comprehensive Legal &amp; Procedural Compliance</w:t>
      </w:r>
    </w:p>
    <w:p w14:paraId="6800913C" w14:textId="49E590F0" w:rsidR="00212C17" w:rsidRDefault="009C4F14" w:rsidP="00212C17">
      <w:pPr>
        <w:spacing w:after="0"/>
        <w:jc w:val="both"/>
        <w:rPr>
          <w:bCs/>
        </w:rPr>
      </w:pPr>
      <w:r w:rsidRPr="00887718">
        <w:rPr>
          <w:rFonts w:ascii="Segoe UI Emoji" w:hAnsi="Segoe UI Emoji" w:cs="Segoe UI Emoji"/>
        </w:rPr>
        <w:t>✅</w:t>
      </w:r>
      <w:r w:rsidRPr="00887718">
        <w:t xml:space="preserve"> </w:t>
      </w:r>
      <w:r w:rsidRPr="00887718">
        <w:rPr>
          <w:bCs/>
        </w:rPr>
        <w:t>Customized Restructuring Strategies</w:t>
      </w:r>
    </w:p>
    <w:p w14:paraId="734669D5" w14:textId="06F635DC" w:rsidR="00212C17" w:rsidRDefault="009C4F14" w:rsidP="00212C17">
      <w:pPr>
        <w:spacing w:after="0"/>
        <w:jc w:val="both"/>
        <w:rPr>
          <w:bCs/>
        </w:rPr>
      </w:pPr>
      <w:r w:rsidRPr="00887718">
        <w:rPr>
          <w:rFonts w:ascii="Segoe UI Emoji" w:hAnsi="Segoe UI Emoji" w:cs="Segoe UI Emoji"/>
        </w:rPr>
        <w:t>✅</w:t>
      </w:r>
      <w:r w:rsidRPr="00887718">
        <w:t xml:space="preserve"> </w:t>
      </w:r>
      <w:r w:rsidRPr="00887718">
        <w:rPr>
          <w:bCs/>
        </w:rPr>
        <w:t>Transparent &amp; Confidential Process</w:t>
      </w:r>
    </w:p>
    <w:p w14:paraId="7716190D" w14:textId="2E7CF743" w:rsidR="00212C17" w:rsidRDefault="009C4F14" w:rsidP="00212C17">
      <w:pPr>
        <w:spacing w:after="0"/>
        <w:jc w:val="both"/>
        <w:rPr>
          <w:bCs/>
        </w:rPr>
      </w:pPr>
      <w:proofErr w:type="gramStart"/>
      <w:r w:rsidRPr="00887718">
        <w:rPr>
          <w:rFonts w:ascii="Segoe UI Emoji" w:hAnsi="Segoe UI Emoji" w:cs="Segoe UI Emoji"/>
        </w:rPr>
        <w:t>✅</w:t>
      </w:r>
      <w:r w:rsidRPr="00887718">
        <w:t xml:space="preserve"> </w:t>
      </w:r>
      <w:r w:rsidRPr="00887718">
        <w:rPr>
          <w:bCs/>
        </w:rPr>
        <w:t>Seamless Coordination with Regulators (ROC, NCLT, SEBI, etc.)</w:t>
      </w:r>
      <w:proofErr w:type="gramEnd"/>
    </w:p>
    <w:p w14:paraId="13CE1F24" w14:textId="0B26A3FA" w:rsidR="009C4F14" w:rsidRPr="00887718" w:rsidRDefault="009C4F14" w:rsidP="00212C17">
      <w:pPr>
        <w:spacing w:after="0"/>
        <w:jc w:val="both"/>
      </w:pPr>
      <w:r w:rsidRPr="00887718">
        <w:rPr>
          <w:rFonts w:ascii="Segoe UI Emoji" w:hAnsi="Segoe UI Emoji" w:cs="Segoe UI Emoji"/>
        </w:rPr>
        <w:t>✅</w:t>
      </w:r>
      <w:r w:rsidRPr="00887718">
        <w:t xml:space="preserve"> </w:t>
      </w:r>
      <w:r w:rsidRPr="00887718">
        <w:rPr>
          <w:bCs/>
        </w:rPr>
        <w:t>Time-bound, Cost-effective Execution</w:t>
      </w:r>
    </w:p>
    <w:p w14:paraId="658D7507" w14:textId="28AA9A9D" w:rsidR="009C4F14" w:rsidRPr="009C4F14" w:rsidRDefault="009C4F14" w:rsidP="00212C17">
      <w:pPr>
        <w:spacing w:after="0"/>
        <w:jc w:val="both"/>
      </w:pPr>
    </w:p>
    <w:p w14:paraId="7ECF7C49" w14:textId="77777777" w:rsidR="009C4F14" w:rsidRPr="009C4F14" w:rsidRDefault="009C4F14" w:rsidP="00212C17">
      <w:pPr>
        <w:spacing w:after="0"/>
        <w:jc w:val="both"/>
        <w:rPr>
          <w:b/>
          <w:bCs/>
        </w:rPr>
      </w:pPr>
      <w:r w:rsidRPr="009C4F14">
        <w:rPr>
          <w:b/>
          <w:bCs/>
        </w:rPr>
        <w:t>Who Needs This Service?</w:t>
      </w:r>
    </w:p>
    <w:p w14:paraId="78DFE830" w14:textId="77777777" w:rsidR="009C4F14" w:rsidRPr="009C4F14" w:rsidRDefault="009C4F14" w:rsidP="00212C17">
      <w:pPr>
        <w:numPr>
          <w:ilvl w:val="0"/>
          <w:numId w:val="4"/>
        </w:numPr>
        <w:spacing w:after="0"/>
        <w:jc w:val="both"/>
      </w:pPr>
      <w:r w:rsidRPr="009C4F14">
        <w:t>Companies planning to expand, downsize, or diversify</w:t>
      </w:r>
    </w:p>
    <w:p w14:paraId="40DB7A64" w14:textId="77777777" w:rsidR="009C4F14" w:rsidRPr="009C4F14" w:rsidRDefault="009C4F14" w:rsidP="00212C17">
      <w:pPr>
        <w:numPr>
          <w:ilvl w:val="0"/>
          <w:numId w:val="4"/>
        </w:numPr>
        <w:spacing w:after="0"/>
        <w:jc w:val="both"/>
      </w:pPr>
      <w:r w:rsidRPr="009C4F14">
        <w:t>Businesses with high debt or financial stress</w:t>
      </w:r>
    </w:p>
    <w:p w14:paraId="3EF31908" w14:textId="77777777" w:rsidR="009C4F14" w:rsidRPr="009C4F14" w:rsidRDefault="009C4F14" w:rsidP="00212C17">
      <w:pPr>
        <w:numPr>
          <w:ilvl w:val="0"/>
          <w:numId w:val="4"/>
        </w:numPr>
        <w:spacing w:after="0"/>
        <w:jc w:val="both"/>
      </w:pPr>
      <w:r w:rsidRPr="009C4F14">
        <w:t>Startups merging with or acquiring other entities</w:t>
      </w:r>
    </w:p>
    <w:p w14:paraId="0F14256C" w14:textId="77777777" w:rsidR="009C4F14" w:rsidRPr="009C4F14" w:rsidRDefault="009C4F14" w:rsidP="00212C17">
      <w:pPr>
        <w:numPr>
          <w:ilvl w:val="0"/>
          <w:numId w:val="4"/>
        </w:numPr>
        <w:spacing w:after="0"/>
        <w:jc w:val="both"/>
      </w:pPr>
      <w:r w:rsidRPr="009C4F14">
        <w:t>Businesses facing compliance issues with existing corporate structure</w:t>
      </w:r>
    </w:p>
    <w:p w14:paraId="12EC47BA" w14:textId="77777777" w:rsidR="009C4F14" w:rsidRPr="009C4F14" w:rsidRDefault="009C4F14" w:rsidP="00212C17">
      <w:pPr>
        <w:numPr>
          <w:ilvl w:val="0"/>
          <w:numId w:val="4"/>
        </w:numPr>
        <w:spacing w:after="0"/>
        <w:jc w:val="both"/>
      </w:pPr>
      <w:r w:rsidRPr="009C4F14">
        <w:t>Family-run enterprises undergoing succession planning</w:t>
      </w:r>
    </w:p>
    <w:p w14:paraId="0D88537C" w14:textId="33FA2F96" w:rsidR="009C4F14" w:rsidRPr="009C4F14" w:rsidRDefault="009C4F14" w:rsidP="00212C17">
      <w:pPr>
        <w:spacing w:after="0"/>
        <w:jc w:val="both"/>
      </w:pPr>
    </w:p>
    <w:p w14:paraId="41F77644" w14:textId="77777777" w:rsidR="009C4F14" w:rsidRPr="009C4F14" w:rsidRDefault="009C4F14" w:rsidP="00212C17">
      <w:pPr>
        <w:spacing w:after="0"/>
        <w:jc w:val="both"/>
        <w:rPr>
          <w:b/>
          <w:bCs/>
        </w:rPr>
      </w:pPr>
      <w:r w:rsidRPr="009C4F14">
        <w:rPr>
          <w:b/>
          <w:bCs/>
        </w:rPr>
        <w:t>Final Note to Clients:</w:t>
      </w:r>
    </w:p>
    <w:p w14:paraId="4D80EDB6" w14:textId="77777777" w:rsidR="009C4F14" w:rsidRPr="009C4F14" w:rsidRDefault="009C4F14" w:rsidP="00212C17">
      <w:pPr>
        <w:spacing w:after="0"/>
        <w:jc w:val="both"/>
      </w:pPr>
      <w:r w:rsidRPr="009C4F14">
        <w:t xml:space="preserve">Your business deserves a structure that supports growth and resilience. Whether it's revamping your shareholding pattern or managing liabilities smartly, our </w:t>
      </w:r>
      <w:r w:rsidRPr="009C4F14">
        <w:rPr>
          <w:b/>
          <w:bCs/>
        </w:rPr>
        <w:t>Corporate &amp; Financial Restructuring Services</w:t>
      </w:r>
      <w:r w:rsidRPr="009C4F14">
        <w:t xml:space="preserve"> are designed to simplify complexity and enable transformation—legally and strategically.</w:t>
      </w:r>
    </w:p>
    <w:p w14:paraId="662C453E" w14:textId="77777777" w:rsidR="009C4F14" w:rsidRPr="009C4F14" w:rsidRDefault="009C4F14" w:rsidP="00212C17">
      <w:pPr>
        <w:spacing w:after="0"/>
        <w:jc w:val="both"/>
      </w:pPr>
      <w:r w:rsidRPr="009C4F14">
        <w:rPr>
          <w:b/>
          <w:bCs/>
        </w:rPr>
        <w:t>Contact us today</w:t>
      </w:r>
      <w:r w:rsidRPr="009C4F14">
        <w:t xml:space="preserve"> to discuss how we can assist you in navigating your restructuring journey smoothly and compliantly.</w:t>
      </w:r>
    </w:p>
    <w:p w14:paraId="2180FC4F" w14:textId="6136570F" w:rsidR="009C4F14" w:rsidRPr="009C4F14" w:rsidRDefault="009C4F14" w:rsidP="00212C17">
      <w:pPr>
        <w:spacing w:after="0"/>
        <w:jc w:val="both"/>
      </w:pPr>
    </w:p>
    <w:p w14:paraId="4E5E9572" w14:textId="77777777" w:rsidR="009C4F14" w:rsidRDefault="009C4F14" w:rsidP="00212C17">
      <w:pPr>
        <w:spacing w:after="0"/>
        <w:jc w:val="both"/>
      </w:pPr>
    </w:p>
    <w:sectPr w:rsidR="009C4F14" w:rsidSect="00212C17">
      <w:pgSz w:w="11906" w:h="16838"/>
      <w:pgMar w:top="1440" w:right="1016"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B16"/>
    <w:multiLevelType w:val="multilevel"/>
    <w:tmpl w:val="308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31325"/>
    <w:multiLevelType w:val="multilevel"/>
    <w:tmpl w:val="36D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2419F"/>
    <w:multiLevelType w:val="multilevel"/>
    <w:tmpl w:val="4E0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C48AD"/>
    <w:multiLevelType w:val="multilevel"/>
    <w:tmpl w:val="CF0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0597A"/>
    <w:multiLevelType w:val="multilevel"/>
    <w:tmpl w:val="ADE0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11489"/>
    <w:multiLevelType w:val="multilevel"/>
    <w:tmpl w:val="F34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5031E"/>
    <w:multiLevelType w:val="multilevel"/>
    <w:tmpl w:val="660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D4ED5"/>
    <w:multiLevelType w:val="multilevel"/>
    <w:tmpl w:val="0168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14"/>
    <w:rsid w:val="00212C17"/>
    <w:rsid w:val="004D422E"/>
    <w:rsid w:val="005C0C35"/>
    <w:rsid w:val="00887718"/>
    <w:rsid w:val="009C4F14"/>
    <w:rsid w:val="00C33E3D"/>
    <w:rsid w:val="00D74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F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F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F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F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F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F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F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F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F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F14"/>
    <w:rPr>
      <w:rFonts w:eastAsiaTheme="majorEastAsia" w:cstheme="majorBidi"/>
      <w:color w:val="272727" w:themeColor="text1" w:themeTint="D8"/>
    </w:rPr>
  </w:style>
  <w:style w:type="paragraph" w:styleId="Title">
    <w:name w:val="Title"/>
    <w:basedOn w:val="Normal"/>
    <w:next w:val="Normal"/>
    <w:link w:val="TitleChar"/>
    <w:uiPriority w:val="10"/>
    <w:qFormat/>
    <w:rsid w:val="009C4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F14"/>
    <w:pPr>
      <w:spacing w:before="160"/>
      <w:jc w:val="center"/>
    </w:pPr>
    <w:rPr>
      <w:i/>
      <w:iCs/>
      <w:color w:val="404040" w:themeColor="text1" w:themeTint="BF"/>
    </w:rPr>
  </w:style>
  <w:style w:type="character" w:customStyle="1" w:styleId="QuoteChar">
    <w:name w:val="Quote Char"/>
    <w:basedOn w:val="DefaultParagraphFont"/>
    <w:link w:val="Quote"/>
    <w:uiPriority w:val="29"/>
    <w:rsid w:val="009C4F14"/>
    <w:rPr>
      <w:i/>
      <w:iCs/>
      <w:color w:val="404040" w:themeColor="text1" w:themeTint="BF"/>
    </w:rPr>
  </w:style>
  <w:style w:type="paragraph" w:styleId="ListParagraph">
    <w:name w:val="List Paragraph"/>
    <w:basedOn w:val="Normal"/>
    <w:uiPriority w:val="34"/>
    <w:qFormat/>
    <w:rsid w:val="009C4F14"/>
    <w:pPr>
      <w:ind w:left="720"/>
      <w:contextualSpacing/>
    </w:pPr>
  </w:style>
  <w:style w:type="character" w:styleId="IntenseEmphasis">
    <w:name w:val="Intense Emphasis"/>
    <w:basedOn w:val="DefaultParagraphFont"/>
    <w:uiPriority w:val="21"/>
    <w:qFormat/>
    <w:rsid w:val="009C4F14"/>
    <w:rPr>
      <w:i/>
      <w:iCs/>
      <w:color w:val="2F5496" w:themeColor="accent1" w:themeShade="BF"/>
    </w:rPr>
  </w:style>
  <w:style w:type="paragraph" w:styleId="IntenseQuote">
    <w:name w:val="Intense Quote"/>
    <w:basedOn w:val="Normal"/>
    <w:next w:val="Normal"/>
    <w:link w:val="IntenseQuoteChar"/>
    <w:uiPriority w:val="30"/>
    <w:qFormat/>
    <w:rsid w:val="009C4F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F14"/>
    <w:rPr>
      <w:i/>
      <w:iCs/>
      <w:color w:val="2F5496" w:themeColor="accent1" w:themeShade="BF"/>
    </w:rPr>
  </w:style>
  <w:style w:type="character" w:styleId="IntenseReference">
    <w:name w:val="Intense Reference"/>
    <w:basedOn w:val="DefaultParagraphFont"/>
    <w:uiPriority w:val="32"/>
    <w:qFormat/>
    <w:rsid w:val="009C4F14"/>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F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F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F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F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F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F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F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F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F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F14"/>
    <w:rPr>
      <w:rFonts w:eastAsiaTheme="majorEastAsia" w:cstheme="majorBidi"/>
      <w:color w:val="272727" w:themeColor="text1" w:themeTint="D8"/>
    </w:rPr>
  </w:style>
  <w:style w:type="paragraph" w:styleId="Title">
    <w:name w:val="Title"/>
    <w:basedOn w:val="Normal"/>
    <w:next w:val="Normal"/>
    <w:link w:val="TitleChar"/>
    <w:uiPriority w:val="10"/>
    <w:qFormat/>
    <w:rsid w:val="009C4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F14"/>
    <w:pPr>
      <w:spacing w:before="160"/>
      <w:jc w:val="center"/>
    </w:pPr>
    <w:rPr>
      <w:i/>
      <w:iCs/>
      <w:color w:val="404040" w:themeColor="text1" w:themeTint="BF"/>
    </w:rPr>
  </w:style>
  <w:style w:type="character" w:customStyle="1" w:styleId="QuoteChar">
    <w:name w:val="Quote Char"/>
    <w:basedOn w:val="DefaultParagraphFont"/>
    <w:link w:val="Quote"/>
    <w:uiPriority w:val="29"/>
    <w:rsid w:val="009C4F14"/>
    <w:rPr>
      <w:i/>
      <w:iCs/>
      <w:color w:val="404040" w:themeColor="text1" w:themeTint="BF"/>
    </w:rPr>
  </w:style>
  <w:style w:type="paragraph" w:styleId="ListParagraph">
    <w:name w:val="List Paragraph"/>
    <w:basedOn w:val="Normal"/>
    <w:uiPriority w:val="34"/>
    <w:qFormat/>
    <w:rsid w:val="009C4F14"/>
    <w:pPr>
      <w:ind w:left="720"/>
      <w:contextualSpacing/>
    </w:pPr>
  </w:style>
  <w:style w:type="character" w:styleId="IntenseEmphasis">
    <w:name w:val="Intense Emphasis"/>
    <w:basedOn w:val="DefaultParagraphFont"/>
    <w:uiPriority w:val="21"/>
    <w:qFormat/>
    <w:rsid w:val="009C4F14"/>
    <w:rPr>
      <w:i/>
      <w:iCs/>
      <w:color w:val="2F5496" w:themeColor="accent1" w:themeShade="BF"/>
    </w:rPr>
  </w:style>
  <w:style w:type="paragraph" w:styleId="IntenseQuote">
    <w:name w:val="Intense Quote"/>
    <w:basedOn w:val="Normal"/>
    <w:next w:val="Normal"/>
    <w:link w:val="IntenseQuoteChar"/>
    <w:uiPriority w:val="30"/>
    <w:qFormat/>
    <w:rsid w:val="009C4F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F14"/>
    <w:rPr>
      <w:i/>
      <w:iCs/>
      <w:color w:val="2F5496" w:themeColor="accent1" w:themeShade="BF"/>
    </w:rPr>
  </w:style>
  <w:style w:type="character" w:styleId="IntenseReference">
    <w:name w:val="Intense Reference"/>
    <w:basedOn w:val="DefaultParagraphFont"/>
    <w:uiPriority w:val="32"/>
    <w:qFormat/>
    <w:rsid w:val="009C4F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33077">
      <w:bodyDiv w:val="1"/>
      <w:marLeft w:val="0"/>
      <w:marRight w:val="0"/>
      <w:marTop w:val="0"/>
      <w:marBottom w:val="0"/>
      <w:divBdr>
        <w:top w:val="none" w:sz="0" w:space="0" w:color="auto"/>
        <w:left w:val="none" w:sz="0" w:space="0" w:color="auto"/>
        <w:bottom w:val="none" w:sz="0" w:space="0" w:color="auto"/>
        <w:right w:val="none" w:sz="0" w:space="0" w:color="auto"/>
      </w:divBdr>
      <w:divsChild>
        <w:div w:id="1214610388">
          <w:marLeft w:val="0"/>
          <w:marRight w:val="0"/>
          <w:marTop w:val="0"/>
          <w:marBottom w:val="0"/>
          <w:divBdr>
            <w:top w:val="none" w:sz="0" w:space="0" w:color="auto"/>
            <w:left w:val="none" w:sz="0" w:space="0" w:color="auto"/>
            <w:bottom w:val="none" w:sz="0" w:space="0" w:color="auto"/>
            <w:right w:val="none" w:sz="0" w:space="0" w:color="auto"/>
          </w:divBdr>
          <w:divsChild>
            <w:div w:id="1735665372">
              <w:marLeft w:val="0"/>
              <w:marRight w:val="0"/>
              <w:marTop w:val="0"/>
              <w:marBottom w:val="0"/>
              <w:divBdr>
                <w:top w:val="none" w:sz="0" w:space="0" w:color="auto"/>
                <w:left w:val="none" w:sz="0" w:space="0" w:color="auto"/>
                <w:bottom w:val="none" w:sz="0" w:space="0" w:color="auto"/>
                <w:right w:val="none" w:sz="0" w:space="0" w:color="auto"/>
              </w:divBdr>
              <w:divsChild>
                <w:div w:id="1791122221">
                  <w:marLeft w:val="0"/>
                  <w:marRight w:val="0"/>
                  <w:marTop w:val="0"/>
                  <w:marBottom w:val="0"/>
                  <w:divBdr>
                    <w:top w:val="none" w:sz="0" w:space="0" w:color="auto"/>
                    <w:left w:val="none" w:sz="0" w:space="0" w:color="auto"/>
                    <w:bottom w:val="none" w:sz="0" w:space="0" w:color="auto"/>
                    <w:right w:val="none" w:sz="0" w:space="0" w:color="auto"/>
                  </w:divBdr>
                  <w:divsChild>
                    <w:div w:id="293602400">
                      <w:marLeft w:val="0"/>
                      <w:marRight w:val="0"/>
                      <w:marTop w:val="0"/>
                      <w:marBottom w:val="0"/>
                      <w:divBdr>
                        <w:top w:val="none" w:sz="0" w:space="0" w:color="auto"/>
                        <w:left w:val="none" w:sz="0" w:space="0" w:color="auto"/>
                        <w:bottom w:val="none" w:sz="0" w:space="0" w:color="auto"/>
                        <w:right w:val="none" w:sz="0" w:space="0" w:color="auto"/>
                      </w:divBdr>
                      <w:divsChild>
                        <w:div w:id="1828090605">
                          <w:marLeft w:val="0"/>
                          <w:marRight w:val="0"/>
                          <w:marTop w:val="0"/>
                          <w:marBottom w:val="0"/>
                          <w:divBdr>
                            <w:top w:val="none" w:sz="0" w:space="0" w:color="auto"/>
                            <w:left w:val="none" w:sz="0" w:space="0" w:color="auto"/>
                            <w:bottom w:val="none" w:sz="0" w:space="0" w:color="auto"/>
                            <w:right w:val="none" w:sz="0" w:space="0" w:color="auto"/>
                          </w:divBdr>
                          <w:divsChild>
                            <w:div w:id="1735811398">
                              <w:marLeft w:val="0"/>
                              <w:marRight w:val="0"/>
                              <w:marTop w:val="0"/>
                              <w:marBottom w:val="0"/>
                              <w:divBdr>
                                <w:top w:val="none" w:sz="0" w:space="0" w:color="auto"/>
                                <w:left w:val="none" w:sz="0" w:space="0" w:color="auto"/>
                                <w:bottom w:val="none" w:sz="0" w:space="0" w:color="auto"/>
                                <w:right w:val="none" w:sz="0" w:space="0" w:color="auto"/>
                              </w:divBdr>
                              <w:divsChild>
                                <w:div w:id="67851232">
                                  <w:marLeft w:val="0"/>
                                  <w:marRight w:val="0"/>
                                  <w:marTop w:val="0"/>
                                  <w:marBottom w:val="0"/>
                                  <w:divBdr>
                                    <w:top w:val="none" w:sz="0" w:space="0" w:color="auto"/>
                                    <w:left w:val="none" w:sz="0" w:space="0" w:color="auto"/>
                                    <w:bottom w:val="none" w:sz="0" w:space="0" w:color="auto"/>
                                    <w:right w:val="none" w:sz="0" w:space="0" w:color="auto"/>
                                  </w:divBdr>
                                  <w:divsChild>
                                    <w:div w:id="146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926036664">
      <w:bodyDiv w:val="1"/>
      <w:marLeft w:val="0"/>
      <w:marRight w:val="0"/>
      <w:marTop w:val="0"/>
      <w:marBottom w:val="0"/>
      <w:divBdr>
        <w:top w:val="none" w:sz="0" w:space="0" w:color="auto"/>
        <w:left w:val="none" w:sz="0" w:space="0" w:color="auto"/>
        <w:bottom w:val="none" w:sz="0" w:space="0" w:color="auto"/>
        <w:right w:val="none" w:sz="0" w:space="0" w:color="auto"/>
      </w:divBdr>
      <w:divsChild>
        <w:div w:id="287124061">
          <w:marLeft w:val="0"/>
          <w:marRight w:val="0"/>
          <w:marTop w:val="0"/>
          <w:marBottom w:val="0"/>
          <w:divBdr>
            <w:top w:val="none" w:sz="0" w:space="0" w:color="auto"/>
            <w:left w:val="none" w:sz="0" w:space="0" w:color="auto"/>
            <w:bottom w:val="none" w:sz="0" w:space="0" w:color="auto"/>
            <w:right w:val="none" w:sz="0" w:space="0" w:color="auto"/>
          </w:divBdr>
          <w:divsChild>
            <w:div w:id="1127352988">
              <w:marLeft w:val="0"/>
              <w:marRight w:val="0"/>
              <w:marTop w:val="0"/>
              <w:marBottom w:val="0"/>
              <w:divBdr>
                <w:top w:val="none" w:sz="0" w:space="0" w:color="auto"/>
                <w:left w:val="none" w:sz="0" w:space="0" w:color="auto"/>
                <w:bottom w:val="none" w:sz="0" w:space="0" w:color="auto"/>
                <w:right w:val="none" w:sz="0" w:space="0" w:color="auto"/>
              </w:divBdr>
              <w:divsChild>
                <w:div w:id="252322356">
                  <w:marLeft w:val="0"/>
                  <w:marRight w:val="0"/>
                  <w:marTop w:val="0"/>
                  <w:marBottom w:val="0"/>
                  <w:divBdr>
                    <w:top w:val="none" w:sz="0" w:space="0" w:color="auto"/>
                    <w:left w:val="none" w:sz="0" w:space="0" w:color="auto"/>
                    <w:bottom w:val="none" w:sz="0" w:space="0" w:color="auto"/>
                    <w:right w:val="none" w:sz="0" w:space="0" w:color="auto"/>
                  </w:divBdr>
                  <w:divsChild>
                    <w:div w:id="1033848987">
                      <w:marLeft w:val="0"/>
                      <w:marRight w:val="0"/>
                      <w:marTop w:val="0"/>
                      <w:marBottom w:val="0"/>
                      <w:divBdr>
                        <w:top w:val="none" w:sz="0" w:space="0" w:color="auto"/>
                        <w:left w:val="none" w:sz="0" w:space="0" w:color="auto"/>
                        <w:bottom w:val="none" w:sz="0" w:space="0" w:color="auto"/>
                        <w:right w:val="none" w:sz="0" w:space="0" w:color="auto"/>
                      </w:divBdr>
                      <w:divsChild>
                        <w:div w:id="225725700">
                          <w:marLeft w:val="0"/>
                          <w:marRight w:val="0"/>
                          <w:marTop w:val="0"/>
                          <w:marBottom w:val="0"/>
                          <w:divBdr>
                            <w:top w:val="none" w:sz="0" w:space="0" w:color="auto"/>
                            <w:left w:val="none" w:sz="0" w:space="0" w:color="auto"/>
                            <w:bottom w:val="none" w:sz="0" w:space="0" w:color="auto"/>
                            <w:right w:val="none" w:sz="0" w:space="0" w:color="auto"/>
                          </w:divBdr>
                          <w:divsChild>
                            <w:div w:id="736170646">
                              <w:marLeft w:val="0"/>
                              <w:marRight w:val="0"/>
                              <w:marTop w:val="0"/>
                              <w:marBottom w:val="0"/>
                              <w:divBdr>
                                <w:top w:val="none" w:sz="0" w:space="0" w:color="auto"/>
                                <w:left w:val="none" w:sz="0" w:space="0" w:color="auto"/>
                                <w:bottom w:val="none" w:sz="0" w:space="0" w:color="auto"/>
                                <w:right w:val="none" w:sz="0" w:space="0" w:color="auto"/>
                              </w:divBdr>
                              <w:divsChild>
                                <w:div w:id="2144031707">
                                  <w:marLeft w:val="0"/>
                                  <w:marRight w:val="0"/>
                                  <w:marTop w:val="0"/>
                                  <w:marBottom w:val="0"/>
                                  <w:divBdr>
                                    <w:top w:val="none" w:sz="0" w:space="0" w:color="auto"/>
                                    <w:left w:val="none" w:sz="0" w:space="0" w:color="auto"/>
                                    <w:bottom w:val="none" w:sz="0" w:space="0" w:color="auto"/>
                                    <w:right w:val="none" w:sz="0" w:space="0" w:color="auto"/>
                                  </w:divBdr>
                                  <w:divsChild>
                                    <w:div w:id="1008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2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Meena</dc:creator>
  <cp:keywords/>
  <dc:description/>
  <cp:lastModifiedBy>Admin</cp:lastModifiedBy>
  <cp:revision>6</cp:revision>
  <dcterms:created xsi:type="dcterms:W3CDTF">2025-06-19T04:49:00Z</dcterms:created>
  <dcterms:modified xsi:type="dcterms:W3CDTF">2025-06-22T09:37:00Z</dcterms:modified>
</cp:coreProperties>
</file>