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EAA" w:rsidRPr="009C4EC6" w:rsidRDefault="002251C8" w:rsidP="009C4EC6">
      <w:pPr>
        <w:jc w:val="center"/>
        <w:rPr>
          <w:b/>
          <w:smallCaps/>
          <w:sz w:val="40"/>
          <w:szCs w:val="40"/>
        </w:rPr>
      </w:pPr>
      <w:r w:rsidRPr="009C4EC6">
        <w:rPr>
          <w:b/>
          <w:smallCaps/>
          <w:sz w:val="40"/>
          <w:szCs w:val="40"/>
        </w:rPr>
        <w:t>Winding Up &amp; Dissolution Services</w:t>
      </w:r>
    </w:p>
    <w:p w:rsidR="00A86EAA" w:rsidRPr="002251C8" w:rsidRDefault="002251C8" w:rsidP="009C4EC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Simplifying Closure with Professional Expertise</w:t>
      </w:r>
    </w:p>
    <w:p w:rsidR="00A86EAA" w:rsidRDefault="002251C8" w:rsidP="009C4EC6">
      <w:pPr>
        <w:spacing w:after="0"/>
        <w:jc w:val="both"/>
      </w:pPr>
      <w:r>
        <w:t xml:space="preserve">Closing a company is just as important as starting one – and it must be done the right way. Whether your business has achieved its objectives, become dormant, or is no longer viable, our </w:t>
      </w:r>
      <w:r>
        <w:rPr>
          <w:b/>
        </w:rPr>
        <w:t xml:space="preserve">Winding </w:t>
      </w:r>
      <w:proofErr w:type="gramStart"/>
      <w:r>
        <w:rPr>
          <w:b/>
        </w:rPr>
        <w:t>Up</w:t>
      </w:r>
      <w:proofErr w:type="gramEnd"/>
      <w:r>
        <w:rPr>
          <w:b/>
        </w:rPr>
        <w:t xml:space="preserve"> &amp; Dissolution Services</w:t>
      </w:r>
      <w:r>
        <w:t xml:space="preserve"> ensure a smooth, compliant, and hassle-free closure. As experienced </w:t>
      </w:r>
      <w:r>
        <w:rPr>
          <w:b/>
        </w:rPr>
        <w:t>Company Secretaries</w:t>
      </w:r>
      <w:r>
        <w:t>, we provide end-to-end support so you can exit your business legally and confidently.</w:t>
      </w:r>
    </w:p>
    <w:p w:rsidR="00A86EAA" w:rsidRPr="009C4EC6" w:rsidRDefault="002251C8" w:rsidP="009C4EC6">
      <w:pPr>
        <w:spacing w:after="0"/>
        <w:jc w:val="both"/>
        <w:rPr>
          <w:b/>
          <w:sz w:val="28"/>
        </w:rPr>
      </w:pPr>
      <w:r w:rsidRPr="009C4EC6">
        <w:rPr>
          <w:b/>
          <w:sz w:val="28"/>
        </w:rPr>
        <w:t xml:space="preserve">What is Winding </w:t>
      </w:r>
      <w:proofErr w:type="gramStart"/>
      <w:r w:rsidRPr="009C4EC6">
        <w:rPr>
          <w:b/>
          <w:sz w:val="28"/>
        </w:rPr>
        <w:t>Up</w:t>
      </w:r>
      <w:proofErr w:type="gramEnd"/>
      <w:r w:rsidRPr="009C4EC6">
        <w:rPr>
          <w:b/>
          <w:sz w:val="28"/>
        </w:rPr>
        <w:t xml:space="preserve"> &amp; Dissolution?</w:t>
      </w:r>
    </w:p>
    <w:p w:rsidR="00A86EAA" w:rsidRDefault="002251C8" w:rsidP="009C4EC6">
      <w:pPr>
        <w:spacing w:after="0"/>
        <w:jc w:val="both"/>
      </w:pPr>
      <w:r>
        <w:rPr>
          <w:b/>
        </w:rPr>
        <w:t>Winding up</w:t>
      </w:r>
      <w:r>
        <w:t xml:space="preserve"> is the legal process of closing a company by liquidating its assets, settling liabilities, and distributing the remaining funds among stakeholders. Once all formalities are completed, the company is </w:t>
      </w:r>
      <w:r>
        <w:rPr>
          <w:b/>
        </w:rPr>
        <w:t>dissolved</w:t>
      </w:r>
      <w:r>
        <w:t>, meaning it ceases to exist in the eyes of law.</w:t>
      </w:r>
    </w:p>
    <w:p w:rsidR="00A86EAA" w:rsidRDefault="002251C8" w:rsidP="009C4EC6">
      <w:pPr>
        <w:spacing w:after="0"/>
        <w:jc w:val="both"/>
      </w:pPr>
      <w:r>
        <w:t>This process is crucial to avoid future liabilities, penalties, or legal complications with ROC, GST, or Income Tax departments.</w:t>
      </w:r>
    </w:p>
    <w:p w:rsidR="00A86EAA" w:rsidRPr="009C4EC6" w:rsidRDefault="002251C8" w:rsidP="009C4EC6">
      <w:pPr>
        <w:spacing w:after="0"/>
        <w:jc w:val="both"/>
        <w:rPr>
          <w:b/>
          <w:sz w:val="32"/>
        </w:rPr>
      </w:pPr>
      <w:r w:rsidRPr="009C4EC6">
        <w:rPr>
          <w:rFonts w:ascii="Quattrocento Sans" w:eastAsia="Quattrocento Sans" w:hAnsi="Quattrocento Sans" w:cs="Quattrocento Sans"/>
          <w:b/>
          <w:sz w:val="28"/>
        </w:rPr>
        <w:t>🛠</w:t>
      </w:r>
      <w:r w:rsidRPr="009C4EC6">
        <w:rPr>
          <w:b/>
          <w:sz w:val="32"/>
        </w:rPr>
        <w:t xml:space="preserve"> Types of Winding Up</w:t>
      </w:r>
    </w:p>
    <w:p w:rsidR="00A86EAA" w:rsidRDefault="002251C8" w:rsidP="009C4EC6">
      <w:pPr>
        <w:numPr>
          <w:ilvl w:val="0"/>
          <w:numId w:val="2"/>
        </w:numPr>
        <w:spacing w:after="0"/>
        <w:jc w:val="both"/>
      </w:pPr>
      <w:r>
        <w:rPr>
          <w:b/>
        </w:rPr>
        <w:t>Voluntary Winding Up</w:t>
      </w:r>
    </w:p>
    <w:p w:rsidR="00A86EAA" w:rsidRDefault="002251C8" w:rsidP="009C4EC6">
      <w:pPr>
        <w:numPr>
          <w:ilvl w:val="1"/>
          <w:numId w:val="2"/>
        </w:numPr>
        <w:spacing w:after="0"/>
        <w:jc w:val="both"/>
      </w:pPr>
      <w:r>
        <w:t>Initiated by the company itself when it's solvent</w:t>
      </w:r>
    </w:p>
    <w:p w:rsidR="00A86EAA" w:rsidRDefault="002251C8" w:rsidP="009C4EC6">
      <w:pPr>
        <w:numPr>
          <w:ilvl w:val="1"/>
          <w:numId w:val="2"/>
        </w:numPr>
        <w:spacing w:after="0"/>
        <w:jc w:val="both"/>
      </w:pPr>
      <w:r>
        <w:t>Can be done by passing a special resolution</w:t>
      </w:r>
    </w:p>
    <w:p w:rsidR="00A86EAA" w:rsidRDefault="002251C8" w:rsidP="009C4EC6">
      <w:pPr>
        <w:numPr>
          <w:ilvl w:val="1"/>
          <w:numId w:val="2"/>
        </w:numPr>
        <w:spacing w:after="0"/>
        <w:jc w:val="both"/>
      </w:pPr>
      <w:r>
        <w:t>Ideal for businesses that no longer need to operate</w:t>
      </w:r>
    </w:p>
    <w:p w:rsidR="00A86EAA" w:rsidRDefault="002251C8" w:rsidP="009C4EC6">
      <w:pPr>
        <w:numPr>
          <w:ilvl w:val="0"/>
          <w:numId w:val="2"/>
        </w:numPr>
        <w:spacing w:after="0"/>
        <w:jc w:val="both"/>
      </w:pPr>
      <w:r>
        <w:rPr>
          <w:b/>
        </w:rPr>
        <w:t>Compulsory Winding Up (By Tribunal)</w:t>
      </w:r>
    </w:p>
    <w:p w:rsidR="00A86EAA" w:rsidRDefault="002251C8" w:rsidP="009C4EC6">
      <w:pPr>
        <w:numPr>
          <w:ilvl w:val="1"/>
          <w:numId w:val="2"/>
        </w:numPr>
        <w:spacing w:after="0"/>
        <w:jc w:val="both"/>
      </w:pPr>
      <w:r>
        <w:t>Ordered by the NCLT (National Company Law Tribunal)</w:t>
      </w:r>
    </w:p>
    <w:p w:rsidR="00A86EAA" w:rsidRDefault="002251C8" w:rsidP="009C4EC6">
      <w:pPr>
        <w:numPr>
          <w:ilvl w:val="1"/>
          <w:numId w:val="2"/>
        </w:numPr>
        <w:spacing w:after="0"/>
        <w:jc w:val="both"/>
      </w:pPr>
      <w:r>
        <w:t>Initiated due to insolvency, fraud, or non-compliance</w:t>
      </w:r>
    </w:p>
    <w:p w:rsidR="00A86EAA" w:rsidRDefault="002251C8" w:rsidP="009C4EC6">
      <w:pPr>
        <w:numPr>
          <w:ilvl w:val="1"/>
          <w:numId w:val="2"/>
        </w:numPr>
        <w:spacing w:after="0"/>
        <w:jc w:val="both"/>
      </w:pPr>
      <w:r>
        <w:t>Involves a detailed legal process and court orders</w:t>
      </w:r>
    </w:p>
    <w:p w:rsidR="00A86EAA" w:rsidRDefault="002251C8" w:rsidP="009C4EC6">
      <w:pPr>
        <w:numPr>
          <w:ilvl w:val="0"/>
          <w:numId w:val="2"/>
        </w:numPr>
        <w:spacing w:after="0"/>
        <w:jc w:val="both"/>
      </w:pPr>
      <w:r>
        <w:rPr>
          <w:b/>
        </w:rPr>
        <w:t>Fast Track Exit (FTE) Scheme / Strike Off</w:t>
      </w:r>
    </w:p>
    <w:p w:rsidR="00A86EAA" w:rsidRDefault="002251C8" w:rsidP="009C4EC6">
      <w:pPr>
        <w:numPr>
          <w:ilvl w:val="1"/>
          <w:numId w:val="2"/>
        </w:numPr>
        <w:spacing w:after="0"/>
        <w:jc w:val="both"/>
      </w:pPr>
      <w:r>
        <w:t>Simplified route under Section 248 of the Companies Act</w:t>
      </w:r>
    </w:p>
    <w:p w:rsidR="00A86EAA" w:rsidRDefault="002251C8" w:rsidP="009C4EC6">
      <w:pPr>
        <w:numPr>
          <w:ilvl w:val="1"/>
          <w:numId w:val="2"/>
        </w:numPr>
        <w:spacing w:after="0"/>
        <w:jc w:val="both"/>
      </w:pPr>
      <w:r>
        <w:t>For companies with no liabilities and not operational for 2+ years</w:t>
      </w:r>
    </w:p>
    <w:p w:rsidR="00A86EAA" w:rsidRDefault="002251C8" w:rsidP="009C4EC6">
      <w:pPr>
        <w:numPr>
          <w:ilvl w:val="1"/>
          <w:numId w:val="2"/>
        </w:numPr>
        <w:spacing w:after="0"/>
        <w:jc w:val="both"/>
      </w:pPr>
      <w:r>
        <w:t>Quickest way to close a dormant or non-functional company</w:t>
      </w:r>
    </w:p>
    <w:p w:rsidR="00A86EAA" w:rsidRDefault="002251C8" w:rsidP="009C4EC6">
      <w:pPr>
        <w:spacing w:after="0"/>
        <w:jc w:val="both"/>
        <w:rPr>
          <w:b/>
        </w:rPr>
      </w:pPr>
      <w:r>
        <w:rPr>
          <w:rFonts w:ascii="Quattrocento Sans" w:eastAsia="Quattrocento Sans" w:hAnsi="Quattrocento Sans" w:cs="Quattrocento Sans"/>
        </w:rPr>
        <w:t>🕒</w:t>
      </w:r>
      <w:r>
        <w:t xml:space="preserve"> </w:t>
      </w:r>
      <w:r>
        <w:rPr>
          <w:b/>
        </w:rPr>
        <w:t>Estimated Timelines</w:t>
      </w:r>
    </w:p>
    <w:tbl>
      <w:tblPr>
        <w:tblStyle w:val="GridTableLight"/>
        <w:tblW w:w="7369" w:type="dxa"/>
        <w:tblLayout w:type="fixed"/>
        <w:tblLook w:val="0400" w:firstRow="0" w:lastRow="0" w:firstColumn="0" w:lastColumn="0" w:noHBand="0" w:noVBand="1"/>
      </w:tblPr>
      <w:tblGrid>
        <w:gridCol w:w="4788"/>
        <w:gridCol w:w="2581"/>
      </w:tblGrid>
      <w:tr w:rsidR="00A86EAA" w:rsidTr="009C4EC6">
        <w:tc>
          <w:tcPr>
            <w:tcW w:w="4788" w:type="dxa"/>
            <w:shd w:val="clear" w:color="auto" w:fill="365F91" w:themeFill="accent1" w:themeFillShade="BF"/>
          </w:tcPr>
          <w:p w:rsidR="00A86EAA" w:rsidRDefault="002251C8" w:rsidP="009C4EC6">
            <w:pPr>
              <w:jc w:val="both"/>
              <w:rPr>
                <w:b/>
              </w:rPr>
            </w:pPr>
            <w:r>
              <w:rPr>
                <w:b/>
              </w:rPr>
              <w:t>Service Type</w:t>
            </w:r>
          </w:p>
        </w:tc>
        <w:tc>
          <w:tcPr>
            <w:tcW w:w="2581" w:type="dxa"/>
            <w:shd w:val="clear" w:color="auto" w:fill="365F91" w:themeFill="accent1" w:themeFillShade="BF"/>
          </w:tcPr>
          <w:p w:rsidR="00A86EAA" w:rsidRDefault="002251C8" w:rsidP="009C4EC6">
            <w:pPr>
              <w:jc w:val="both"/>
              <w:rPr>
                <w:b/>
              </w:rPr>
            </w:pPr>
            <w:r>
              <w:rPr>
                <w:b/>
              </w:rPr>
              <w:t>Approximate Timeline</w:t>
            </w:r>
          </w:p>
        </w:tc>
      </w:tr>
      <w:tr w:rsidR="00A86EAA" w:rsidTr="009C4EC6">
        <w:tc>
          <w:tcPr>
            <w:tcW w:w="4788" w:type="dxa"/>
            <w:shd w:val="clear" w:color="auto" w:fill="EEECE1" w:themeFill="background2"/>
          </w:tcPr>
          <w:p w:rsidR="00A86EAA" w:rsidRDefault="002251C8" w:rsidP="009C4EC6">
            <w:pPr>
              <w:jc w:val="both"/>
            </w:pPr>
            <w:r>
              <w:t>Fast Track Exit (FTE)</w:t>
            </w:r>
          </w:p>
        </w:tc>
        <w:tc>
          <w:tcPr>
            <w:tcW w:w="2581" w:type="dxa"/>
            <w:shd w:val="clear" w:color="auto" w:fill="EEECE1" w:themeFill="background2"/>
          </w:tcPr>
          <w:p w:rsidR="00A86EAA" w:rsidRDefault="002251C8" w:rsidP="009C4EC6">
            <w:pPr>
              <w:jc w:val="both"/>
            </w:pPr>
            <w:r>
              <w:t>2–3 months</w:t>
            </w:r>
          </w:p>
        </w:tc>
      </w:tr>
      <w:tr w:rsidR="00A86EAA" w:rsidTr="009C4EC6">
        <w:tc>
          <w:tcPr>
            <w:tcW w:w="4788" w:type="dxa"/>
            <w:shd w:val="clear" w:color="auto" w:fill="EEECE1" w:themeFill="background2"/>
          </w:tcPr>
          <w:p w:rsidR="00A86EAA" w:rsidRDefault="002251C8" w:rsidP="009C4EC6">
            <w:pPr>
              <w:jc w:val="both"/>
            </w:pPr>
            <w:r>
              <w:t>Voluntary Winding Up</w:t>
            </w:r>
          </w:p>
        </w:tc>
        <w:tc>
          <w:tcPr>
            <w:tcW w:w="2581" w:type="dxa"/>
            <w:shd w:val="clear" w:color="auto" w:fill="EEECE1" w:themeFill="background2"/>
          </w:tcPr>
          <w:p w:rsidR="00A86EAA" w:rsidRDefault="002251C8" w:rsidP="009C4EC6">
            <w:pPr>
              <w:jc w:val="both"/>
            </w:pPr>
            <w:r>
              <w:t>6–12 months</w:t>
            </w:r>
          </w:p>
        </w:tc>
      </w:tr>
      <w:tr w:rsidR="00A86EAA" w:rsidTr="009C4EC6">
        <w:tc>
          <w:tcPr>
            <w:tcW w:w="4788" w:type="dxa"/>
            <w:shd w:val="clear" w:color="auto" w:fill="EEECE1" w:themeFill="background2"/>
          </w:tcPr>
          <w:p w:rsidR="00A86EAA" w:rsidRDefault="002251C8" w:rsidP="009C4EC6">
            <w:pPr>
              <w:jc w:val="both"/>
            </w:pPr>
            <w:r>
              <w:t>Tribunal-based Winding Up</w:t>
            </w:r>
          </w:p>
        </w:tc>
        <w:tc>
          <w:tcPr>
            <w:tcW w:w="2581" w:type="dxa"/>
            <w:shd w:val="clear" w:color="auto" w:fill="EEECE1" w:themeFill="background2"/>
          </w:tcPr>
          <w:p w:rsidR="00A86EAA" w:rsidRDefault="002251C8" w:rsidP="009C4EC6">
            <w:pPr>
              <w:jc w:val="both"/>
            </w:pPr>
            <w:r>
              <w:t>12–24 months or more</w:t>
            </w:r>
          </w:p>
        </w:tc>
      </w:tr>
    </w:tbl>
    <w:p w:rsidR="00A86EAA" w:rsidRDefault="002251C8" w:rsidP="009C4EC6">
      <w:pPr>
        <w:spacing w:after="0"/>
        <w:jc w:val="both"/>
      </w:pPr>
      <w:r>
        <w:t>(Timelines depend on ROC processing, document accuracy, and public notice period.)</w:t>
      </w:r>
    </w:p>
    <w:p w:rsidR="009C4EC6" w:rsidRDefault="009C4EC6" w:rsidP="009C4EC6">
      <w:pPr>
        <w:spacing w:after="0"/>
        <w:jc w:val="both"/>
        <w:rPr>
          <w:b/>
        </w:rPr>
      </w:pPr>
    </w:p>
    <w:p w:rsidR="00A86EAA" w:rsidRDefault="002251C8" w:rsidP="009C4EC6">
      <w:pPr>
        <w:spacing w:after="0"/>
        <w:jc w:val="both"/>
        <w:rPr>
          <w:b/>
        </w:rPr>
      </w:pPr>
      <w:r>
        <w:rPr>
          <w:b/>
        </w:rPr>
        <w:t xml:space="preserve">Levels of Service We </w:t>
      </w:r>
      <w:proofErr w:type="gramStart"/>
      <w:r>
        <w:rPr>
          <w:b/>
        </w:rPr>
        <w:t>Offer :</w:t>
      </w:r>
      <w:proofErr w:type="gramEnd"/>
      <w:r>
        <w:rPr>
          <w:b/>
        </w:rPr>
        <w:t xml:space="preserve"> </w:t>
      </w:r>
    </w:p>
    <w:tbl>
      <w:tblPr>
        <w:tblStyle w:val="GridTableLight"/>
        <w:tblW w:w="9738" w:type="dxa"/>
        <w:tblLayout w:type="fixed"/>
        <w:tblLook w:val="0400" w:firstRow="0" w:lastRow="0" w:firstColumn="0" w:lastColumn="0" w:noHBand="0" w:noVBand="1"/>
      </w:tblPr>
      <w:tblGrid>
        <w:gridCol w:w="1368"/>
        <w:gridCol w:w="4822"/>
        <w:gridCol w:w="3548"/>
      </w:tblGrid>
      <w:tr w:rsidR="009C4EC6" w:rsidTr="009C4EC6">
        <w:tc>
          <w:tcPr>
            <w:tcW w:w="1368" w:type="dxa"/>
            <w:shd w:val="clear" w:color="auto" w:fill="365F91" w:themeFill="accent1" w:themeFillShade="BF"/>
          </w:tcPr>
          <w:p w:rsidR="009C4EC6" w:rsidRDefault="009C4EC6" w:rsidP="009C4EC6">
            <w:pPr>
              <w:jc w:val="both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822" w:type="dxa"/>
            <w:shd w:val="clear" w:color="auto" w:fill="365F91" w:themeFill="accent1" w:themeFillShade="BF"/>
          </w:tcPr>
          <w:p w:rsidR="009C4EC6" w:rsidRDefault="009C4EC6" w:rsidP="009C4EC6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48" w:type="dxa"/>
            <w:shd w:val="clear" w:color="auto" w:fill="365F91" w:themeFill="accent1" w:themeFillShade="BF"/>
          </w:tcPr>
          <w:p w:rsidR="009C4EC6" w:rsidRDefault="009C4EC6" w:rsidP="009C4EC6">
            <w:pPr>
              <w:jc w:val="both"/>
              <w:rPr>
                <w:b/>
              </w:rPr>
            </w:pPr>
            <w:r>
              <w:rPr>
                <w:b/>
              </w:rPr>
              <w:t>Ideal For</w:t>
            </w:r>
          </w:p>
        </w:tc>
      </w:tr>
      <w:tr w:rsidR="009C4EC6" w:rsidTr="009C4EC6">
        <w:tc>
          <w:tcPr>
            <w:tcW w:w="1368" w:type="dxa"/>
            <w:shd w:val="clear" w:color="auto" w:fill="EEECE1" w:themeFill="background2"/>
          </w:tcPr>
          <w:p w:rsidR="009C4EC6" w:rsidRDefault="009C4EC6" w:rsidP="009C4EC6">
            <w:pPr>
              <w:jc w:val="both"/>
            </w:pPr>
            <w:r>
              <w:rPr>
                <w:b/>
              </w:rPr>
              <w:t>Basic</w:t>
            </w:r>
          </w:p>
        </w:tc>
        <w:tc>
          <w:tcPr>
            <w:tcW w:w="4822" w:type="dxa"/>
            <w:shd w:val="clear" w:color="auto" w:fill="EEECE1" w:themeFill="background2"/>
          </w:tcPr>
          <w:p w:rsidR="009C4EC6" w:rsidRDefault="009C4EC6" w:rsidP="009C4EC6">
            <w:pPr>
              <w:jc w:val="both"/>
            </w:pPr>
            <w:r>
              <w:t>Strike-off filing, final ROC filings</w:t>
            </w:r>
          </w:p>
        </w:tc>
        <w:tc>
          <w:tcPr>
            <w:tcW w:w="3548" w:type="dxa"/>
            <w:shd w:val="clear" w:color="auto" w:fill="EEECE1" w:themeFill="background2"/>
          </w:tcPr>
          <w:p w:rsidR="009C4EC6" w:rsidRDefault="009C4EC6" w:rsidP="009C4EC6">
            <w:pPr>
              <w:jc w:val="both"/>
            </w:pPr>
            <w:r>
              <w:t>Dormant or inactive companies</w:t>
            </w:r>
          </w:p>
        </w:tc>
      </w:tr>
      <w:tr w:rsidR="009C4EC6" w:rsidTr="009C4EC6">
        <w:tc>
          <w:tcPr>
            <w:tcW w:w="1368" w:type="dxa"/>
            <w:shd w:val="clear" w:color="auto" w:fill="EEECE1" w:themeFill="background2"/>
          </w:tcPr>
          <w:p w:rsidR="009C4EC6" w:rsidRDefault="009C4EC6" w:rsidP="009C4EC6">
            <w:pPr>
              <w:jc w:val="both"/>
            </w:pPr>
            <w:r>
              <w:rPr>
                <w:b/>
              </w:rPr>
              <w:t>Standard</w:t>
            </w:r>
          </w:p>
        </w:tc>
        <w:tc>
          <w:tcPr>
            <w:tcW w:w="4822" w:type="dxa"/>
            <w:shd w:val="clear" w:color="auto" w:fill="EEECE1" w:themeFill="background2"/>
          </w:tcPr>
          <w:p w:rsidR="009C4EC6" w:rsidRDefault="009C4EC6" w:rsidP="009C4EC6">
            <w:pPr>
              <w:jc w:val="both"/>
            </w:pPr>
            <w:r>
              <w:t>Voluntary winding up, board and shareholder resolutions, declarations, filings</w:t>
            </w:r>
          </w:p>
        </w:tc>
        <w:tc>
          <w:tcPr>
            <w:tcW w:w="3548" w:type="dxa"/>
            <w:shd w:val="clear" w:color="auto" w:fill="EEECE1" w:themeFill="background2"/>
          </w:tcPr>
          <w:p w:rsidR="009C4EC6" w:rsidRDefault="009C4EC6" w:rsidP="009C4EC6">
            <w:pPr>
              <w:jc w:val="both"/>
            </w:pPr>
            <w:r>
              <w:t>Active companies closing voluntarily</w:t>
            </w:r>
          </w:p>
        </w:tc>
      </w:tr>
      <w:tr w:rsidR="009C4EC6" w:rsidTr="009C4EC6">
        <w:tc>
          <w:tcPr>
            <w:tcW w:w="1368" w:type="dxa"/>
            <w:shd w:val="clear" w:color="auto" w:fill="EEECE1" w:themeFill="background2"/>
          </w:tcPr>
          <w:p w:rsidR="009C4EC6" w:rsidRDefault="009C4EC6" w:rsidP="009C4EC6">
            <w:pPr>
              <w:jc w:val="both"/>
            </w:pPr>
            <w:r>
              <w:rPr>
                <w:b/>
              </w:rPr>
              <w:t>Premium</w:t>
            </w:r>
          </w:p>
        </w:tc>
        <w:tc>
          <w:tcPr>
            <w:tcW w:w="4822" w:type="dxa"/>
            <w:shd w:val="clear" w:color="auto" w:fill="EEECE1" w:themeFill="background2"/>
          </w:tcPr>
          <w:p w:rsidR="009C4EC6" w:rsidRDefault="009C4EC6" w:rsidP="009C4EC6">
            <w:pPr>
              <w:jc w:val="both"/>
            </w:pPr>
            <w:r>
              <w:t>End-to-end support including legal representation, NCLT coordination, creditor settlement</w:t>
            </w:r>
          </w:p>
        </w:tc>
        <w:tc>
          <w:tcPr>
            <w:tcW w:w="3548" w:type="dxa"/>
            <w:shd w:val="clear" w:color="auto" w:fill="EEECE1" w:themeFill="background2"/>
          </w:tcPr>
          <w:p w:rsidR="009C4EC6" w:rsidRDefault="009C4EC6" w:rsidP="009C4EC6">
            <w:pPr>
              <w:jc w:val="both"/>
            </w:pPr>
            <w:r>
              <w:t>Complex or tribunal-led closures</w:t>
            </w:r>
          </w:p>
        </w:tc>
      </w:tr>
    </w:tbl>
    <w:p w:rsidR="00A86EAA" w:rsidRPr="009C4EC6" w:rsidRDefault="002251C8" w:rsidP="009C4EC6">
      <w:pPr>
        <w:spacing w:after="0"/>
        <w:jc w:val="both"/>
        <w:rPr>
          <w:b/>
          <w:sz w:val="28"/>
        </w:rPr>
      </w:pPr>
      <w:r w:rsidRPr="009C4EC6">
        <w:rPr>
          <w:rFonts w:ascii="Quattrocento Sans" w:eastAsia="Quattrocento Sans" w:hAnsi="Quattrocento Sans" w:cs="Quattrocento Sans"/>
          <w:b/>
          <w:sz w:val="26"/>
        </w:rPr>
        <w:lastRenderedPageBreak/>
        <w:t>🧾</w:t>
      </w:r>
      <w:r w:rsidRPr="009C4EC6">
        <w:rPr>
          <w:b/>
          <w:sz w:val="28"/>
        </w:rPr>
        <w:t xml:space="preserve"> Legal Provisions &amp; Governing Laws</w:t>
      </w:r>
    </w:p>
    <w:p w:rsidR="00A86EAA" w:rsidRDefault="002251C8" w:rsidP="009C4EC6">
      <w:pPr>
        <w:numPr>
          <w:ilvl w:val="0"/>
          <w:numId w:val="7"/>
        </w:numPr>
        <w:spacing w:after="0"/>
        <w:jc w:val="both"/>
      </w:pPr>
      <w:r>
        <w:rPr>
          <w:b/>
        </w:rPr>
        <w:t>Companies Act, 2013</w:t>
      </w:r>
    </w:p>
    <w:p w:rsidR="00A86EAA" w:rsidRDefault="002251C8" w:rsidP="009C4EC6">
      <w:pPr>
        <w:numPr>
          <w:ilvl w:val="1"/>
          <w:numId w:val="7"/>
        </w:numPr>
        <w:spacing w:after="0"/>
        <w:jc w:val="both"/>
      </w:pPr>
      <w:r>
        <w:t>Section 248 – Strike off by Registrar</w:t>
      </w:r>
    </w:p>
    <w:p w:rsidR="00A86EAA" w:rsidRDefault="002251C8" w:rsidP="009C4EC6">
      <w:pPr>
        <w:numPr>
          <w:ilvl w:val="1"/>
          <w:numId w:val="7"/>
        </w:numPr>
        <w:spacing w:after="0"/>
        <w:jc w:val="both"/>
      </w:pPr>
      <w:r>
        <w:t>Section 271 to 275 – Compulsory Winding Up by Tribunal</w:t>
      </w:r>
    </w:p>
    <w:p w:rsidR="00A86EAA" w:rsidRDefault="002251C8" w:rsidP="009C4EC6">
      <w:pPr>
        <w:numPr>
          <w:ilvl w:val="1"/>
          <w:numId w:val="7"/>
        </w:numPr>
        <w:spacing w:after="0"/>
        <w:jc w:val="both"/>
      </w:pPr>
      <w:r>
        <w:t>Section 304 to 323 – Voluntary Winding Up</w:t>
      </w:r>
    </w:p>
    <w:p w:rsidR="00A86EAA" w:rsidRDefault="002251C8" w:rsidP="009C4EC6">
      <w:pPr>
        <w:numPr>
          <w:ilvl w:val="0"/>
          <w:numId w:val="7"/>
        </w:numPr>
        <w:spacing w:after="0"/>
        <w:jc w:val="both"/>
      </w:pPr>
      <w:r>
        <w:rPr>
          <w:b/>
        </w:rPr>
        <w:t>Insolvency &amp; Bankruptcy Code (IBC), 2016</w:t>
      </w:r>
    </w:p>
    <w:p w:rsidR="00A86EAA" w:rsidRDefault="002251C8" w:rsidP="009C4EC6">
      <w:pPr>
        <w:numPr>
          <w:ilvl w:val="1"/>
          <w:numId w:val="7"/>
        </w:numPr>
        <w:spacing w:after="0"/>
        <w:jc w:val="both"/>
      </w:pPr>
      <w:r>
        <w:t>Applicable in cases of insolvency for corporate persons</w:t>
      </w:r>
    </w:p>
    <w:p w:rsidR="00A86EAA" w:rsidRDefault="002251C8" w:rsidP="009C4EC6">
      <w:pPr>
        <w:numPr>
          <w:ilvl w:val="0"/>
          <w:numId w:val="7"/>
        </w:numPr>
        <w:spacing w:after="0"/>
        <w:jc w:val="both"/>
      </w:pPr>
      <w:r>
        <w:rPr>
          <w:b/>
        </w:rPr>
        <w:t>Companies (Removal of Name of Companies from the Register of Companies) Rules, 2016</w:t>
      </w:r>
    </w:p>
    <w:p w:rsidR="00BE6C01" w:rsidRDefault="00BE6C01" w:rsidP="009C4EC6">
      <w:pPr>
        <w:spacing w:after="0"/>
        <w:jc w:val="both"/>
        <w:rPr>
          <w:rFonts w:ascii="Quattrocento Sans" w:eastAsia="Quattrocento Sans" w:hAnsi="Quattrocento Sans" w:cs="Quattrocento Sans"/>
          <w:b/>
          <w:sz w:val="26"/>
        </w:rPr>
      </w:pPr>
    </w:p>
    <w:p w:rsidR="00A86EAA" w:rsidRPr="00BE6C01" w:rsidRDefault="002251C8" w:rsidP="009C4EC6">
      <w:pPr>
        <w:spacing w:after="0"/>
        <w:jc w:val="both"/>
        <w:rPr>
          <w:b/>
          <w:sz w:val="28"/>
        </w:rPr>
      </w:pPr>
      <w:r w:rsidRPr="00BE6C01">
        <w:rPr>
          <w:rFonts w:ascii="Quattrocento Sans" w:eastAsia="Quattrocento Sans" w:hAnsi="Quattrocento Sans" w:cs="Quattrocento Sans"/>
          <w:b/>
          <w:sz w:val="26"/>
        </w:rPr>
        <w:t>🔍</w:t>
      </w:r>
      <w:r w:rsidRPr="00BE6C01">
        <w:rPr>
          <w:b/>
          <w:sz w:val="28"/>
        </w:rPr>
        <w:t xml:space="preserve"> Key Services We Offer</w:t>
      </w:r>
    </w:p>
    <w:p w:rsidR="00A86EAA" w:rsidRDefault="002251C8" w:rsidP="009C4EC6">
      <w:pPr>
        <w:numPr>
          <w:ilvl w:val="0"/>
          <w:numId w:val="3"/>
        </w:numPr>
        <w:spacing w:after="0"/>
        <w:jc w:val="both"/>
      </w:pPr>
      <w:r>
        <w:t>Evaluation of your company’s eligibility for winding up</w:t>
      </w:r>
    </w:p>
    <w:p w:rsidR="00A86EAA" w:rsidRDefault="002251C8" w:rsidP="009C4EC6">
      <w:pPr>
        <w:numPr>
          <w:ilvl w:val="0"/>
          <w:numId w:val="3"/>
        </w:numPr>
        <w:spacing w:after="0"/>
        <w:jc w:val="both"/>
      </w:pPr>
      <w:r>
        <w:t>Preparation and filing of Board &amp; Shareholders’ Resolutions</w:t>
      </w:r>
    </w:p>
    <w:p w:rsidR="00A86EAA" w:rsidRDefault="002251C8" w:rsidP="009C4EC6">
      <w:pPr>
        <w:numPr>
          <w:ilvl w:val="0"/>
          <w:numId w:val="3"/>
        </w:numPr>
        <w:spacing w:after="0"/>
        <w:jc w:val="both"/>
      </w:pPr>
      <w:r>
        <w:t>Drafting of affidavits, indemnity bonds &amp; necessary declarations</w:t>
      </w:r>
    </w:p>
    <w:p w:rsidR="00A86EAA" w:rsidRDefault="002251C8" w:rsidP="009C4EC6">
      <w:pPr>
        <w:numPr>
          <w:ilvl w:val="0"/>
          <w:numId w:val="3"/>
        </w:numPr>
        <w:spacing w:after="0"/>
        <w:jc w:val="both"/>
      </w:pPr>
      <w:r>
        <w:t>Filing of e-forms with MCA (like STK-2, MGT-14, etc.)</w:t>
      </w:r>
    </w:p>
    <w:p w:rsidR="00A86EAA" w:rsidRDefault="002251C8" w:rsidP="009C4EC6">
      <w:pPr>
        <w:numPr>
          <w:ilvl w:val="0"/>
          <w:numId w:val="3"/>
        </w:numPr>
        <w:spacing w:after="0"/>
        <w:jc w:val="both"/>
      </w:pPr>
      <w:r>
        <w:t>Liaison with ROC and NCLT (if applicable)</w:t>
      </w:r>
    </w:p>
    <w:p w:rsidR="00A86EAA" w:rsidRDefault="002251C8" w:rsidP="009C4EC6">
      <w:pPr>
        <w:numPr>
          <w:ilvl w:val="0"/>
          <w:numId w:val="3"/>
        </w:numPr>
        <w:spacing w:after="0"/>
        <w:jc w:val="both"/>
      </w:pPr>
      <w:r>
        <w:t>Guidance on settlement of liabilities and closure of bank accounts</w:t>
      </w:r>
    </w:p>
    <w:p w:rsidR="00A86EAA" w:rsidRDefault="002251C8" w:rsidP="009C4EC6">
      <w:pPr>
        <w:numPr>
          <w:ilvl w:val="0"/>
          <w:numId w:val="3"/>
        </w:numPr>
        <w:spacing w:after="0"/>
        <w:jc w:val="both"/>
      </w:pPr>
      <w:r>
        <w:t>Finalization of books of accounts and statutory compliance</w:t>
      </w:r>
    </w:p>
    <w:p w:rsidR="00A86EAA" w:rsidRDefault="002251C8" w:rsidP="009C4EC6">
      <w:pPr>
        <w:numPr>
          <w:ilvl w:val="0"/>
          <w:numId w:val="3"/>
        </w:numPr>
        <w:spacing w:after="0"/>
        <w:jc w:val="both"/>
      </w:pPr>
      <w:r>
        <w:t>Public notice filing and legal documentation</w:t>
      </w:r>
    </w:p>
    <w:p w:rsidR="00BE6C01" w:rsidRDefault="00BE6C01" w:rsidP="009C4EC6">
      <w:pPr>
        <w:spacing w:after="0"/>
        <w:jc w:val="both"/>
        <w:rPr>
          <w:rFonts w:ascii="Quattrocento Sans" w:eastAsia="Quattrocento Sans" w:hAnsi="Quattrocento Sans" w:cs="Quattrocento Sans"/>
          <w:b/>
          <w:sz w:val="26"/>
        </w:rPr>
      </w:pPr>
    </w:p>
    <w:p w:rsidR="00A86EAA" w:rsidRPr="00BE6C01" w:rsidRDefault="002251C8" w:rsidP="009C4EC6">
      <w:pPr>
        <w:spacing w:after="0"/>
        <w:jc w:val="both"/>
        <w:rPr>
          <w:b/>
          <w:sz w:val="28"/>
        </w:rPr>
      </w:pPr>
      <w:r w:rsidRPr="00BE6C01">
        <w:rPr>
          <w:rFonts w:ascii="Quattrocento Sans" w:eastAsia="Quattrocento Sans" w:hAnsi="Quattrocento Sans" w:cs="Quattrocento Sans"/>
          <w:b/>
          <w:sz w:val="26"/>
        </w:rPr>
        <w:t>📋</w:t>
      </w:r>
      <w:r w:rsidRPr="00BE6C01">
        <w:rPr>
          <w:b/>
          <w:sz w:val="28"/>
        </w:rPr>
        <w:t xml:space="preserve"> Documents Required</w:t>
      </w:r>
    </w:p>
    <w:p w:rsidR="00A86EAA" w:rsidRDefault="002251C8" w:rsidP="009C4EC6">
      <w:pPr>
        <w:numPr>
          <w:ilvl w:val="0"/>
          <w:numId w:val="4"/>
        </w:numPr>
        <w:spacing w:after="0"/>
        <w:jc w:val="both"/>
      </w:pPr>
      <w:r>
        <w:t>Certificate of Incorporation</w:t>
      </w:r>
    </w:p>
    <w:p w:rsidR="00A86EAA" w:rsidRDefault="002251C8" w:rsidP="009C4EC6">
      <w:pPr>
        <w:numPr>
          <w:ilvl w:val="0"/>
          <w:numId w:val="4"/>
        </w:numPr>
        <w:spacing w:after="0"/>
        <w:jc w:val="both"/>
      </w:pPr>
      <w:r>
        <w:t>MOA &amp; AOA</w:t>
      </w:r>
    </w:p>
    <w:p w:rsidR="00A86EAA" w:rsidRDefault="002251C8" w:rsidP="009C4EC6">
      <w:pPr>
        <w:numPr>
          <w:ilvl w:val="0"/>
          <w:numId w:val="4"/>
        </w:numPr>
        <w:spacing w:after="0"/>
        <w:jc w:val="both"/>
      </w:pPr>
      <w:r>
        <w:t>PAN of the company</w:t>
      </w:r>
    </w:p>
    <w:p w:rsidR="00A86EAA" w:rsidRDefault="002251C8" w:rsidP="009C4EC6">
      <w:pPr>
        <w:numPr>
          <w:ilvl w:val="0"/>
          <w:numId w:val="4"/>
        </w:numPr>
        <w:spacing w:after="0"/>
        <w:jc w:val="both"/>
      </w:pPr>
      <w:r>
        <w:t>Bank closure certificate</w:t>
      </w:r>
    </w:p>
    <w:p w:rsidR="00A86EAA" w:rsidRDefault="002251C8" w:rsidP="009C4EC6">
      <w:pPr>
        <w:numPr>
          <w:ilvl w:val="0"/>
          <w:numId w:val="4"/>
        </w:numPr>
        <w:spacing w:after="0"/>
        <w:jc w:val="both"/>
      </w:pPr>
      <w:r>
        <w:t>Board and shareholder resolutions</w:t>
      </w:r>
    </w:p>
    <w:p w:rsidR="00A86EAA" w:rsidRDefault="002251C8" w:rsidP="009C4EC6">
      <w:pPr>
        <w:numPr>
          <w:ilvl w:val="0"/>
          <w:numId w:val="4"/>
        </w:numPr>
        <w:spacing w:after="0"/>
        <w:jc w:val="both"/>
      </w:pPr>
      <w:r>
        <w:t>Statement of accounts</w:t>
      </w:r>
    </w:p>
    <w:p w:rsidR="00A86EAA" w:rsidRDefault="002251C8" w:rsidP="009C4EC6">
      <w:pPr>
        <w:numPr>
          <w:ilvl w:val="0"/>
          <w:numId w:val="4"/>
        </w:numPr>
        <w:spacing w:after="0"/>
        <w:jc w:val="both"/>
      </w:pPr>
      <w:r>
        <w:t>Affidavit &amp; Indemnity bond (duly notarized)</w:t>
      </w:r>
    </w:p>
    <w:p w:rsidR="00BE6C01" w:rsidRDefault="00BE6C01" w:rsidP="009C4EC6">
      <w:pPr>
        <w:spacing w:after="0"/>
        <w:jc w:val="both"/>
        <w:rPr>
          <w:rFonts w:ascii="Quattrocento Sans" w:eastAsia="Quattrocento Sans" w:hAnsi="Quattrocento Sans" w:cs="Quattrocento Sans"/>
          <w:b/>
          <w:sz w:val="26"/>
        </w:rPr>
      </w:pPr>
    </w:p>
    <w:p w:rsidR="00A86EAA" w:rsidRPr="00BE6C01" w:rsidRDefault="002251C8" w:rsidP="009C4EC6">
      <w:pPr>
        <w:spacing w:after="0"/>
        <w:jc w:val="both"/>
        <w:rPr>
          <w:b/>
          <w:sz w:val="28"/>
        </w:rPr>
      </w:pPr>
      <w:r w:rsidRPr="00BE6C01">
        <w:rPr>
          <w:rFonts w:ascii="Quattrocento Sans" w:eastAsia="Quattrocento Sans" w:hAnsi="Quattrocento Sans" w:cs="Quattrocento Sans"/>
          <w:b/>
          <w:sz w:val="26"/>
        </w:rPr>
        <w:t>⚖️</w:t>
      </w:r>
      <w:r w:rsidRPr="00BE6C01">
        <w:rPr>
          <w:b/>
          <w:sz w:val="28"/>
        </w:rPr>
        <w:t xml:space="preserve"> Benefits of Proper Dissolution</w:t>
      </w:r>
    </w:p>
    <w:p w:rsidR="00A86EAA" w:rsidRDefault="002251C8" w:rsidP="009C4EC6">
      <w:pPr>
        <w:numPr>
          <w:ilvl w:val="0"/>
          <w:numId w:val="5"/>
        </w:numPr>
        <w:spacing w:after="0"/>
        <w:jc w:val="both"/>
      </w:pPr>
      <w:r>
        <w:t>Avoid legal troubles and penalties</w:t>
      </w:r>
    </w:p>
    <w:p w:rsidR="00A86EAA" w:rsidRDefault="002251C8" w:rsidP="009C4EC6">
      <w:pPr>
        <w:numPr>
          <w:ilvl w:val="0"/>
          <w:numId w:val="5"/>
        </w:numPr>
        <w:spacing w:after="0"/>
        <w:jc w:val="both"/>
      </w:pPr>
      <w:r>
        <w:t>Protect directors from future liabilities</w:t>
      </w:r>
    </w:p>
    <w:p w:rsidR="00A86EAA" w:rsidRDefault="002251C8" w:rsidP="009C4EC6">
      <w:pPr>
        <w:numPr>
          <w:ilvl w:val="0"/>
          <w:numId w:val="5"/>
        </w:numPr>
        <w:spacing w:after="0"/>
        <w:jc w:val="both"/>
      </w:pPr>
      <w:r>
        <w:t>Ensure clean exit with ROC compliance</w:t>
      </w:r>
    </w:p>
    <w:p w:rsidR="00A86EAA" w:rsidRDefault="002251C8" w:rsidP="009C4EC6">
      <w:pPr>
        <w:numPr>
          <w:ilvl w:val="0"/>
          <w:numId w:val="5"/>
        </w:numPr>
        <w:spacing w:after="0"/>
        <w:jc w:val="both"/>
      </w:pPr>
      <w:r>
        <w:t>Peace of mind with expert handling</w:t>
      </w:r>
    </w:p>
    <w:p w:rsidR="00A86EAA" w:rsidRDefault="00A86EAA" w:rsidP="009C4EC6">
      <w:pPr>
        <w:spacing w:after="0"/>
        <w:jc w:val="both"/>
        <w:rPr>
          <w:rFonts w:ascii="Quattrocento Sans" w:eastAsia="Quattrocento Sans" w:hAnsi="Quattrocento Sans" w:cs="Quattrocento Sans"/>
          <w:b/>
        </w:rPr>
      </w:pPr>
    </w:p>
    <w:p w:rsidR="00A86EAA" w:rsidRPr="00BE6C01" w:rsidRDefault="002251C8" w:rsidP="009C4EC6">
      <w:pPr>
        <w:spacing w:after="0"/>
        <w:jc w:val="both"/>
        <w:rPr>
          <w:b/>
          <w:sz w:val="28"/>
        </w:rPr>
      </w:pPr>
      <w:proofErr w:type="gramStart"/>
      <w:r w:rsidRPr="00BE6C01">
        <w:rPr>
          <w:rFonts w:ascii="Quattrocento Sans" w:eastAsia="Quattrocento Sans" w:hAnsi="Quattrocento Sans" w:cs="Quattrocento Sans"/>
          <w:b/>
          <w:sz w:val="26"/>
        </w:rPr>
        <w:t>✅</w:t>
      </w:r>
      <w:r w:rsidRPr="00BE6C01">
        <w:rPr>
          <w:b/>
          <w:sz w:val="28"/>
        </w:rPr>
        <w:t xml:space="preserve"> </w:t>
      </w:r>
      <w:r w:rsidR="00BE6C01">
        <w:rPr>
          <w:b/>
          <w:sz w:val="28"/>
        </w:rPr>
        <w:t xml:space="preserve"> </w:t>
      </w:r>
      <w:r w:rsidRPr="00BE6C01">
        <w:rPr>
          <w:b/>
          <w:sz w:val="28"/>
        </w:rPr>
        <w:t>Why</w:t>
      </w:r>
      <w:proofErr w:type="gramEnd"/>
      <w:r w:rsidRPr="00BE6C01">
        <w:rPr>
          <w:b/>
          <w:sz w:val="28"/>
        </w:rPr>
        <w:t xml:space="preserve"> Do Clients Choose Winding Up Services?</w:t>
      </w:r>
    </w:p>
    <w:p w:rsidR="00A86EAA" w:rsidRDefault="002251C8" w:rsidP="009C4EC6">
      <w:pPr>
        <w:numPr>
          <w:ilvl w:val="0"/>
          <w:numId w:val="1"/>
        </w:numPr>
        <w:spacing w:after="0"/>
        <w:jc w:val="both"/>
      </w:pPr>
      <w:r>
        <w:t>To avoid future penalties or legal issues from a non-functioning company</w:t>
      </w:r>
    </w:p>
    <w:p w:rsidR="00A86EAA" w:rsidRDefault="002251C8" w:rsidP="009C4EC6">
      <w:pPr>
        <w:numPr>
          <w:ilvl w:val="0"/>
          <w:numId w:val="1"/>
        </w:numPr>
        <w:spacing w:after="0"/>
        <w:jc w:val="both"/>
      </w:pPr>
      <w:r>
        <w:t>To comply with statutory requirements under Companies Act, 2013</w:t>
      </w:r>
    </w:p>
    <w:p w:rsidR="00A86EAA" w:rsidRDefault="002251C8" w:rsidP="009C4EC6">
      <w:pPr>
        <w:numPr>
          <w:ilvl w:val="0"/>
          <w:numId w:val="1"/>
        </w:numPr>
        <w:spacing w:after="0"/>
        <w:jc w:val="both"/>
      </w:pPr>
      <w:r>
        <w:t>To formally close a business that’s inactive or facing insolvency</w:t>
      </w:r>
    </w:p>
    <w:p w:rsidR="00A86EAA" w:rsidRDefault="002251C8" w:rsidP="009C4EC6">
      <w:pPr>
        <w:numPr>
          <w:ilvl w:val="0"/>
          <w:numId w:val="1"/>
        </w:numPr>
        <w:spacing w:after="0"/>
        <w:jc w:val="both"/>
      </w:pPr>
      <w:r>
        <w:t>To restructure business operations or shift to new ventures</w:t>
      </w:r>
    </w:p>
    <w:p w:rsidR="00A86EAA" w:rsidRDefault="00A86EAA" w:rsidP="009C4EC6">
      <w:pPr>
        <w:spacing w:after="0"/>
        <w:jc w:val="both"/>
      </w:pPr>
    </w:p>
    <w:p w:rsidR="00BE6C01" w:rsidRDefault="00BE6C01" w:rsidP="009C4EC6">
      <w:pPr>
        <w:spacing w:after="0"/>
        <w:jc w:val="both"/>
      </w:pPr>
    </w:p>
    <w:p w:rsidR="00A86EAA" w:rsidRPr="00BE6C01" w:rsidRDefault="002251C8" w:rsidP="009C4EC6">
      <w:pPr>
        <w:spacing w:after="0"/>
        <w:jc w:val="both"/>
        <w:rPr>
          <w:b/>
          <w:sz w:val="28"/>
        </w:rPr>
      </w:pPr>
      <w:r w:rsidRPr="00BE6C01">
        <w:rPr>
          <w:rFonts w:ascii="Quattrocento Sans" w:eastAsia="Quattrocento Sans" w:hAnsi="Quattrocento Sans" w:cs="Quattrocento Sans"/>
          <w:b/>
          <w:sz w:val="26"/>
        </w:rPr>
        <w:lastRenderedPageBreak/>
        <w:t>👨</w:t>
      </w:r>
      <w:r w:rsidRPr="00BE6C01">
        <w:rPr>
          <w:b/>
          <w:sz w:val="28"/>
        </w:rPr>
        <w:t>‍</w:t>
      </w:r>
      <w:r w:rsidR="00BE6C01" w:rsidRPr="00BE6C01">
        <w:rPr>
          <w:rFonts w:ascii="Quattrocento Sans" w:eastAsia="Quattrocento Sans" w:hAnsi="Quattrocento Sans" w:cs="Quattrocento Sans"/>
          <w:b/>
          <w:sz w:val="26"/>
        </w:rPr>
        <w:t xml:space="preserve"> </w:t>
      </w:r>
      <w:r w:rsidRPr="00BE6C01">
        <w:rPr>
          <w:b/>
          <w:sz w:val="28"/>
        </w:rPr>
        <w:t>Why Choose Us?</w:t>
      </w:r>
    </w:p>
    <w:p w:rsidR="00A86EAA" w:rsidRDefault="002251C8" w:rsidP="009C4EC6">
      <w:pPr>
        <w:numPr>
          <w:ilvl w:val="0"/>
          <w:numId w:val="6"/>
        </w:numPr>
        <w:spacing w:after="0"/>
        <w:jc w:val="both"/>
      </w:pPr>
      <w:r>
        <w:t>Experienced CS professionals with in-depth legal knowledge</w:t>
      </w:r>
    </w:p>
    <w:p w:rsidR="00A86EAA" w:rsidRDefault="002251C8" w:rsidP="009C4EC6">
      <w:pPr>
        <w:numPr>
          <w:ilvl w:val="0"/>
          <w:numId w:val="6"/>
        </w:numPr>
        <w:spacing w:after="0"/>
        <w:jc w:val="both"/>
      </w:pPr>
      <w:r>
        <w:t>Transparent process and timely updates</w:t>
      </w:r>
      <w:bookmarkStart w:id="0" w:name="_GoBack"/>
      <w:bookmarkEnd w:id="0"/>
    </w:p>
    <w:p w:rsidR="00A86EAA" w:rsidRDefault="002251C8" w:rsidP="009C4EC6">
      <w:pPr>
        <w:numPr>
          <w:ilvl w:val="0"/>
          <w:numId w:val="6"/>
        </w:numPr>
        <w:spacing w:after="0"/>
        <w:jc w:val="both"/>
      </w:pPr>
      <w:r>
        <w:t>Tailored advice for your specific business case</w:t>
      </w:r>
    </w:p>
    <w:p w:rsidR="00A86EAA" w:rsidRDefault="002251C8" w:rsidP="009C4EC6">
      <w:pPr>
        <w:numPr>
          <w:ilvl w:val="0"/>
          <w:numId w:val="6"/>
        </w:numPr>
        <w:spacing w:after="0"/>
        <w:jc w:val="both"/>
      </w:pPr>
      <w:r>
        <w:t>Affordable and compliant service delivery</w:t>
      </w:r>
    </w:p>
    <w:p w:rsidR="00A86EAA" w:rsidRDefault="00A86EAA" w:rsidP="009C4EC6">
      <w:pPr>
        <w:spacing w:after="0"/>
        <w:jc w:val="both"/>
      </w:pPr>
    </w:p>
    <w:p w:rsidR="00A86EAA" w:rsidRDefault="002251C8" w:rsidP="009C4EC6">
      <w:pPr>
        <w:spacing w:after="0"/>
        <w:jc w:val="both"/>
        <w:rPr>
          <w:b/>
        </w:rPr>
      </w:pPr>
      <w:r>
        <w:rPr>
          <w:b/>
        </w:rPr>
        <w:t>Let’s Close the Chapter with Clarity &amp; Confidence</w:t>
      </w:r>
    </w:p>
    <w:p w:rsidR="00A86EAA" w:rsidRDefault="002251C8" w:rsidP="009C4EC6">
      <w:pPr>
        <w:spacing w:after="0"/>
        <w:jc w:val="both"/>
      </w:pPr>
      <w:r>
        <w:t xml:space="preserve">If you're ready to move forward, or just need clarity on the best way to dissolve your company, </w:t>
      </w:r>
      <w:r>
        <w:rPr>
          <w:b/>
        </w:rPr>
        <w:t>we're here to help</w:t>
      </w:r>
      <w:r>
        <w:t>. Reach out today for a consultation and let our team take the burden off your shoulders.</w:t>
      </w:r>
    </w:p>
    <w:p w:rsidR="00A86EAA" w:rsidRDefault="00A86EAA" w:rsidP="009C4EC6">
      <w:pPr>
        <w:spacing w:after="0"/>
        <w:jc w:val="both"/>
      </w:pPr>
    </w:p>
    <w:sectPr w:rsidR="00A86EAA" w:rsidSect="009C4EC6">
      <w:pgSz w:w="11906" w:h="16838"/>
      <w:pgMar w:top="1440" w:right="836" w:bottom="90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592A"/>
    <w:multiLevelType w:val="multilevel"/>
    <w:tmpl w:val="DF80EF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C1C39BE"/>
    <w:multiLevelType w:val="multilevel"/>
    <w:tmpl w:val="EF1A7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55D5145"/>
    <w:multiLevelType w:val="multilevel"/>
    <w:tmpl w:val="14A2FE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BCC6D5B"/>
    <w:multiLevelType w:val="multilevel"/>
    <w:tmpl w:val="140205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F7C5E36"/>
    <w:multiLevelType w:val="multilevel"/>
    <w:tmpl w:val="21BEE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5F550738"/>
    <w:multiLevelType w:val="multilevel"/>
    <w:tmpl w:val="5AB09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6A447D86"/>
    <w:multiLevelType w:val="multilevel"/>
    <w:tmpl w:val="ABB0FB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AA"/>
    <w:rsid w:val="002251C8"/>
    <w:rsid w:val="00670338"/>
    <w:rsid w:val="009C4EC6"/>
    <w:rsid w:val="00A86EAA"/>
    <w:rsid w:val="00B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22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2251C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2251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22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2251C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2251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</dc:creator>
  <cp:lastModifiedBy>Admin</cp:lastModifiedBy>
  <cp:revision>5</cp:revision>
  <dcterms:created xsi:type="dcterms:W3CDTF">2025-06-19T05:02:00Z</dcterms:created>
  <dcterms:modified xsi:type="dcterms:W3CDTF">2025-06-22T09:47:00Z</dcterms:modified>
</cp:coreProperties>
</file>