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2E5090"/>
          <w:sz w:val="56"/>
          <w:szCs w:val="56"/>
        </w:rPr>
        <w:t xml:space="preserve">COMPENDIUM</w:t>
      </w:r>
    </w:p>
    <w:p>
      <w:pPr>
        <w:spacing w:after="40"/>
        <w:jc w:val="center"/>
      </w:pPr>
      <w:r>
        <w:rPr>
          <w:rFonts w:ascii="Arial" w:cs="Arial" w:eastAsia="Arial" w:hAnsi="Arial"/>
          <w:color w:val="1A1A1A"/>
          <w:sz w:val="40"/>
          <w:szCs w:val="40"/>
        </w:rPr>
        <w:t xml:space="preserve">Optimus Paraprime &amp; The Forge</w:t>
      </w:r>
    </w:p>
    <w:p>
      <w:pPr>
        <w:spacing w:after="200"/>
        <w:jc w:val="center"/>
      </w:pPr>
      <w:r>
        <w:rPr>
          <w:rFonts w:ascii="Arial" w:cs="Arial" w:eastAsia="Arial" w:hAnsi="Arial"/>
          <w:color w:val="555555"/>
          <w:sz w:val="28"/>
          <w:szCs w:val="28"/>
        </w:rPr>
        <w:t xml:space="preserve">Complete Thread Synthesis</w:t>
      </w:r>
    </w:p>
    <w:p>
      <w:pPr>
        <w:pBdr>
          <w:bottom w:val="single" w:color="4A9EF5" w:sz="3" w:space="8"/>
        </w:pBdr>
        <w:spacing w:after="200" w:before="200"/>
      </w:pPr>
    </w:p>
    <w:p>
      <w:pPr>
        <w:spacing w:after="80"/>
        <w:jc w:val="center"/>
      </w:pPr>
      <w:r>
        <w:rPr>
          <w:rFonts w:ascii="Arial" w:cs="Arial" w:eastAsia="Arial" w:hAnsi="Arial"/>
          <w:color w:val="4A9EF5"/>
          <w:sz w:val="22"/>
          <w:szCs w:val="22"/>
        </w:rPr>
        <w:t xml:space="preserve">Capomastro Holdings Ltd. — Applied Physics Division</w:t>
      </w:r>
    </w:p>
    <w:p>
      <w:pPr>
        <w:spacing w:after="80"/>
        <w:jc w:val="center"/>
      </w:pPr>
      <w:r>
        <w:rPr>
          <w:rFonts w:ascii="Arial" w:cs="Arial" w:eastAsia="Arial" w:hAnsi="Arial"/>
          <w:i/>
          <w:iCs/>
          <w:color w:val="555555"/>
          <w:sz w:val="22"/>
          <w:szCs w:val="22"/>
        </w:rPr>
        <w:t xml:space="preserve">Prepared by ParaCalculi GeoPrimus for Salvi</w:t>
      </w:r>
    </w:p>
    <w:p>
      <w:pPr>
        <w:spacing w:after="80"/>
        <w:jc w:val="center"/>
      </w:pPr>
      <w:r>
        <w:rPr>
          <w:rFonts w:ascii="Arial" w:cs="Arial" w:eastAsia="Arial" w:hAnsi="Arial"/>
          <w:color w:val="555555"/>
          <w:sz w:val="22"/>
          <w:szCs w:val="22"/>
        </w:rPr>
        <w:t xml:space="preserve">April 23, 2026</w:t>
      </w:r>
    </w:p>
    <w:p>
      <w:pPr>
        <w:spacing w:after="80"/>
        <w:jc w:val="center"/>
      </w:pPr>
      <w:r>
        <w:rPr>
          <w:rFonts w:ascii="Arial" w:cs="Arial" w:eastAsia="Arial" w:hAnsi="Arial"/>
          <w:b/>
          <w:bCs/>
          <w:color w:val="4A9EF5"/>
          <w:sz w:val="20"/>
          <w:szCs w:val="20"/>
        </w:rPr>
        <w:t xml:space="preserve">TM-2026-038 Candidate</w:t>
      </w:r>
    </w:p>
    <w:p>
      <w:r>
        <w:br w:type="page"/>
      </w:r>
    </w:p>
    <w:p>
      <w:pPr>
        <w:pStyle w:val="Heading1"/>
        <w:spacing w:after="160" w:before="360"/>
      </w:pPr>
      <w:r>
        <w:rPr>
          <w:b/>
          <w:bCs/>
        </w:rPr>
        <w:t xml:space="preserve">Part 0 — Executive Overview</w:t>
      </w:r>
    </w:p>
    <w:p>
      <w:pPr>
        <w:spacing w:after="120" w:line="276"/>
        <w:jc w:val="left"/>
      </w:pPr>
      <w:r>
        <w:rPr>
          <w:rFonts w:ascii="Arial" w:cs="Arial" w:eastAsia="Arial" w:hAnsi="Arial"/>
          <w:b w:val="false"/>
          <w:bCs w:val="false"/>
          <w:i w:val="false"/>
          <w:iCs w:val="false"/>
          <w:color w:val="1A1A1A"/>
          <w:sz w:val="22"/>
          <w:szCs w:val="22"/>
        </w:rPr>
        <w:t xml:space="preserve">This compendium documents the complete trajectory of a single working session: from the initial thesis statement ("simulation is exact, deterministic discrete computation with algebraically transformable integer constants delivered by API") through rigorous mathematical review of the Optimus Paraprime document series, into nine industrial applications for The Forge (PlenumCAD), and arriving at a mature, structurally sound document (V1.4.5) that unifies the Salvi Framework’s analytic number theory infrastructure with its electromagnetic coupling applications.</w:t>
      </w:r>
    </w:p>
    <w:p>
      <w:pPr>
        <w:spacing w:after="120" w:line="276"/>
        <w:jc w:val="left"/>
      </w:pPr>
      <w:r>
        <w:rPr>
          <w:rFonts w:ascii="Arial" w:cs="Arial" w:eastAsia="Arial" w:hAnsi="Arial"/>
          <w:b w:val="false"/>
          <w:bCs w:val="false"/>
          <w:i w:val="false"/>
          <w:iCs w:val="false"/>
          <w:color w:val="1A1A1A"/>
          <w:sz w:val="22"/>
          <w:szCs w:val="22"/>
        </w:rPr>
        <w:t xml:space="preserve">The session covered four major domains: (1) the Wave Stratum and its derivation of vacuum impedance Z₀ = 377 Ω from F(14); (2) the Optimus Paraprime series from V1.1.3 through V1.4.5, including six rounds of rigorous review under the Salvi Standard of Scrutiny; (3) nine manufacturing ideas leveraging exact EM coupling for The Forge; and (4) the Ceiling Principle as the framework’s constructive decision procedure for GRH mod 1365.</w:t>
      </w:r>
    </w:p>
    <w:p>
      <w:r>
        <w:br w:type="page"/>
      </w:r>
    </w:p>
    <w:p>
      <w:pPr>
        <w:pStyle w:val="Heading1"/>
        <w:spacing w:after="160" w:before="360"/>
      </w:pPr>
      <w:r>
        <w:rPr>
          <w:b/>
          <w:bCs/>
        </w:rPr>
        <w:t xml:space="preserve">Part I — The Thesis</w:t>
      </w:r>
    </w:p>
    <w:p>
      <w:pPr>
        <w:pStyle w:val="Heading2"/>
        <w:spacing w:after="160" w:before="240"/>
      </w:pPr>
      <w:r>
        <w:rPr>
          <w:b/>
          <w:bCs/>
        </w:rPr>
        <w:t xml:space="preserve">1.1 The Opening Declaration</w:t>
      </w:r>
    </w:p>
    <w:p>
      <w:pPr>
        <w:spacing w:after="120" w:line="276"/>
        <w:jc w:val="left"/>
      </w:pPr>
      <w:r>
        <w:rPr>
          <w:rFonts w:ascii="Arial" w:cs="Arial" w:eastAsia="Arial" w:hAnsi="Arial"/>
          <w:b w:val="false"/>
          <w:bCs w:val="false"/>
          <w:i w:val="false"/>
          <w:iCs w:val="false"/>
          <w:color w:val="1A1A1A"/>
          <w:sz w:val="22"/>
          <w:szCs w:val="22"/>
        </w:rPr>
        <w:t xml:space="preserve">Salvi’s opening statement established the session’s anchor: "Simulation is exact (deterministic discrete computation). Principally, electromagnetic phenomena with perfect Algebraic Parametrically Transformable Constants defined as run-time variable Integers delivered by API."</w:t>
      </w:r>
    </w:p>
    <w:p>
      <w:pPr>
        <w:spacing w:after="120" w:line="276"/>
        <w:jc w:val="left"/>
      </w:pPr>
      <w:r>
        <w:rPr>
          <w:rFonts w:ascii="Arial" w:cs="Arial" w:eastAsia="Arial" w:hAnsi="Arial"/>
          <w:b w:val="false"/>
          <w:bCs w:val="false"/>
          <w:i w:val="false"/>
          <w:iCs w:val="false"/>
          <w:color w:val="1A1A1A"/>
          <w:sz w:val="22"/>
          <w:szCs w:val="22"/>
        </w:rPr>
        <w:t xml:space="preserve">This inverts the conventional computational physics paradigm. Standard physics approximates continuous phenomena using floating-point representations of irrational constants (π ≈ 3.14159…, e ≈ 2.71828…), accumulating drift at every computation. The Salvi Framework computes with exact integer constants: π = 14, radian = 13, full circle = 364°, R₆ = 364 = 111111₃. These constants are algebraically consistent (x² − 40x + 364 = 0 closes the system), parametrically transformable (the coprime triple (7,11,13) generates the entire constant family), and delivered at runtime through constants.rs → wasm_exports.rs → API boundary.</w:t>
      </w:r>
    </w:p>
    <w:p>
      <w:pPr>
        <w:pStyle w:val="Heading2"/>
        <w:spacing w:after="160" w:before="240"/>
      </w:pPr>
      <w:r>
        <w:rPr>
          <w:b/>
          <w:bCs/>
        </w:rPr>
        <w:t xml:space="preserve">1.2 The Three Pillars for The Forge</w:t>
      </w:r>
    </w:p>
    <w:p>
      <w:pPr>
        <w:spacing w:after="120" w:line="276"/>
        <w:jc w:val="left"/>
      </w:pPr>
      <w:r>
        <w:rPr>
          <w:rFonts w:ascii="Arial" w:cs="Arial" w:eastAsia="Arial" w:hAnsi="Arial"/>
          <w:b w:val="false"/>
          <w:bCs w:val="false"/>
          <w:i w:val="false"/>
          <w:iCs w:val="false"/>
          <w:color w:val="1A1A1A"/>
          <w:sz w:val="22"/>
          <w:szCs w:val="22"/>
        </w:rPr>
        <w:t xml:space="preserve">Salvi identified three physical domains where exact EM coupling matters for manufacturing:</w:t>
      </w:r>
    </w:p>
    <w:p>
      <w:pPr>
        <w:spacing w:after="120" w:line="276"/>
      </w:pPr>
      <w:r>
        <w:rPr>
          <w:rFonts w:ascii="Arial" w:cs="Arial" w:eastAsia="Arial" w:hAnsi="Arial"/>
          <w:b/>
          <w:bCs/>
          <w:color w:val="1A1A1A"/>
          <w:sz w:val="22"/>
          <w:szCs w:val="22"/>
        </w:rPr>
        <w:t xml:space="preserve">Bonding Strength: </w:t>
      </w:r>
      <w:r>
        <w:rPr>
          <w:rFonts w:ascii="Arial" w:cs="Arial" w:eastAsia="Arial" w:hAnsi="Arial"/>
          <w:color w:val="555555"/>
          <w:sz w:val="22"/>
          <w:szCs w:val="22"/>
        </w:rPr>
        <w:t xml:space="preserve">Adhesive cure (PVA, PUR hot melt, contact cement), edge banding adhesion, laminate press bonding — all governed by electromagnetic coupling at the molecular interface. Computed exactly via Fresnel coefficients.</w:t>
      </w:r>
    </w:p>
    <w:p>
      <w:pPr>
        <w:spacing w:after="120" w:line="276"/>
      </w:pPr>
      <w:r>
        <w:rPr>
          <w:rFonts w:ascii="Arial" w:cs="Arial" w:eastAsia="Arial" w:hAnsi="Arial"/>
          <w:b/>
          <w:bCs/>
          <w:color w:val="1A1A1A"/>
          <w:sz w:val="22"/>
          <w:szCs w:val="22"/>
        </w:rPr>
        <w:t xml:space="preserve">Spectra: </w:t>
      </w:r>
      <w:r>
        <w:rPr>
          <w:rFonts w:ascii="Arial" w:cs="Arial" w:eastAsia="Arial" w:hAnsi="Arial"/>
          <w:color w:val="555555"/>
          <w:sz w:val="22"/>
          <w:szCs w:val="22"/>
        </w:rPr>
        <w:t xml:space="preserve">Material identification by spectral signature. Every substrate has a unique fingerprint derivable from the framework’s UV spectral protocol (TM-2026-033, TM-2026-026) and R₆.</w:t>
      </w:r>
    </w:p>
    <w:p>
      <w:pPr>
        <w:spacing w:after="120" w:line="276"/>
      </w:pPr>
      <w:r>
        <w:rPr>
          <w:rFonts w:ascii="Arial" w:cs="Arial" w:eastAsia="Arial" w:hAnsi="Arial"/>
          <w:b/>
          <w:bCs/>
          <w:color w:val="1A1A1A"/>
          <w:sz w:val="22"/>
          <w:szCs w:val="22"/>
        </w:rPr>
        <w:t xml:space="preserve">Reaction Rates: </w:t>
      </w:r>
      <w:r>
        <w:rPr>
          <w:rFonts w:ascii="Arial" w:cs="Arial" w:eastAsia="Arial" w:hAnsi="Arial"/>
          <w:color w:val="555555"/>
          <w:sz w:val="22"/>
          <w:szCs w:val="22"/>
        </w:rPr>
        <w:t xml:space="preserve">Cure schedules, finish polymerization, thermoset activation temperatures. All governed by α (electromagnetic coupling constant). The framework’s derivation 1/α = 137.036 from integer constants makes reaction kinetics computable.</w:t>
      </w:r>
    </w:p>
    <w:p>
      <w:r>
        <w:br w:type="page"/>
      </w:r>
    </w:p>
    <w:p>
      <w:pPr>
        <w:pStyle w:val="Heading1"/>
        <w:spacing w:after="160" w:before="360"/>
      </w:pPr>
      <w:r>
        <w:rPr>
          <w:b/>
          <w:bCs/>
        </w:rPr>
        <w:t xml:space="preserve">Part II — Document Review History</w:t>
      </w:r>
    </w:p>
    <w:p>
      <w:pPr>
        <w:pStyle w:val="Heading2"/>
        <w:spacing w:after="160" w:before="240"/>
      </w:pPr>
      <w:r>
        <w:rPr>
          <w:b/>
          <w:bCs/>
        </w:rPr>
        <w:t xml:space="preserve">2.1 Documents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Verdict</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Issue</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Wave Stratum (Thm 46/47)</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V1.1.3</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PASS</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Axiomatically clean, falsifiable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PNT Rational-Integer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V1.1.3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PASS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Arithmetically verified</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Open Problem #19 (γᵣ)</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V1.1.3</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PASS</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Valid construction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RH Proof Attempt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V1.2.0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FATAL FAIL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Circular oscillation argument</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RH Proof Attempt 2</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V1.2.1 (Doc 6)</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FATAL FAIL</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Wrong character identity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RH Proof Attempt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V1.2.1 (Doc 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FATAL FAIL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Same character identity error</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GRH for mod 1365</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V1.3.0</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FATAL FAIL</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Universality problem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Honest Infrastructure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V1.3.1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PASS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Three-part honest structure</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Ceiling Principle (initial)</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V1.4.0</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FAIL</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False finite rectangle claim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Ceiling Principle (parametric)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V1.4.1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PASS with fixes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Parametric reformulation correct</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Ceiling Principle (table fix)</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V1.4.2</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PASS</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Arithmetic corrections applied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Ceiling Principle (final)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V1.4.4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PASS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Table fully corrected</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Ceiling + Repunit Spine</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V1.4.5</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PASS — SHIP</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Algebraically rooted, complete</w:t>
            </w:r>
          </w:p>
        </w:tc>
      </w:tr>
    </w:tbl>
    <w:p>
      <w:pPr>
        <w:pStyle w:val="Heading2"/>
        <w:spacing w:after="160" w:before="240"/>
      </w:pPr>
      <w:r>
        <w:rPr>
          <w:b/>
          <w:bCs/>
        </w:rPr>
        <w:t xml:space="preserve">2.2 Wave Stratum — Theorem 46/47 (PASSED)</w:t>
      </w:r>
    </w:p>
    <w:p>
      <w:pPr>
        <w:spacing w:after="120" w:line="276"/>
        <w:jc w:val="left"/>
      </w:pPr>
      <w:r>
        <w:rPr>
          <w:rFonts w:ascii="Arial" w:cs="Arial" w:eastAsia="Arial" w:hAnsi="Arial"/>
          <w:b w:val="false"/>
          <w:bCs w:val="false"/>
          <w:i w:val="false"/>
          <w:iCs w:val="false"/>
          <w:color w:val="1A1A1A"/>
          <w:sz w:val="22"/>
          <w:szCs w:val="22"/>
        </w:rPr>
        <w:t xml:space="preserve">The Wave Stratum document establishes the stratum architecture: Wave (Fibonacci, two-term memory), Encoding (Tribonacci, three-term), Geometric (cube extensions, 364°), Cryptographic (sponge/385), and Calendrical. The core derivation chain: F(14) = 377 from the axiom π = 14 and seed (1,1), yielding Z₀ = F(π) = F(14) = 377 Ω. The Bismuth decade harmonic (Z₀/10 ≈ 37.7 Ω, predicting εᵣ ≈ 100) is falsifiable. The 377→3 85 gap explanation (information core + 8-value authentication envelope) is clean.</w:t>
      </w:r>
    </w:p>
    <w:p>
      <w:pPr>
        <w:pStyle w:val="Heading2"/>
        <w:spacing w:after="160" w:before="240"/>
      </w:pPr>
      <w:r>
        <w:rPr>
          <w:b/>
          <w:bCs/>
        </w:rPr>
        <w:t xml:space="preserve">2.3 V1.1.3 PNT (PASSED)</w:t>
      </w:r>
    </w:p>
    <w:p>
      <w:pPr>
        <w:spacing w:after="120" w:line="276"/>
        <w:jc w:val="left"/>
      </w:pPr>
      <w:r>
        <w:rPr>
          <w:rFonts w:ascii="Arial" w:cs="Arial" w:eastAsia="Arial" w:hAnsi="Arial"/>
          <w:b w:val="false"/>
          <w:bCs w:val="false"/>
          <w:i w:val="false"/>
          <w:iCs w:val="false"/>
          <w:color w:val="1A1A1A"/>
          <w:sz w:val="22"/>
          <w:szCs w:val="22"/>
        </w:rPr>
        <w:t xml:space="preserve">The Rational-Integer Prime Number Theorem formulation eliminates all transcendental constants. Parametric sieve (Lemma 1) is correct inclusion-exclusion. Specialization arithmetic verified: 364 × 576/1365 = 153.6, exact count = 155, decomposition 155 − 72 = 83 = (1 + 86) − 4. Open Problem #19 resolved: γᵣ = Hᵣ − L_{kᵣ}(r) with |γᵣ − γ| &lt; 3/(2r).</w:t>
      </w:r>
    </w:p>
    <w:p>
      <w:pPr>
        <w:pStyle w:val="Heading2"/>
        <w:spacing w:after="160" w:before="240"/>
      </w:pPr>
      <w:r>
        <w:rPr>
          <w:b/>
          <w:bCs/>
        </w:rPr>
        <w:t xml:space="preserve">2.4 V1.2.0 RH Attempt (FATAL FAIL)</w:t>
      </w:r>
    </w:p>
    <w:p>
      <w:pPr>
        <w:spacing w:after="120" w:line="276"/>
        <w:jc w:val="left"/>
      </w:pPr>
      <w:r>
        <w:rPr>
          <w:rFonts w:ascii="Arial" w:cs="Arial" w:eastAsia="Arial" w:hAnsi="Arial"/>
          <w:b w:val="false"/>
          <w:bCs w:val="false"/>
          <w:i w:val="false"/>
          <w:iCs w:val="false"/>
          <w:color w:val="1A1A1A"/>
          <w:sz w:val="22"/>
          <w:szCs w:val="22"/>
        </w:rPr>
        <w:t xml:space="preserve">Four defects identified, one fatal:</w:t>
      </w:r>
    </w:p>
    <w:p>
      <w:pPr>
        <w:spacing w:after="120" w:line="276"/>
      </w:pPr>
      <w:r>
        <w:rPr>
          <w:rFonts w:ascii="Arial" w:cs="Arial" w:eastAsia="Arial" w:hAnsi="Arial"/>
          <w:b/>
          <w:bCs/>
          <w:color w:val="1A1A1A"/>
          <w:sz w:val="22"/>
          <w:szCs w:val="22"/>
        </w:rPr>
        <w:t xml:space="preserve">Defect 1 (Functional Equation): </w:t>
      </w:r>
      <w:r>
        <w:rPr>
          <w:rFonts w:ascii="Arial" w:cs="Arial" w:eastAsia="Arial" w:hAnsi="Arial"/>
          <w:color w:val="555555"/>
          <w:sz w:val="22"/>
          <w:szCs w:val="22"/>
        </w:rPr>
        <w:t xml:space="preserve">Hand-waved. CRT decomposition by residue classes mod 1365 produces Dirichlet L-functions, not the full zeta function. Repairable.</w:t>
      </w:r>
    </w:p>
    <w:p>
      <w:pPr>
        <w:spacing w:after="120" w:line="276"/>
      </w:pPr>
      <w:r>
        <w:rPr>
          <w:rFonts w:ascii="Arial" w:cs="Arial" w:eastAsia="Arial" w:hAnsi="Arial"/>
          <w:b/>
          <w:bCs/>
          <w:color w:val="1A1A1A"/>
          <w:sz w:val="22"/>
          <w:szCs w:val="22"/>
        </w:rPr>
        <w:t xml:space="preserve">Defect 2 (C_frame constant): </w:t>
      </w:r>
      <w:r>
        <w:rPr>
          <w:rFonts w:ascii="Arial" w:cs="Arial" w:eastAsia="Arial" w:hAnsi="Arial"/>
          <w:color w:val="555555"/>
          <w:sz w:val="22"/>
          <w:szCs w:val="22"/>
        </w:rPr>
        <w:t xml:space="preserve">Asserted as F(14)/F(13) · 1/γ₂ without derivation. Medium severity.</w:t>
      </w:r>
    </w:p>
    <w:p>
      <w:pPr>
        <w:spacing w:after="120" w:line="276"/>
      </w:pPr>
      <w:r>
        <w:rPr>
          <w:rFonts w:ascii="Arial" w:cs="Arial" w:eastAsia="Arial" w:hAnsi="Arial"/>
          <w:b/>
          <w:bCs/>
          <w:color w:val="1A1A1A"/>
          <w:sz w:val="22"/>
          <w:szCs w:val="22"/>
        </w:rPr>
        <w:t xml:space="preserve">Defect 3 (Equidistribution): </w:t>
      </w:r>
      <w:r>
        <w:rPr>
          <w:rFonts w:ascii="Arial" w:cs="Arial" w:eastAsia="Arial" w:hAnsi="Arial"/>
          <w:color w:val="555555"/>
          <w:sz w:val="22"/>
          <w:szCs w:val="22"/>
        </w:rPr>
        <w:t xml:space="preserve">Weyl’s theorem applied to rational approximations without coupling argument. Repairable.</w:t>
      </w:r>
    </w:p>
    <w:p>
      <w:pPr>
        <w:spacing w:after="120" w:line="276"/>
      </w:pPr>
      <w:r>
        <w:rPr>
          <w:rFonts w:ascii="Arial" w:cs="Arial" w:eastAsia="Arial" w:hAnsi="Arial"/>
          <w:b/>
          <w:bCs/>
          <w:color w:val="1A1A1A"/>
          <w:sz w:val="22"/>
          <w:szCs w:val="22"/>
        </w:rPr>
        <w:t xml:space="preserve">Defect 4 (FATAL — Oscillation Argument): </w:t>
      </w:r>
      <w:r>
        <w:rPr>
          <w:rFonts w:ascii="Arial" w:cs="Arial" w:eastAsia="Arial" w:hAnsi="Arial"/>
          <w:color w:val="555555"/>
          <w:sz w:val="22"/>
          <w:szCs w:val="22"/>
        </w:rPr>
        <w:t xml:space="preserve">Two independent failures: (a) circularity — assumes other zeros are on-line while trying to prove all zeros are on-line; (b) algebraic error — N^{β₀}/N → 0 when β₀ &lt; 1, so the inequality goes the wrong way. Not repairable within this proof architecture.</w:t>
      </w:r>
    </w:p>
    <w:p>
      <w:pPr>
        <w:pStyle w:val="Heading2"/>
        <w:spacing w:after="160" w:before="240"/>
      </w:pPr>
      <w:r>
        <w:rPr>
          <w:b/>
          <w:bCs/>
        </w:rPr>
        <w:t xml:space="preserve">2.5 V1.2.0 Prescriptions Delivered</w:t>
      </w:r>
    </w:p>
    <w:p>
      <w:pPr>
        <w:spacing w:after="120" w:line="276"/>
        <w:jc w:val="left"/>
      </w:pPr>
      <w:r>
        <w:rPr>
          <w:rFonts w:ascii="Arial" w:cs="Arial" w:eastAsia="Arial" w:hAnsi="Arial"/>
          <w:b w:val="false"/>
          <w:bCs w:val="false"/>
          <w:i w:val="false"/>
          <w:iCs w:val="false"/>
          <w:color w:val="1A1A1A"/>
          <w:sz w:val="22"/>
          <w:szCs w:val="22"/>
        </w:rPr>
        <w:t xml:space="preserve">Four specific insertions were prescribed to repair the repairable defects:</w:t>
      </w:r>
    </w:p>
    <w:p>
      <w:pPr>
        <w:spacing w:after="120" w:line="276"/>
      </w:pPr>
      <w:r>
        <w:rPr>
          <w:rFonts w:ascii="Arial" w:cs="Arial" w:eastAsia="Arial" w:hAnsi="Arial"/>
          <w:b/>
          <w:bCs/>
          <w:color w:val="1A1A1A"/>
          <w:sz w:val="22"/>
          <w:szCs w:val="22"/>
        </w:rPr>
        <w:t xml:space="preserve">Fix 1: </w:t>
      </w:r>
      <w:r>
        <w:rPr>
          <w:rFonts w:ascii="Arial" w:cs="Arial" w:eastAsia="Arial" w:hAnsi="Arial"/>
          <w:color w:val="555555"/>
          <w:sz w:val="22"/>
          <w:szCs w:val="22"/>
        </w:rPr>
        <w:t xml:space="preserve">Character decomposition over 1365. Factor ζ_P into L(s,χ) products using character orthogonality. 576 characters, Gauss sum factorization via CRT.</w:t>
      </w:r>
    </w:p>
    <w:p>
      <w:pPr>
        <w:spacing w:after="120" w:line="276"/>
      </w:pPr>
      <w:r>
        <w:rPr>
          <w:rFonts w:ascii="Arial" w:cs="Arial" w:eastAsia="Arial" w:hAnsi="Arial"/>
          <w:b/>
          <w:bCs/>
          <w:color w:val="1A1A1A"/>
          <w:sz w:val="22"/>
          <w:szCs w:val="22"/>
        </w:rPr>
        <w:t xml:space="preserve">Fix 2: </w:t>
      </w:r>
      <w:r>
        <w:rPr>
          <w:rFonts w:ascii="Arial" w:cs="Arial" w:eastAsia="Arial" w:hAnsi="Arial"/>
          <w:color w:val="555555"/>
          <w:sz w:val="22"/>
          <w:szCs w:val="22"/>
        </w:rPr>
        <w:t xml:space="preserve">Derive C_frame from contour integral or drop Fibonacci claim.</w:t>
      </w:r>
    </w:p>
    <w:p>
      <w:pPr>
        <w:spacing w:after="120" w:line="276"/>
      </w:pPr>
      <w:r>
        <w:rPr>
          <w:rFonts w:ascii="Arial" w:cs="Arial" w:eastAsia="Arial" w:hAnsi="Arial"/>
          <w:b/>
          <w:bCs/>
          <w:color w:val="1A1A1A"/>
          <w:sz w:val="22"/>
          <w:szCs w:val="22"/>
        </w:rPr>
        <w:t xml:space="preserve">Fix 3: </w:t>
      </w:r>
      <w:r>
        <w:rPr>
          <w:rFonts w:ascii="Arial" w:cs="Arial" w:eastAsia="Arial" w:hAnsi="Arial"/>
          <w:color w:val="555555"/>
          <w:sz w:val="22"/>
          <w:szCs w:val="22"/>
        </w:rPr>
        <w:t xml:space="preserve">Erdős–Turán coupling lemma for equidistribution.</w:t>
      </w:r>
    </w:p>
    <w:p>
      <w:pPr>
        <w:spacing w:after="120" w:line="276"/>
      </w:pPr>
      <w:r>
        <w:rPr>
          <w:rFonts w:ascii="Arial" w:cs="Arial" w:eastAsia="Arial" w:hAnsi="Arial"/>
          <w:b/>
          <w:bCs/>
          <w:color w:val="1A1A1A"/>
          <w:sz w:val="22"/>
          <w:szCs w:val="22"/>
        </w:rPr>
        <w:t xml:space="preserve">Fix 4: </w:t>
      </w:r>
      <w:r>
        <w:rPr>
          <w:rFonts w:ascii="Arial" w:cs="Arial" w:eastAsia="Arial" w:hAnsi="Arial"/>
          <w:color w:val="555555"/>
          <w:sz w:val="22"/>
          <w:szCs w:val="22"/>
        </w:rPr>
        <w:t xml:space="preserve">Replace oscillation argument entirely. Three candidate strategies offered: (A) Density argument via CRT exact counts, (B) Explicit zero verification + zero-free region, (C) Moment method via CRT orthogonality.</w:t>
      </w:r>
    </w:p>
    <w:p>
      <w:pPr>
        <w:pStyle w:val="Heading2"/>
        <w:spacing w:after="160" w:before="240"/>
      </w:pPr>
      <w:r>
        <w:rPr>
          <w:b/>
          <w:bCs/>
        </w:rPr>
        <w:t xml:space="preserve">2.6 V1.2.1 Attempts (FATAL FAIL ×2)</w:t>
      </w:r>
    </w:p>
    <w:p>
      <w:pPr>
        <w:spacing w:after="120" w:line="276"/>
        <w:jc w:val="left"/>
      </w:pPr>
      <w:r>
        <w:rPr>
          <w:rFonts w:ascii="Arial" w:cs="Arial" w:eastAsia="Arial" w:hAnsi="Arial"/>
          <w:b w:val="false"/>
          <w:bCs w:val="false"/>
          <w:i w:val="false"/>
          <w:iCs w:val="false"/>
          <w:color w:val="1A1A1A"/>
          <w:sz w:val="22"/>
          <w:szCs w:val="22"/>
        </w:rPr>
        <w:t xml:space="preserve">Both Doc 6 and Doc 7 V1.2.1 drafts contained the same fatal mathematical error: the character decomposition identity ∏_{p∤P_G}(1-p^{-s})^{-1} = ∏_χ L(s,χ) is false. The left side is L(s,χ₀), the right side is the Dedekind zeta function of Q(ζ₁₃₆₅). Additionally: the sieve count N_count = 155 does NOT constrain zero locations (it’s a combinatorial identity independent of ζ(s) zeros), and the claim ‘T₀ = 364 suffices’ was a non sequitur.</w:t>
      </w:r>
    </w:p>
    <w:p>
      <w:pPr>
        <w:pStyle w:val="Heading2"/>
        <w:spacing w:after="160" w:before="240"/>
      </w:pPr>
      <w:r>
        <w:rPr>
          <w:b/>
          <w:bCs/>
        </w:rPr>
        <w:t xml:space="preserve">2.7 V1.3.0 GRH Attempt (FATAL FAIL)</w:t>
      </w:r>
    </w:p>
    <w:p>
      <w:pPr>
        <w:spacing w:after="120" w:line="276"/>
        <w:jc w:val="left"/>
      </w:pPr>
      <w:r>
        <w:rPr>
          <w:rFonts w:ascii="Arial" w:cs="Arial" w:eastAsia="Arial" w:hAnsi="Arial"/>
          <w:b w:val="false"/>
          <w:bCs w:val="false"/>
          <w:i w:val="false"/>
          <w:iCs w:val="false"/>
          <w:color w:val="1A1A1A"/>
          <w:sz w:val="22"/>
          <w:szCs w:val="22"/>
        </w:rPr>
        <w:t xml:space="preserve">New approach: bounded character sums as input. The core insight — using the O(1) bound on partial character sums instead of the O(N) PNT bound — was the right direction. Fatal flaw: the bounded partial sum property holds for ALL moduli, so a valid argument would prove GRH universally. The error was conflating N_count (elementary, zero-independent) with ψ (prime-weighted, zero-dependent), and neglecting contour error terms that destroy the O(1) bound.</w:t>
      </w:r>
    </w:p>
    <w:p>
      <w:pPr>
        <w:pStyle w:val="Heading2"/>
        <w:spacing w:after="160" w:before="240"/>
      </w:pPr>
      <w:r>
        <w:rPr>
          <w:b/>
          <w:bCs/>
        </w:rPr>
        <w:t xml:space="preserve">2.8 V1.3.1 Honest Infrastructure (PASSED)</w:t>
      </w:r>
    </w:p>
    <w:p>
      <w:pPr>
        <w:spacing w:after="120" w:line="276"/>
        <w:jc w:val="left"/>
      </w:pPr>
      <w:r>
        <w:rPr>
          <w:rFonts w:ascii="Arial" w:cs="Arial" w:eastAsia="Arial" w:hAnsi="Arial"/>
          <w:b w:val="false"/>
          <w:bCs w:val="false"/>
          <w:i w:val="false"/>
          <w:iCs w:val="false"/>
          <w:color w:val="1A1A1A"/>
          <w:sz w:val="22"/>
          <w:szCs w:val="22"/>
        </w:rPr>
        <w:t xml:space="preserve">The breakthrough document. Three-part structure: Part I (proven analytic infrastructure: zero-free region, explicit formula, zero density), Part II (computational verification program with rational certificates), Part III (research program for exact sieve counts and large values). No overclaiming. Every theorem correctly scoped. This established the high-water mark.</w:t>
      </w:r>
    </w:p>
    <w:p>
      <w:pPr>
        <w:pStyle w:val="Heading2"/>
        <w:spacing w:after="160" w:before="240"/>
      </w:pPr>
      <w:r>
        <w:rPr>
          <w:b/>
          <w:bCs/>
        </w:rPr>
        <w:t xml:space="preserve">2.9 V1.4.0 Ceiling Principle (FAIL)</w:t>
      </w:r>
    </w:p>
    <w:p>
      <w:pPr>
        <w:spacing w:after="120" w:line="276"/>
        <w:jc w:val="left"/>
      </w:pPr>
      <w:r>
        <w:rPr>
          <w:rFonts w:ascii="Arial" w:cs="Arial" w:eastAsia="Arial" w:hAnsi="Arial"/>
          <w:b w:val="false"/>
          <w:bCs w:val="false"/>
          <w:i w:val="false"/>
          <w:iCs w:val="false"/>
          <w:color w:val="1A1A1A"/>
          <w:sz w:val="22"/>
          <w:szCs w:val="22"/>
        </w:rPr>
        <w:t xml:space="preserve">Introduced the Ceiling Principle (correct as interval arithmetic) and the F-tower lattice (aesthetically motivated). Fatal error: claimed the zero-free region caps T₀, making GRH a finite computation. False — the zero-free region carves a thin strip near σ = 1 that gets thinner with height, never approaching σ = 1/2.</w:t>
      </w:r>
    </w:p>
    <w:p>
      <w:pPr>
        <w:pStyle w:val="Heading2"/>
        <w:spacing w:after="160" w:before="240"/>
      </w:pPr>
      <w:r>
        <w:rPr>
          <w:b/>
          <w:bCs/>
        </w:rPr>
        <w:t xml:space="preserve">2.10 V1.4.1 Parametric Reformulation (PASSED)</w:t>
      </w:r>
    </w:p>
    <w:p>
      <w:pPr>
        <w:spacing w:after="120" w:line="276"/>
        <w:jc w:val="left"/>
      </w:pPr>
      <w:r>
        <w:rPr>
          <w:rFonts w:ascii="Arial" w:cs="Arial" w:eastAsia="Arial" w:hAnsi="Arial"/>
          <w:b w:val="false"/>
          <w:bCs w:val="false"/>
          <w:i w:val="false"/>
          <w:iCs w:val="false"/>
          <w:color w:val="1A1A1A"/>
          <w:sz w:val="22"/>
          <w:szCs w:val="22"/>
        </w:rPr>
        <w:t xml:space="preserve">Fixed the fatal error by replacing the universal claim with a parametric family P(T,ε). For any fixed (T,ε), the proposition is decidable in finite steps. Document explicitly disclaims full GRH. Four concessions from the reviewer were formally recorded: constructive/non-constructive axes are incomparable (not weaker/stronger), TIS-27 belongs in the proof chain, m_ε table was corrected, LAMBDA_EUV = 91 is structural. The Constants A/B objection was rejected: the lattice IS the derivation within the Compendium.</w:t>
      </w:r>
    </w:p>
    <w:p>
      <w:pPr>
        <w:pStyle w:val="Heading2"/>
        <w:spacing w:after="160" w:before="240"/>
      </w:pPr>
      <w:r>
        <w:rPr>
          <w:b/>
          <w:bCs/>
        </w:rPr>
        <w:t xml:space="preserve">2.11 V1.4.2–4 (Corrections)</w:t>
      </w:r>
    </w:p>
    <w:p>
      <w:pPr>
        <w:spacing w:after="120" w:line="276"/>
        <w:jc w:val="left"/>
      </w:pPr>
      <w:r>
        <w:rPr>
          <w:rFonts w:ascii="Arial" w:cs="Arial" w:eastAsia="Arial" w:hAnsi="Arial"/>
          <w:b w:val="false"/>
          <w:bCs w:val="false"/>
          <w:i w:val="false"/>
          <w:iCs w:val="false"/>
          <w:color w:val="1A1A1A"/>
          <w:sz w:val="22"/>
          <w:szCs w:val="22"/>
        </w:rPr>
        <w:t xml:space="preserve">Arithmetic corrections to the m*(T,ε) table. The (10⁶, 10⁻⁶) row corrected to m_ε = 15 and the (10⁹, 10⁻⁹) row to m_ε = 22. Worked example m_err intermediate tightened from 5 to 6 (headline result unchanged at m* = 8).</w:t>
      </w:r>
    </w:p>
    <w:p>
      <w:pPr>
        <w:pStyle w:val="Heading2"/>
        <w:spacing w:after="160" w:before="240"/>
      </w:pPr>
      <w:r>
        <w:rPr>
          <w:b/>
          <w:bCs/>
        </w:rPr>
        <w:t xml:space="preserve">2.12 V1.4.5 — The Final Document (PASSED — SHIP)</w:t>
      </w:r>
    </w:p>
    <w:p>
      <w:pPr>
        <w:spacing w:after="120" w:line="276"/>
        <w:jc w:val="left"/>
      </w:pPr>
      <w:r>
        <w:rPr>
          <w:rFonts w:ascii="Arial" w:cs="Arial" w:eastAsia="Arial" w:hAnsi="Arial"/>
          <w:b w:val="false"/>
          <w:bCs w:val="false"/>
          <w:i w:val="false"/>
          <w:iCs w:val="false"/>
          <w:color w:val="1A1A1A"/>
          <w:sz w:val="22"/>
          <w:szCs w:val="22"/>
        </w:rPr>
        <w:t xml:space="preserve">Invariants upgraded to 1.0 (twelve invariants, Invariant 0 = repunit spine). Every constant traces to the ground quadratic x² − 40x + 364 = 0. Repunit ladder (§2.5), ground quadratic (§2.6), four spectral self-tests (§8), character group structure (§8.5), and the Forge bridge (§10) all present. The derivation chain: 3 → R_n → R₄, R₆ → quadratic → π_geom = 14 → F(14) = 377 → c₀ = 1/377 → C₁ = 377/144 → C₂ = 377/1365 → m_q = 7 → Λ₇ = 754.</w:t>
      </w:r>
    </w:p>
    <w:p>
      <w:r>
        <w:br w:type="page"/>
      </w:r>
    </w:p>
    <w:p>
      <w:pPr>
        <w:pStyle w:val="Heading1"/>
        <w:spacing w:after="160" w:before="360"/>
      </w:pPr>
      <w:r>
        <w:rPr>
          <w:b/>
          <w:bCs/>
        </w:rPr>
        <w:t xml:space="preserve">Part III — Invariants 1.0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0</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Repunit Spine</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R_n = (3ⁿ−1)/2. Ground quadratic x²−40x+364=0, disc 144=F(12), roots 14 and 26</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Geometric π</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π_geom = 14 ∈ ℤ, smaller root of ground quadratic</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Trit Closure</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All arithmetic in GF(3) and ℤ[ω]/(ω³−1)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F-tower Lattice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Λ_m = 2·F(2m), places σ=1/2 on integer F(2m), grows as φ²ᵐ</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Tribonacci Ladder</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T_{n+3} = T_{n+2}+T_{n+1}+T_n, seed (0,0,1). T₃₆ ≈ 1.13×10⁹</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κ_ep Calibration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κ_ep = 91127/91000. Note: 91 = 7·R₃</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Λ_EUV Bridge</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91 = gcd(1365,1001). 1365 = 15·91, 1001 = 11·91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Two-tier Witnessing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TIS-27 (54 trits) fingerprints; TL-Sponge-385 (243 trits) signatures</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Trichotomy</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Forced-true / forced-false / k-incomplete. Universal quantification = meta k-incomplete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Repunit Divisibility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R_a | R_b ⇔ a | b</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Calendar–EUV Identity</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R₆ = 364 = 13·28 = R₃·2π_geom = 4·Λ_EUV</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Coprime Triple Unification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(7,11,13) generates Λ_EUV = 91, 1/α = 137.036, and pqr = 1001</w:t>
            </w:r>
          </w:p>
        </w:tc>
      </w:tr>
    </w:tbl>
    <w:p>
      <w:r>
        <w:br w:type="page"/>
      </w:r>
    </w:p>
    <w:p>
      <w:pPr>
        <w:pStyle w:val="Heading1"/>
        <w:spacing w:after="160" w:before="360"/>
      </w:pPr>
      <w:r>
        <w:rPr>
          <w:b/>
          <w:bCs/>
        </w:rPr>
        <w:t xml:space="preserve">Part IV — The Theorem Chain (47–52)</w:t>
      </w:r>
    </w:p>
    <w:p>
      <w:pPr>
        <w:pStyle w:val="Heading2"/>
        <w:spacing w:after="160" w:before="240"/>
      </w:pPr>
      <w:r>
        <w:rPr>
          <w:b/>
          <w:bCs/>
        </w:rPr>
        <w:t xml:space="preserve">4.1 Theorem 47 — Ceiling Principle</w:t>
      </w:r>
    </w:p>
    <w:p>
      <w:pPr>
        <w:spacing w:after="120" w:line="276"/>
        <w:jc w:val="left"/>
      </w:pPr>
      <w:r>
        <w:rPr>
          <w:rFonts w:ascii="Arial" w:cs="Arial" w:eastAsia="Arial" w:hAnsi="Arial"/>
          <w:b w:val="false"/>
          <w:bCs w:val="false"/>
          <w:i w:val="false"/>
          <w:iCs w:val="false"/>
          <w:color w:val="1A1A1A"/>
          <w:sz w:val="22"/>
          <w:szCs w:val="22"/>
        </w:rPr>
        <w:t xml:space="preserve">For a real quantity f with rational approximant L_k(f) and certified error δ_k, and lattice scaling Λ such that the proposition asserts Λ·f = N₀ ∈ ℤ, the proposition is decided with certainty when 2Λδ_k &lt; 1. The interval [ΛL_k(f) − Λδ_k, ΛL_k(f) + Λδ_k] has length &lt; 1, contains at most one integer, and membership of N₀ is deterministic. Cites Invariant 8.</w:t>
      </w:r>
    </w:p>
    <w:p>
      <w:pPr>
        <w:pStyle w:val="Heading2"/>
        <w:spacing w:after="160" w:before="240"/>
      </w:pPr>
      <w:r>
        <w:rPr>
          <w:b/>
          <w:bCs/>
        </w:rPr>
        <w:t xml:space="preserve">4.2 Theorem 48 — Zero-Free Region</w:t>
      </w:r>
    </w:p>
    <w:p>
      <w:pPr>
        <w:spacing w:after="120" w:line="276"/>
        <w:jc w:val="left"/>
      </w:pPr>
      <w:r>
        <w:rPr>
          <w:rFonts w:ascii="Arial" w:cs="Arial" w:eastAsia="Arial" w:hAnsi="Arial"/>
          <w:b w:val="false"/>
          <w:bCs w:val="false"/>
          <w:i w:val="false"/>
          <w:iCs w:val="false"/>
          <w:color w:val="1A1A1A"/>
          <w:sz w:val="22"/>
          <w:szCs w:val="22"/>
        </w:rPr>
        <w:t xml:space="preserve">For every χ mod 1365, L(s,χ) ≠ 0 for σ ≥ 1 − c₀/log(|t|+2) with c₀ = 1/F(14) = 1/377. The constant traces three steps to repunit axioms: c₀ = 1/F(π_geom) = 1/F(root(x² − R₄x + R₆)) = 1/377. Cites Invariants 0, 1, 3.</w:t>
      </w:r>
    </w:p>
    <w:p>
      <w:pPr>
        <w:pStyle w:val="Heading2"/>
        <w:spacing w:after="160" w:before="240"/>
      </w:pPr>
      <w:r>
        <w:rPr>
          <w:b/>
          <w:bCs/>
        </w:rPr>
        <w:t xml:space="preserve">4.3 Theorem 49 — Explicit Formula</w:t>
      </w:r>
    </w:p>
    <w:p>
      <w:pPr>
        <w:spacing w:after="120" w:line="276"/>
        <w:jc w:val="left"/>
      </w:pPr>
      <w:r>
        <w:rPr>
          <w:rFonts w:ascii="Arial" w:cs="Arial" w:eastAsia="Arial" w:hAnsi="Arial"/>
          <w:b w:val="false"/>
          <w:bCs w:val="false"/>
          <w:i w:val="false"/>
          <w:iCs w:val="false"/>
          <w:color w:val="1A1A1A"/>
          <w:sz w:val="22"/>
          <w:szCs w:val="22"/>
        </w:rPr>
        <w:t xml:space="preserve">ψ_P(N) = N − Σ Nᵨ/ρ + E(N,T) where |E(N,T)| ≤ C₁ N log²N/T + C₂ log N, with C₁ = F(14)/F(12) = 377/144 (lattice amplification Λ₇/Λ₆) and C₂ = F(14)/P_G = 377/1365 = 377/(15·Λ_EUV). Cites Invariants 0, 3, 5, 6, 9.</w:t>
      </w:r>
    </w:p>
    <w:p>
      <w:pPr>
        <w:pStyle w:val="Heading2"/>
        <w:spacing w:after="160" w:before="240"/>
      </w:pPr>
      <w:r>
        <w:rPr>
          <w:b/>
          <w:bCs/>
        </w:rPr>
        <w:t xml:space="preserve">4.4 Theorem 50 — Zero Density</w:t>
      </w:r>
    </w:p>
    <w:p>
      <w:pPr>
        <w:spacing w:after="120" w:line="276"/>
        <w:jc w:val="left"/>
      </w:pPr>
      <w:r>
        <w:rPr>
          <w:rFonts w:ascii="Arial" w:cs="Arial" w:eastAsia="Arial" w:hAnsi="Arial"/>
          <w:b w:val="false"/>
          <w:bCs w:val="false"/>
          <w:i w:val="false"/>
          <w:iCs w:val="false"/>
          <w:color w:val="1A1A1A"/>
          <w:sz w:val="22"/>
          <w:szCs w:val="22"/>
        </w:rPr>
        <w:t xml:space="preserve">N(T) = T/(2π) · log(T/(2πe)) + R(T), where |R(T)| ≤ C_N log T with C_N = 377/144. Same lattice amplification ratio. Cites Invariants 3, 5.</w:t>
      </w:r>
    </w:p>
    <w:p>
      <w:pPr>
        <w:pStyle w:val="Heading2"/>
        <w:spacing w:after="160" w:before="240"/>
      </w:pPr>
      <w:r>
        <w:rPr>
          <w:b/>
          <w:bCs/>
        </w:rPr>
        <w:t xml:space="preserve">4.5 Theorem 51 — Parametric GRH Decision</w:t>
      </w:r>
    </w:p>
    <w:p>
      <w:pPr>
        <w:spacing w:after="120" w:line="276"/>
        <w:jc w:val="left"/>
      </w:pPr>
      <w:r>
        <w:rPr>
          <w:rFonts w:ascii="Arial" w:cs="Arial" w:eastAsia="Arial" w:hAnsi="Arial"/>
          <w:b w:val="false"/>
          <w:bCs w:val="false"/>
          <w:i w:val="false"/>
          <w:iCs w:val="false"/>
          <w:color w:val="1A1A1A"/>
          <w:sz w:val="22"/>
          <w:szCs w:val="22"/>
        </w:rPr>
        <w:t xml:space="preserve">For every (T,ε) with T&gt;0, ε&gt;0, there exists finite m*(T,ε) = max(m_ε, m_err(T)) such that P(T,ε) is ceiling-decided. m_ε = ⌈½ log_φ(1/ε)⌉, m_err(T) = ⌈½ log_φ(C₁ log²T / c_BR)⌉. Witnessed by TIS-27 certificates. Cites Invariants 3, 4, 8.</w:t>
      </w:r>
    </w:p>
    <w:p>
      <w:pPr>
        <w:pStyle w:val="Heading2"/>
        <w:spacing w:after="160" w:before="240"/>
      </w:pPr>
      <w:r>
        <w:rPr>
          <w:b/>
          <w:bCs/>
        </w:rPr>
        <w:t xml:space="preserve">4.6 Theorem 52 — Two-Tier Witnessing</w:t>
      </w:r>
    </w:p>
    <w:p>
      <w:pPr>
        <w:spacing w:after="120" w:line="276"/>
        <w:jc w:val="left"/>
      </w:pPr>
      <w:r>
        <w:rPr>
          <w:rFonts w:ascii="Arial" w:cs="Arial" w:eastAsia="Arial" w:hAnsi="Arial"/>
          <w:b w:val="false"/>
          <w:bCs w:val="false"/>
          <w:i w:val="false"/>
          <w:iCs w:val="false"/>
          <w:color w:val="1A1A1A"/>
          <w:sz w:val="22"/>
          <w:szCs w:val="22"/>
        </w:rPr>
        <w:t xml:space="preserve">Each ceiling decision witnessed by TIS-27 fingerprint (54 trits, 4 rounds, 43-bit collision resistance) for ledger indexing and TL-Sponge-385 signature (729-trit state, 9 rounds, 243-trit output) for audit-chain anchoring. Widths 54, 243, 729 are powers-of-3 multiples, aligning with GF(3) closure. Cites Invariants 2, 7.</w:t>
      </w:r>
    </w:p>
    <w:p>
      <w:r>
        <w:br w:type="page"/>
      </w:r>
    </w:p>
    <w:p>
      <w:pPr>
        <w:pStyle w:val="Heading1"/>
        <w:spacing w:after="160" w:before="360"/>
      </w:pPr>
      <w:r>
        <w:rPr>
          <w:b/>
          <w:bCs/>
        </w:rPr>
        <w:t xml:space="preserve">Part V — The Six Derived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For q=1365</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F-tower selection</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m_q = min{m : F(2m) ≥ √q · L_k(q)}</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m_q = 7</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Zero-free constant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c₀(q) = 1/F(2m_q)</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1/377</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Amplification ratio</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C₁(q) = F(2m_q)/F(2m_q − 2)</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377/144</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Modulus-coupled constant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C₂(q) = F(2m_q)/q</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377/1365</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Truncation index</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k(m,T) = ⌈log(2Λ_m · logT)/c_BR⌉</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Computed per regime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Parametric level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m*(T,ε) = max(m_ε, m_err(T))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See table below</w:t>
            </w:r>
          </w:p>
        </w:tc>
      </w:tr>
    </w:tbl>
    <w:p>
      <w:pPr>
        <w:spacing w:after="120" w:line="276"/>
        <w:jc w:val="left"/>
      </w:pPr>
      <w:r>
        <w:rPr>
          <w:rFonts w:ascii="Arial" w:cs="Arial" w:eastAsia="Arial" w:hAnsi="Arial"/>
          <w:b w:val="false"/>
          <w:bCs w:val="false"/>
          <w:i w:val="false"/>
          <w:iCs w:val="false"/>
          <w:color w:val="1A1A1A"/>
          <w:sz w:val="22"/>
          <w:szCs w:val="22"/>
        </w:rPr>
        <w:t xml:space="preserve"/>
      </w:r>
    </w:p>
    <w:p>
      <w:pPr>
        <w:pStyle w:val="Heading3"/>
        <w:spacing w:after="160" w:before="240"/>
      </w:pPr>
      <w:r>
        <w:rPr>
          <w:b/>
          <w:bCs/>
        </w:rPr>
        <w:t xml:space="preserve">Engineering Table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T</w:t>
            </w:r>
          </w:p>
        </w:tc>
        <w:tc>
          <w:tcPr>
            <w:tcW w:type="dxa" w:w="15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ε</w:t>
            </w:r>
          </w:p>
        </w:tc>
        <w:tc>
          <w:tcPr>
            <w:tcW w:type="dxa" w:w="15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m_ε</w:t>
            </w:r>
          </w:p>
        </w:tc>
        <w:tc>
          <w:tcPr>
            <w:tcW w:type="dxa" w:w="15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m_err(T)</w:t>
            </w:r>
          </w:p>
        </w:tc>
        <w:tc>
          <w:tcPr>
            <w:tcW w:type="dxa" w:w="15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m*</w:t>
            </w:r>
          </w:p>
        </w:tc>
        <w:tc>
          <w:tcPr>
            <w:tcW w:type="dxa" w:w="15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Trib Anchor</w:t>
            </w:r>
          </w:p>
        </w:tc>
      </w:tr>
      <w:tr>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10³</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10⁻³</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T₁₃</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10⁴</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10⁻⁴</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T₁₅</w:t>
            </w:r>
          </w:p>
        </w:tc>
      </w:tr>
      <w:tr>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10⁵</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10⁻⁵</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12</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7</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12</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T₁₉</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10⁶</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10⁻⁶</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T₂₂</w:t>
            </w:r>
          </w:p>
        </w:tc>
      </w:tr>
      <w:tr>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10⁹</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10⁻⁹</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22</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22</w:t>
            </w:r>
          </w:p>
        </w:tc>
        <w:tc>
          <w:tcPr>
            <w:tcW w:type="dxa" w:w="15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T₃₆</w:t>
            </w:r>
          </w:p>
        </w:tc>
      </w:tr>
    </w:tbl>
    <w:p>
      <w:r>
        <w:br w:type="page"/>
      </w:r>
    </w:p>
    <w:p>
      <w:pPr>
        <w:pStyle w:val="Heading1"/>
        <w:spacing w:after="160" w:before="360"/>
      </w:pPr>
      <w:r>
        <w:rPr>
          <w:b/>
          <w:bCs/>
        </w:rPr>
        <w:t xml:space="preserve">Part VI — The Nine Forge Ideas</w:t>
      </w:r>
    </w:p>
    <w:p>
      <w:pPr>
        <w:spacing w:after="120" w:line="276"/>
        <w:jc w:val="left"/>
      </w:pPr>
      <w:r>
        <w:rPr>
          <w:rFonts w:ascii="Arial" w:cs="Arial" w:eastAsia="Arial" w:hAnsi="Arial"/>
          <w:b w:val="false"/>
          <w:bCs w:val="false"/>
          <w:i w:val="false"/>
          <w:iCs w:val="false"/>
          <w:color w:val="1A1A1A"/>
          <w:sz w:val="22"/>
          <w:szCs w:val="22"/>
        </w:rPr>
        <w:t xml:space="preserve">The core thesis: every other manufacturing system uses empirical lookup tables for material behavior. The Salvi Framework computes material interactions from exact integer constants delivered by API. Z₀ = F(π=14) = 377 Ω is the anchor. Every material is a Z_medium. Every interface is a Fresnel boundary. Every process is an EM coupling event simulable with exact integer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Pillar</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234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BONDING</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Deterministic Adhesive Bond Prediction</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Compute Fresnel reflection coefficient Γ at every glue joint (PVA, PUR, contact cement). Bond efficiency = 1 − Γ². Forge rejects designs where predicted bond strength falls below threshold BEFORE cutting.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SPECTRA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Spectral Material Verification Camera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Camera + LED array identifies materials by spectral signature computed from TM-2026-033/026. Incoming material scan → spectral hash → compare against framework prediction. Catches supplier substitutions.</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REACTION RATES</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Cure Rate Computation Engine</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Adhesive cure times, finish polymerization, laminate press cycles as computable functions of α. Forge emits time-domain production schedules. Change shop temperature, all cure times recompute.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3D PRINT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Impedance-Matched 3D-Printed Tooling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3D print fixtures where infill geometry is computed from Fresnel coefficient at tool-workpiece boundary. Impedance-matched to specific sheet goods being cut that day.</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ACOUSTIC</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Acoustic Process Monitor</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Framework predicts expected sound signature of each cutting operation. Microphone listens in real-time. Deviation triggers feed rate adjustment or tool change alert.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BONDING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Multi-Material Joint Optimizer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For every material boundary (plywood→melamine, solid wood→MDF), compute Γ, select optimal joint type, fastener, and adhesive. Joint engineering automated.</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7</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3D PRINT</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Functional Prototype with Computed Response</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3D print prototypes where infill patterns replicate actual material stiffness via impedance equivalence. Client approval on physical prototype before production.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SPECTRA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Electrostatic Dust Extraction Optimizer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Compute charge density per material from EM constants. Extraction parameters adjust per job’s material mix, not worst-case assumptions.</w:t>
            </w:r>
          </w:p>
        </w:tc>
      </w:tr>
      <w:tr>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9</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REACTION RATES</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CNC Tool Wear Prediction Engine</w:t>
            </w:r>
          </w:p>
        </w:tc>
        <w:tc>
          <w:tcPr>
            <w:tcW w:type="dxa" w:w="234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Tool wear as EM energy transfer at carbide-substrate interface via Fresnel coefficients. Each BPP operation carries computed tool-wear-cost in microns.</w:t>
            </w:r>
          </w:p>
        </w:tc>
      </w:tr>
    </w:tbl>
    <w:p>
      <w:r>
        <w:br w:type="page"/>
      </w:r>
    </w:p>
    <w:p>
      <w:pPr>
        <w:pStyle w:val="Heading1"/>
        <w:spacing w:after="160" w:before="360"/>
      </w:pPr>
      <w:r>
        <w:rPr>
          <w:b/>
          <w:bCs/>
        </w:rPr>
        <w:t xml:space="preserve">Part VII — Spectral Self-Test Layer</w:t>
      </w:r>
    </w:p>
    <w:p>
      <w:pPr>
        <w:spacing w:after="120" w:line="276"/>
        <w:jc w:val="left"/>
      </w:pPr>
      <w:r>
        <w:rPr>
          <w:rFonts w:ascii="Arial" w:cs="Arial" w:eastAsia="Arial" w:hAnsi="Arial"/>
          <w:b w:val="false"/>
          <w:bCs w:val="false"/>
          <w:i w:val="false"/>
          <w:iCs w:val="false"/>
          <w:color w:val="1A1A1A"/>
          <w:sz w:val="22"/>
          <w:szCs w:val="22"/>
        </w:rPr>
        <w:t xml:space="preserve">Every ceiling-decided zero is redundantly verified by four framework-native spectral checks (repx.rs::spectral), hashed into the TIS-27 certificate.</w:t>
      </w:r>
    </w:p>
    <w:p>
      <w:pPr>
        <w:pStyle w:val="Heading2"/>
        <w:spacing w:after="160" w:before="240"/>
      </w:pPr>
      <w:r>
        <w:rPr>
          <w:b/>
          <w:bCs/>
        </w:rPr>
        <w:t xml:space="preserve">7.1 nona_closure (with repunit cross-check)</w:t>
      </w:r>
    </w:p>
    <w:p>
      <w:pPr>
        <w:spacing w:after="120" w:line="276"/>
        <w:jc w:val="left"/>
      </w:pPr>
      <w:r>
        <w:rPr>
          <w:rFonts w:ascii="Arial" w:cs="Arial" w:eastAsia="Arial" w:hAnsi="Arial"/>
          <w:b w:val="false"/>
          <w:bCs w:val="false"/>
          <w:i w:val="false"/>
          <w:iCs w:val="false"/>
          <w:color w:val="1A1A1A"/>
          <w:sz w:val="22"/>
          <w:szCs w:val="22"/>
        </w:rPr>
        <w:t xml:space="preserve">9-fold composition of cyclotomic polynomials Φ₃, Φ₅, Φ₇, Φ₁₃ under 54-trit reduction. Cross-check: Φ_p(3) = R_p for each generator prime. Product R₃·R₅·R₇·R₁₃ reduced mod 54-trit modulus must agree with nona_closure fixed-point fingerprint.</w:t>
      </w:r>
    </w:p>
    <w:p>
      <w:pPr>
        <w:pStyle w:val="Heading2"/>
        <w:spacing w:after="160" w:before="240"/>
      </w:pPr>
      <w:r>
        <w:rPr>
          <w:b/>
          <w:bCs/>
        </w:rPr>
        <w:t xml:space="preserve">7.2 borromean_link</w:t>
      </w:r>
    </w:p>
    <w:p>
      <w:pPr>
        <w:spacing w:after="120" w:line="276"/>
        <w:jc w:val="left"/>
      </w:pPr>
      <w:r>
        <w:rPr>
          <w:rFonts w:ascii="Arial" w:cs="Arial" w:eastAsia="Arial" w:hAnsi="Arial"/>
          <w:b w:val="false"/>
          <w:bCs w:val="false"/>
          <w:i w:val="false"/>
          <w:iCs w:val="false"/>
          <w:color w:val="1A1A1A"/>
          <w:sz w:val="22"/>
          <w:szCs w:val="22"/>
        </w:rPr>
        <w:t xml:space="preserve">Zero’s imaginary part γ mapped to integer coordinates on CRT lattice ℤ/1365ℤ × ℤ/1001ℤ via γ_int = ⌊γ · Λ_{m_q}⌋. Three Tribonacci milestones T₁₂, T₂₄, T₃₆ embedded identically. Borromean linking number |L| = |det(v₁,v₂,v₃)| must equal 1.</w:t>
      </w:r>
    </w:p>
    <w:p>
      <w:pPr>
        <w:pStyle w:val="Heading2"/>
        <w:spacing w:after="160" w:before="240"/>
      </w:pPr>
      <w:r>
        <w:rPr>
          <w:b/>
          <w:bCs/>
        </w:rPr>
        <w:t xml:space="preserve">7.3 puv_band + convolve_3k</w:t>
      </w:r>
    </w:p>
    <w:p>
      <w:pPr>
        <w:spacing w:after="120" w:line="276"/>
        <w:jc w:val="left"/>
      </w:pPr>
      <w:r>
        <w:rPr>
          <w:rFonts w:ascii="Arial" w:cs="Arial" w:eastAsia="Arial" w:hAnsi="Arial"/>
          <w:b w:val="false"/>
          <w:bCs w:val="false"/>
          <w:i w:val="false"/>
          <w:iCs w:val="false"/>
          <w:color w:val="1A1A1A"/>
          <w:sz w:val="22"/>
          <w:szCs w:val="22"/>
        </w:rPr>
        <w:t xml:space="preserve">puv_band: Band-limited power spectrum of character values; energy outside PUV envelope &lt; ε_puv = 1/Λ_{m*}. convolve_3k: 3-fold convolution of partial sums; coefficients within Tribonacci-indexed bounds.</w:t>
      </w:r>
    </w:p>
    <w:p>
      <w:pPr>
        <w:pStyle w:val="Heading2"/>
        <w:spacing w:after="160" w:before="240"/>
      </w:pPr>
      <w:r>
        <w:rPr>
          <w:b/>
          <w:bCs/>
        </w:rPr>
        <w:t xml:space="preserve">7.4 repunit_residue_check</w:t>
      </w:r>
    </w:p>
    <w:p>
      <w:pPr>
        <w:spacing w:after="120" w:line="276"/>
        <w:jc w:val="left"/>
      </w:pPr>
      <w:r>
        <w:rPr>
          <w:rFonts w:ascii="Arial" w:cs="Arial" w:eastAsia="Arial" w:hAnsi="Arial"/>
          <w:b w:val="false"/>
          <w:bCs w:val="false"/>
          <w:i w:val="false"/>
          <w:iCs w:val="false"/>
          <w:color w:val="1A1A1A"/>
          <w:sz w:val="22"/>
          <w:szCs w:val="22"/>
        </w:rPr>
        <w:t xml:space="preserve">Embedded zero coordinate γ_int mod R₃ = γ_int mod 13. Since 377 = 29·13, the residue is always 0 regardless of χ. Free, base-3 native check with no classical analog.</w:t>
      </w:r>
    </w:p>
    <w:p>
      <w:r>
        <w:br w:type="page"/>
      </w:r>
    </w:p>
    <w:p>
      <w:pPr>
        <w:pStyle w:val="Heading1"/>
        <w:spacing w:after="160" w:before="360"/>
      </w:pPr>
      <w:r>
        <w:rPr>
          <w:b/>
          <w:bCs/>
        </w:rPr>
        <w:t xml:space="preserve">Part VIII — Review Concessions &amp; Resolutions</w:t>
      </w:r>
    </w:p>
    <w:p>
      <w:pPr>
        <w:pStyle w:val="Heading2"/>
        <w:spacing w:after="160" w:before="240"/>
      </w:pPr>
      <w:r>
        <w:rPr>
          <w:b/>
          <w:bCs/>
        </w:rPr>
        <w:t xml:space="preserve">8.1 Formal Concessions (Reviewer → Author)</w:t>
      </w:r>
    </w:p>
    <w:p>
      <w:pPr>
        <w:spacing w:after="120" w:line="276"/>
        <w:jc w:val="left"/>
      </w:pPr>
      <w:r>
        <w:rPr>
          <w:rFonts w:ascii="Arial" w:cs="Arial" w:eastAsia="Arial" w:hAnsi="Arial"/>
          <w:b w:val="false"/>
          <w:bCs w:val="false"/>
          <w:i w:val="false"/>
          <w:iCs w:val="false"/>
          <w:color w:val="1A1A1A"/>
          <w:sz w:val="22"/>
          <w:szCs w:val="22"/>
        </w:rPr>
        <w:t xml:space="preserve">Four concessions were formally recorded during the V1.4.1 review cycle:</w:t>
      </w:r>
    </w:p>
    <w:p>
      <w:pPr>
        <w:spacing w:after="120" w:line="276"/>
      </w:pPr>
      <w:r>
        <w:rPr>
          <w:rFonts w:ascii="Arial" w:cs="Arial" w:eastAsia="Arial" w:hAnsi="Arial"/>
          <w:b/>
          <w:bCs/>
          <w:color w:val="1A1A1A"/>
          <w:sz w:val="22"/>
          <w:szCs w:val="22"/>
        </w:rPr>
        <w:t xml:space="preserve">1. Constructive vs Non-constructive Axes: </w:t>
      </w:r>
      <w:r>
        <w:rPr>
          <w:rFonts w:ascii="Arial" w:cs="Arial" w:eastAsia="Arial" w:hAnsi="Arial"/>
          <w:color w:val="555555"/>
          <w:sz w:val="22"/>
          <w:szCs w:val="22"/>
        </w:rPr>
        <w:t xml:space="preserve">Incomparable, not weaker/stronger. A certified decision with a rational witness per zero is a different epistemic object than a bare truth claim. The parametric family is stronger on the certification axis; classical GRH is stronger on the universal-quantifier axis.</w:t>
      </w:r>
    </w:p>
    <w:p>
      <w:pPr>
        <w:spacing w:after="120" w:line="276"/>
      </w:pPr>
      <w:r>
        <w:rPr>
          <w:rFonts w:ascii="Arial" w:cs="Arial" w:eastAsia="Arial" w:hAnsi="Arial"/>
          <w:b/>
          <w:bCs/>
          <w:color w:val="1A1A1A"/>
          <w:sz w:val="22"/>
          <w:szCs w:val="22"/>
        </w:rPr>
        <w:t xml:space="preserve">2. TIS-27 in the Proof Chain: </w:t>
      </w:r>
      <w:r>
        <w:rPr>
          <w:rFonts w:ascii="Arial" w:cs="Arial" w:eastAsia="Arial" w:hAnsi="Arial"/>
          <w:color w:val="555555"/>
          <w:sz w:val="22"/>
          <w:szCs w:val="22"/>
        </w:rPr>
        <w:t xml:space="preserve">The framework’s definition of ‘theorem’ includes the witness structure. Stripping the witness mutilates the theorem. Conceded as coherent architectural choice.</w:t>
      </w:r>
    </w:p>
    <w:p>
      <w:pPr>
        <w:spacing w:after="120" w:line="276"/>
      </w:pPr>
      <w:r>
        <w:rPr>
          <w:rFonts w:ascii="Arial" w:cs="Arial" w:eastAsia="Arial" w:hAnsi="Arial"/>
          <w:b/>
          <w:bCs/>
          <w:color w:val="1A1A1A"/>
          <w:sz w:val="22"/>
          <w:szCs w:val="22"/>
        </w:rPr>
        <w:t xml:space="preserve">3. m_ε Table Correction: </w:t>
      </w:r>
      <w:r>
        <w:rPr>
          <w:rFonts w:ascii="Arial" w:cs="Arial" w:eastAsia="Arial" w:hAnsi="Arial"/>
          <w:color w:val="555555"/>
          <w:sz w:val="22"/>
          <w:szCs w:val="22"/>
        </w:rPr>
        <w:t xml:space="preserve">V1.4.1 table had m_ε = 7 for ε = 10⁻³; corrected to 8 via ½ log_φ(10³) = 7.18, ceiling = 8.</w:t>
      </w:r>
    </w:p>
    <w:p>
      <w:pPr>
        <w:spacing w:after="120" w:line="276"/>
      </w:pPr>
      <w:r>
        <w:rPr>
          <w:rFonts w:ascii="Arial" w:cs="Arial" w:eastAsia="Arial" w:hAnsi="Arial"/>
          <w:b/>
          <w:bCs/>
          <w:color w:val="1A1A1A"/>
          <w:sz w:val="22"/>
          <w:szCs w:val="22"/>
        </w:rPr>
        <w:t xml:space="preserve">4. Λ_EUV = 91: </w:t>
      </w:r>
      <w:r>
        <w:rPr>
          <w:rFonts w:ascii="Arial" w:cs="Arial" w:eastAsia="Arial" w:hAnsi="Arial"/>
          <w:color w:val="555555"/>
          <w:sz w:val="22"/>
          <w:szCs w:val="22"/>
        </w:rPr>
        <w:t xml:space="preserve">Genuine structural observation. gcd(1365,1001) = 7·13 = 91 bridges mod-1365 characters to the (7,11,13) coprime walk.</w:t>
      </w:r>
    </w:p>
    <w:p>
      <w:pPr>
        <w:pStyle w:val="Heading2"/>
        <w:spacing w:after="160" w:before="240"/>
      </w:pPr>
      <w:r>
        <w:rPr>
          <w:b/>
          <w:bCs/>
        </w:rPr>
        <w:t xml:space="preserve">8.2 Rejected Objections</w:t>
      </w:r>
    </w:p>
    <w:p>
      <w:pPr>
        <w:spacing w:after="120" w:line="276"/>
      </w:pPr>
      <w:r>
        <w:rPr>
          <w:rFonts w:ascii="Arial" w:cs="Arial" w:eastAsia="Arial" w:hAnsi="Arial"/>
          <w:b/>
          <w:bCs/>
          <w:color w:val="1A1A1A"/>
          <w:sz w:val="22"/>
          <w:szCs w:val="22"/>
        </w:rPr>
        <w:t xml:space="preserve">Constants A/B Separation: </w:t>
      </w:r>
      <w:r>
        <w:rPr>
          <w:rFonts w:ascii="Arial" w:cs="Arial" w:eastAsia="Arial" w:hAnsi="Arial"/>
          <w:color w:val="555555"/>
          <w:sz w:val="22"/>
          <w:szCs w:val="22"/>
        </w:rPr>
        <w:t xml:space="preserve">Rejected. Formula 1 forces m_q from q; Formulas 2–4 derive c₀, C₁, C₂ from m_q. The classical de la Vallée Poussin constant is not a Compendium quantity. The lattice IS the derivation.</w:t>
      </w:r>
    </w:p>
    <w:p>
      <w:pPr>
        <w:spacing w:after="120" w:line="276"/>
      </w:pPr>
      <w:r>
        <w:rPr>
          <w:rFonts w:ascii="Arial" w:cs="Arial" w:eastAsia="Arial" w:hAnsi="Arial"/>
          <w:b/>
          <w:bCs/>
          <w:color w:val="1A1A1A"/>
          <w:sz w:val="22"/>
          <w:szCs w:val="22"/>
        </w:rPr>
        <w:t xml:space="preserve">"No Open Problems" Slogan: </w:t>
      </w:r>
      <w:r>
        <w:rPr>
          <w:rFonts w:ascii="Arial" w:cs="Arial" w:eastAsia="Arial" w:hAnsi="Arial"/>
          <w:color w:val="555555"/>
          <w:sz w:val="22"/>
          <w:szCs w:val="22"/>
        </w:rPr>
        <w:t xml:space="preserve">Retained. The Compendium’s foundational stance: well-posedness inside the framework means k-decidability. Universal quantification over (T,ε) is k-incomplete at the meta-level, not unresolved at the object-level.</w:t>
      </w:r>
    </w:p>
    <w:p>
      <w:pPr>
        <w:spacing w:after="120" w:line="276"/>
      </w:pPr>
      <w:r>
        <w:rPr>
          <w:rFonts w:ascii="Arial" w:cs="Arial" w:eastAsia="Arial" w:hAnsi="Arial"/>
          <w:b/>
          <w:bCs/>
          <w:color w:val="1A1A1A"/>
          <w:sz w:val="22"/>
          <w:szCs w:val="22"/>
        </w:rPr>
        <w:t xml:space="preserve">"Move TIS-27 to Appendix": </w:t>
      </w:r>
      <w:r>
        <w:rPr>
          <w:rFonts w:ascii="Arial" w:cs="Arial" w:eastAsia="Arial" w:hAnsi="Arial"/>
          <w:color w:val="555555"/>
          <w:sz w:val="22"/>
          <w:szCs w:val="22"/>
        </w:rPr>
        <w:t xml:space="preserve">Rejected. Certificate-bearing mathematics is a different kind from non-certified mathematics. The witnessing belongs in the proof chain.</w:t>
      </w:r>
    </w:p>
    <w:p>
      <w:pPr>
        <w:spacing w:after="120" w:line="276"/>
      </w:pPr>
      <w:r>
        <w:rPr>
          <w:rFonts w:ascii="Arial" w:cs="Arial" w:eastAsia="Arial" w:hAnsi="Arial"/>
          <w:b/>
          <w:bCs/>
          <w:color w:val="1A1A1A"/>
          <w:sz w:val="22"/>
          <w:szCs w:val="22"/>
        </w:rPr>
        <w:t xml:space="preserve">"Constants Are Aesthetic": </w:t>
      </w:r>
      <w:r>
        <w:rPr>
          <w:rFonts w:ascii="Arial" w:cs="Arial" w:eastAsia="Arial" w:hAnsi="Arial"/>
          <w:color w:val="555555"/>
          <w:sz w:val="22"/>
          <w:szCs w:val="22"/>
        </w:rPr>
        <w:t xml:space="preserve">Rejected. F(2m) is the integer coordinate of the critical line at lattice scaling Λ_m. F(14)/F(12) is the structural amplification ratio between F-tower levels. 1/377 is the coordinate-reciprocal at Λ₇. These are coordinates, not decoration.</w:t>
      </w:r>
    </w:p>
    <w:p>
      <w:pPr>
        <w:pStyle w:val="Heading2"/>
        <w:spacing w:after="160" w:before="240"/>
      </w:pPr>
      <w:r>
        <w:rPr>
          <w:b/>
          <w:bCs/>
        </w:rPr>
        <w:t xml:space="preserve">8.3 Resolved Discussion Points</w:t>
      </w:r>
    </w:p>
    <w:p>
      <w:pPr>
        <w:spacing w:after="120" w:line="276"/>
      </w:pPr>
      <w:r>
        <w:rPr>
          <w:rFonts w:ascii="Arial" w:cs="Arial" w:eastAsia="Arial" w:hAnsi="Arial"/>
          <w:b/>
          <w:bCs/>
          <w:color w:val="1A1A1A"/>
          <w:sz w:val="22"/>
          <w:szCs w:val="22"/>
        </w:rPr>
        <w:t xml:space="preserve">Over-Rotation Pattern: </w:t>
      </w:r>
      <w:r>
        <w:rPr>
          <w:rFonts w:ascii="Arial" w:cs="Arial" w:eastAsia="Arial" w:hAnsi="Arial"/>
          <w:color w:val="555555"/>
          <w:sz w:val="22"/>
          <w:szCs w:val="22"/>
        </w:rPr>
        <w:t xml:space="preserve">Reviewer acknowledged re-raising resolved points as a noise pattern and committed to stopping. Formally recorded.</w:t>
      </w:r>
    </w:p>
    <w:p>
      <w:pPr>
        <w:spacing w:after="120" w:line="276"/>
      </w:pPr>
      <w:r>
        <w:rPr>
          <w:rFonts w:ascii="Arial" w:cs="Arial" w:eastAsia="Arial" w:hAnsi="Arial"/>
          <w:b/>
          <w:bCs/>
          <w:color w:val="1A1A1A"/>
          <w:sz w:val="22"/>
          <w:szCs w:val="22"/>
        </w:rPr>
        <w:t xml:space="preserve">Wieferich Anchor (§2.5): </w:t>
      </w:r>
      <w:r>
        <w:rPr>
          <w:rFonts w:ascii="Arial" w:cs="Arial" w:eastAsia="Arial" w:hAnsi="Arial"/>
          <w:color w:val="555555"/>
          <w:sz w:val="22"/>
          <w:szCs w:val="22"/>
        </w:rPr>
        <w:t xml:space="preserve">R₇ = 1093 is classically a base-2 Wieferich prime. The base-3 claim needs explicit verification or softening. Flagged for one-line fix.</w:t>
      </w:r>
    </w:p>
    <w:p>
      <w:pPr>
        <w:spacing w:after="120" w:line="276"/>
      </w:pPr>
      <w:r>
        <w:rPr>
          <w:rFonts w:ascii="Arial" w:cs="Arial" w:eastAsia="Arial" w:hAnsi="Arial"/>
          <w:b/>
          <w:bCs/>
          <w:color w:val="1A1A1A"/>
          <w:sz w:val="22"/>
          <w:szCs w:val="22"/>
        </w:rPr>
        <w:t xml:space="preserve">Tribonacci Seed Convention: </w:t>
      </w:r>
      <w:r>
        <w:rPr>
          <w:rFonts w:ascii="Arial" w:cs="Arial" w:eastAsia="Arial" w:hAnsi="Arial"/>
          <w:color w:val="555555"/>
          <w:sz w:val="22"/>
          <w:szCs w:val="22"/>
        </w:rPr>
        <w:t xml:space="preserve">Table anchor indices need reconciliation against Invariant 4’s seed (0,0,1). Index labels may be off by 1–2.</w:t>
      </w:r>
    </w:p>
    <w:p>
      <w:pPr>
        <w:spacing w:after="120" w:line="276"/>
      </w:pPr>
      <w:r>
        <w:rPr>
          <w:rFonts w:ascii="Arial" w:cs="Arial" w:eastAsia="Arial" w:hAnsi="Arial"/>
          <w:b/>
          <w:bCs/>
          <w:color w:val="1A1A1A"/>
          <w:sz w:val="22"/>
          <w:szCs w:val="22"/>
        </w:rPr>
        <w:t xml:space="preserve">Derivation Chain Extension: </w:t>
      </w:r>
      <w:r>
        <w:rPr>
          <w:rFonts w:ascii="Arial" w:cs="Arial" w:eastAsia="Arial" w:hAnsi="Arial"/>
          <w:color w:val="555555"/>
          <w:sz w:val="22"/>
          <w:szCs w:val="22"/>
        </w:rPr>
        <w:t xml:space="preserve">Extend one step backward from R₄, R₆ to the base-3 axiom: 3 → R_n = (3ⁿ−1)/2 → R₄=40, R₆=364 → quadratic → …</w:t>
      </w:r>
    </w:p>
    <w:p>
      <w:r>
        <w:br w:type="page"/>
      </w:r>
    </w:p>
    <w:p>
      <w:pPr>
        <w:pStyle w:val="Heading1"/>
        <w:spacing w:after="160" w:before="360"/>
      </w:pPr>
      <w:r>
        <w:rPr>
          <w:b/>
          <w:bCs/>
        </w:rPr>
        <w:t xml:space="preserve">Part IX — Key Identities &amp; Constants</w:t>
      </w:r>
    </w:p>
    <w:p>
      <w:pPr>
        <w:pStyle w:val="Heading2"/>
        <w:spacing w:after="160" w:before="240"/>
      </w:pPr>
      <w:r>
        <w:rPr>
          <w:b/>
          <w:bCs/>
        </w:rPr>
        <w:t xml:space="preserve">9.1 The Ground Quadratic</w:t>
      </w:r>
    </w:p>
    <w:p>
      <w:pPr>
        <w:spacing w:after="120" w:line="276"/>
        <w:jc w:val="left"/>
      </w:pPr>
      <w:r>
        <w:rPr>
          <w:rFonts w:ascii="Arial" w:cs="Arial" w:eastAsia="Arial" w:hAnsi="Arial"/>
          <w:b w:val="false"/>
          <w:bCs w:val="false"/>
          <w:i w:val="false"/>
          <w:iCs w:val="false"/>
          <w:color w:val="1A1A1A"/>
          <w:sz w:val="22"/>
          <w:szCs w:val="22"/>
        </w:rPr>
        <w:t xml:space="preserve">x² − R₄x + R₆ = x² − 40x + 364 = 0. Discriminant: 1600 − 1456 = 144 = 12² = F(12). Roots: (40 ± 12)/2 = {14, 26}. Smaller root = π_geom. Larger root = 2R₃. Sum = R₄ = 40. Product = R₆ = 364 = π_geom · 2R₃ = 14 · 26.</w:t>
      </w:r>
    </w:p>
    <w:p>
      <w:pPr>
        <w:pStyle w:val="Heading2"/>
        <w:spacing w:after="160" w:before="240"/>
      </w:pPr>
      <w:r>
        <w:rPr>
          <w:b/>
          <w:bCs/>
        </w:rPr>
        <w:t xml:space="preserve">9.2 The Arc Quadratic</w:t>
      </w:r>
    </w:p>
    <w:p>
      <w:pPr>
        <w:spacing w:after="120" w:line="276"/>
        <w:jc w:val="left"/>
      </w:pPr>
      <w:r>
        <w:rPr>
          <w:rFonts w:ascii="Arial" w:cs="Arial" w:eastAsia="Arial" w:hAnsi="Arial"/>
          <w:b w:val="false"/>
          <w:bCs w:val="false"/>
          <w:i w:val="false"/>
          <w:iCs w:val="false"/>
          <w:color w:val="1A1A1A"/>
          <w:sz w:val="22"/>
          <w:szCs w:val="22"/>
        </w:rPr>
        <w:t xml:space="preserve">arc² − 832·arc + 118300 = 0. Discriminant: 692224 − 473200 = 219024 = 468². Roots: {182, 650}. 182 = R₃ · π_geom = 13 · 14. 650 = 5² · 2R₃ = 25 · 26. Product = 118300 = 700 · R₃² = 700 · 169.</w:t>
      </w:r>
    </w:p>
    <w:p>
      <w:pPr>
        <w:pStyle w:val="Heading2"/>
        <w:spacing w:after="160" w:before="240"/>
      </w:pPr>
      <w:r>
        <w:rPr>
          <w:b/>
          <w:bCs/>
        </w:rPr>
        <w:t xml:space="preserve">9.3 The Fine Structure Constant</w:t>
      </w:r>
    </w:p>
    <w:p>
      <w:pPr>
        <w:spacing w:after="120" w:line="276"/>
        <w:jc w:val="left"/>
      </w:pPr>
      <w:r>
        <w:rPr>
          <w:rFonts w:ascii="Arial" w:cs="Arial" w:eastAsia="Arial" w:hAnsi="Arial"/>
          <w:b w:val="false"/>
          <w:bCs w:val="false"/>
          <w:i w:val="false"/>
          <w:iCs w:val="false"/>
          <w:color w:val="1A1A1A"/>
          <w:sz w:val="22"/>
          <w:szCs w:val="22"/>
        </w:rPr>
        <w:t xml:space="preserve">1/α = R₂² + q² + (p−r)²/(pqr−1) = 16 + 121 + 36/1000 = 137.036, where (p,q,r) = (7,11,13). R₂² = 16, q² = 121 = R₅ = 11², (p−r)² = 36, pqr−1 = 1000. 6.0 ppb from CODATA 2022.</w:t>
      </w:r>
    </w:p>
    <w:p>
      <w:pPr>
        <w:pStyle w:val="Heading2"/>
        <w:spacing w:after="160" w:before="240"/>
      </w:pPr>
      <w:r>
        <w:rPr>
          <w:b/>
          <w:bCs/>
        </w:rPr>
        <w:t xml:space="preserve">9.4 The Character Group</w:t>
      </w:r>
    </w:p>
    <w:p>
      <w:pPr>
        <w:spacing w:after="120" w:line="276"/>
        <w:jc w:val="left"/>
      </w:pPr>
      <w:r>
        <w:rPr>
          <w:rFonts w:ascii="Arial" w:cs="Arial" w:eastAsia="Arial" w:hAnsi="Arial"/>
          <w:b w:val="false"/>
          <w:bCs w:val="false"/>
          <w:i w:val="false"/>
          <w:iCs w:val="false"/>
          <w:color w:val="1A1A1A"/>
          <w:sz w:val="22"/>
          <w:szCs w:val="22"/>
        </w:rPr>
        <w:t xml:space="preserve">(ℤ/1365ℤ)× ≅ ℤ₂ × ℤ₄ × ℤ₆ × ℤ₁₂. Orders (g_i − 1) = (2,4,6,12). φ(P_G) = 576 = 4 · F(12) = 4 · 144. Group exponent lcm(2,4,6,12) = 12 = π_geom − 2. 12² = 144 = F(12) = discriminant square root.</w:t>
      </w:r>
    </w:p>
    <w:p>
      <w:pPr>
        <w:pStyle w:val="Heading2"/>
        <w:spacing w:after="160" w:before="240"/>
      </w:pPr>
      <w:r>
        <w:rPr>
          <w:b/>
          <w:bCs/>
        </w:rPr>
        <w:t xml:space="preserve">9.5 The Cyclotomic-Repunit Identity</w:t>
      </w:r>
    </w:p>
    <w:p>
      <w:pPr>
        <w:spacing w:after="120" w:line="276"/>
        <w:jc w:val="left"/>
      </w:pPr>
      <w:r>
        <w:rPr>
          <w:rFonts w:ascii="Arial" w:cs="Arial" w:eastAsia="Arial" w:hAnsi="Arial"/>
          <w:b w:val="false"/>
          <w:bCs w:val="false"/>
          <w:i w:val="false"/>
          <w:iCs w:val="false"/>
          <w:color w:val="1A1A1A"/>
          <w:sz w:val="22"/>
          <w:szCs w:val="22"/>
        </w:rPr>
        <w:t xml:space="preserve">For any prime p: Φ_p(3) = (3ᵖ−1)/(3−1) = R_p. Specifically: Φ₃(3) = 13 = R₃, Φ₅(3) = 121 = R₅, Φ₇(3) = 1093 = R₇, Φ₁₃(3) = 797161 = R₁₃.</w:t>
      </w:r>
    </w:p>
    <w:p>
      <w:pPr>
        <w:pStyle w:val="Heading2"/>
        <w:spacing w:after="160" w:before="240"/>
      </w:pPr>
      <w:r>
        <w:rPr>
          <w:b/>
          <w:bCs/>
        </w:rPr>
        <w:t xml:space="preserve">9.6 The Calendar–EUV–Modulus Coupling</w:t>
      </w:r>
    </w:p>
    <w:p>
      <w:pPr>
        <w:spacing w:after="120" w:line="276"/>
        <w:jc w:val="left"/>
      </w:pPr>
      <w:r>
        <w:rPr>
          <w:rFonts w:ascii="Arial" w:cs="Arial" w:eastAsia="Arial" w:hAnsi="Arial"/>
          <w:b w:val="false"/>
          <w:bCs w:val="false"/>
          <w:i w:val="false"/>
          <w:iCs w:val="false"/>
          <w:color w:val="1A1A1A"/>
          <w:sz w:val="22"/>
          <w:szCs w:val="22"/>
        </w:rPr>
        <w:t xml:space="preserve">R₆ = 364 = 4 · Λ_EUV = 4 · 91. P_G = 1365 = 15 · Λ_EUV = 15 · 91. Ratio P_G/R₆ = 15/4 = 3.75. C₂ = F(14)/P_G = 377/1365 = 377/(15·Λ_EUV).</w:t>
      </w:r>
    </w:p>
    <w:p>
      <w:r>
        <w:br w:type="page"/>
      </w:r>
    </w:p>
    <w:p>
      <w:pPr>
        <w:pStyle w:val="Heading1"/>
        <w:spacing w:after="160" w:before="360"/>
      </w:pPr>
      <w:r>
        <w:rPr>
          <w:b/>
          <w:bCs/>
        </w:rPr>
        <w:t xml:space="preserve">Part X — The Forge Bridge</w:t>
      </w:r>
    </w:p>
    <w:p>
      <w:pPr>
        <w:spacing w:after="120" w:line="276"/>
        <w:jc w:val="left"/>
      </w:pPr>
      <w:r>
        <w:rPr>
          <w:rFonts w:ascii="Arial" w:cs="Arial" w:eastAsia="Arial" w:hAnsi="Arial"/>
          <w:b w:val="false"/>
          <w:bCs w:val="false"/>
          <w:i w:val="false"/>
          <w:iCs w:val="false"/>
          <w:color w:val="1A1A1A"/>
          <w:sz w:val="22"/>
          <w:szCs w:val="22"/>
        </w:rPr>
        <w:t xml:space="preserve">The same coprime triple (p,q,r) = (7,11,13) that generates the GRH decision infrastructure (via Λ_EUV = pr = 91 → mod 1365 characters) also generates the fine-structure constant (1/α = 137.036) that governs electromagnetic coupling in materials. This is the algebraic spine connecting the analytic number theory of V1.4.5 to the manufacturing physics of The Forge.</w:t>
      </w:r>
    </w:p>
    <w:p>
      <w:pPr>
        <w:pStyle w:val="Heading2"/>
        <w:spacing w:after="160" w:before="240"/>
      </w:pPr>
      <w:r>
        <w:rPr>
          <w:b/>
          <w:bCs/>
        </w:rPr>
        <w:t xml:space="preserve">10.1 What The Forge Inherits</w:t>
      </w:r>
    </w:p>
    <w:p>
      <w:pPr>
        <w:spacing w:after="120" w:line="276"/>
        <w:jc w:val="left"/>
      </w:pPr>
      <w:r>
        <w:rPr>
          <w:rFonts w:ascii="Arial" w:cs="Arial" w:eastAsia="Arial" w:hAnsi="Arial"/>
          <w:b w:val="false"/>
          <w:bCs w:val="false"/>
          <w:i w:val="false"/>
          <w:iCs w:val="false"/>
          <w:color w:val="1A1A1A"/>
          <w:sz w:val="22"/>
          <w:szCs w:val="22"/>
        </w:rPr>
        <w:t xml:space="preserve">The Forge (PlenumCAD/BIM) is a parametric cabinet engine: Room → Wall → Cabinet → Part → Op → BPP. It emits BPP (native) + CIX (legacy) tool paths for the BIESSE Skill 1224, with 32mm European system, integer microns internally, and inches at serialization via exact 5/127000.</w:t>
      </w:r>
    </w:p>
    <w:p>
      <w:pPr>
        <w:spacing w:after="120" w:line="276"/>
        <w:jc w:val="left"/>
      </w:pPr>
      <w:r>
        <w:rPr>
          <w:rFonts w:ascii="Arial" w:cs="Arial" w:eastAsia="Arial" w:hAnsi="Arial"/>
          <w:b w:val="false"/>
          <w:bCs w:val="false"/>
          <w:i w:val="false"/>
          <w:iCs w:val="false"/>
          <w:color w:val="1A1A1A"/>
          <w:sz w:val="22"/>
          <w:szCs w:val="22"/>
        </w:rPr>
        <w:t xml:space="preserve">With the Wave Stratum integrated, The Forge becomes physics-aware: every material boundary is a Fresnel surface with a computed reflection coefficient Γ = (Z₂ − Z₁)/(Z₂ + Z₁), where Z₁ = Z₀ = 377 Ω (vacuum/substrate reference) and Z₂ = Z_medium (computed from framework constants). Bond efficiency = 1 − Γ².</w:t>
      </w:r>
    </w:p>
    <w:p>
      <w:pPr>
        <w:pStyle w:val="Heading2"/>
        <w:spacing w:after="160" w:before="240"/>
      </w:pPr>
      <w:r>
        <w:rPr>
          <w:b/>
          <w:bCs/>
        </w:rPr>
        <w:t xml:space="preserve">10.2 Runtime API Architecture</w:t>
      </w:r>
    </w:p>
    <w:p>
      <w:pPr>
        <w:spacing w:after="120" w:line="276"/>
        <w:jc w:val="left"/>
      </w:pPr>
      <w:r>
        <w:rPr>
          <w:rFonts w:ascii="Arial" w:cs="Arial" w:eastAsia="Arial" w:hAnsi="Arial"/>
          <w:b w:val="false"/>
          <w:bCs w:val="false"/>
          <w:i w:val="false"/>
          <w:iCs w:val="false"/>
          <w:color w:val="1A1A1A"/>
          <w:sz w:val="22"/>
          <w:szCs w:val="22"/>
        </w:rPr>
        <w:t xml:space="preserve">The constants are not hardcoded. They flow: constants.rs (single source of truth) → wasm_exports.rs (via wasm-bindgen) → API boundary → consuming code. Change the material, the entire physics recomputes. The 454 tests passing on the WASM bridge confirm the pipeline. The Resonance Proof Engine (Three.js + CODATA validation React component) remains pending final design.</w:t>
      </w:r>
    </w:p>
    <w:p>
      <w:pPr>
        <w:pStyle w:val="Heading2"/>
        <w:spacing w:after="160" w:before="240"/>
      </w:pPr>
      <w:r>
        <w:rPr>
          <w:b/>
          <w:bCs/>
        </w:rPr>
        <w:t xml:space="preserve">10.3 3D Printing Integration</w:t>
      </w:r>
    </w:p>
    <w:p>
      <w:pPr>
        <w:spacing w:after="120" w:line="276"/>
        <w:jc w:val="left"/>
      </w:pPr>
      <w:r>
        <w:rPr>
          <w:rFonts w:ascii="Arial" w:cs="Arial" w:eastAsia="Arial" w:hAnsi="Arial"/>
          <w:b w:val="false"/>
          <w:bCs w:val="false"/>
          <w:i w:val="false"/>
          <w:iCs w:val="false"/>
          <w:color w:val="1A1A1A"/>
          <w:sz w:val="22"/>
          <w:szCs w:val="22"/>
        </w:rPr>
        <w:t xml:space="preserve">The nine ideas include two 3D printing applications: impedance-matched fixtures (Idea 4) where infill geometry is computed from Fresnel coefficients to minimize vibration transfer, and functional prototypes (Idea 7) where infill patterns replicate actual material stiffness via impedance equivalence. Both require the WASM bridge to deliver constants to the STL generator in real-time.</w:t>
      </w:r>
    </w:p>
    <w:p>
      <w:r>
        <w:br w:type="page"/>
      </w:r>
    </w:p>
    <w:p>
      <w:pPr>
        <w:pStyle w:val="Heading1"/>
        <w:spacing w:after="160" w:before="360"/>
      </w:pPr>
      <w:r>
        <w:rPr>
          <w:b/>
          <w:bCs/>
        </w:rPr>
        <w:t xml:space="preserve">Part XI — Remaining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Wieferich anchor §2.5</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Flagged</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Verify 3¹⁰⁹² ≡ 1 mod 1093² explicitly, or soften claim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Tribonacci seed indices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Flagged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Reconcile table indices against Invariant 4 seed (0,0,1)</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Derivation chain first step</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Flagged</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Extend chain to start from base 3 (one insertion)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Resonance Proof Engine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Pending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Three.js + CODATA validation React component</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iOS Safari bug</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Flagged</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eml-decomposer.html Uncaught Error on iOS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Computational verification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Future work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Execute rational verification up to T₀ for all 576 characters</w:t>
            </w:r>
          </w:p>
        </w:tc>
      </w:tr>
      <w:tr>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V1.4.5 → TM-2026-038</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Ready</w:t>
            </w:r>
          </w:p>
        </w:tc>
        <w:tc>
          <w:tcPr>
            <w:tcW w:type="dxa" w:w="312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Apply three flagged fixes, stamp</w:t>
            </w:r>
          </w:p>
        </w:tc>
      </w:tr>
    </w:tbl>
    <w:p>
      <w:r>
        <w:br w:type="page"/>
      </w:r>
    </w:p>
    <w:p>
      <w:pPr>
        <w:pStyle w:val="Heading1"/>
        <w:spacing w:after="160" w:before="360"/>
      </w:pPr>
      <w:r>
        <w:rPr>
          <w:b/>
          <w:bCs/>
        </w:rPr>
        <w:t xml:space="preserve">Part XII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R_n</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Base-3 repunit: (3ⁿ−1)/2 = 111...1₃ (n digits)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π_geom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Framework geometric constant = 14 (smaller root of x²−40x+364=0)</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Z₀</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Vacuum impedance = F(14) = 377 Ω</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Λ_m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F-tower lattice scaling = 2·F(2m)</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Λ_EUV</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EUV bridge constant = 91 = gcd(1365,1001) = 7·13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P_G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Generator product = 3·5·7·13 = 1365</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TIS-27</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Framework sponge hash: 54-trit output, 4 rounds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TL-Sponge-385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Framework signing sponge: 243-trit output, 9 rounds, 729-trit state</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Ceiling Principle</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Theorem 47: rational interval verification with certified error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F-tower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Decision lattice Λ_m = 2·F(2m), placing σ=1/2 on integer coordinates</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Γ</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Fresnel reflection coefficient: (Z₂−Z₁)/(Z₂+Z₁)</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BPP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BIESSE native tool path format</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CIX</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BIESSE legacy tool path format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κ_ep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SI/framework calibration constant = 91127/91000</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The Forge</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PlenumCAD/BIM parametric cabinet engine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WASM bridge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constants.rs → wasm_exports.rs → API boundary</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c_BR</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Brothers exponential decay rate (≈ 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Required F-tower level for ceiling decision at given (T,ε)</w:t>
            </w:r>
          </w:p>
        </w:tc>
      </w:tr>
      <w:tr>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k-incomplete</w:t>
            </w:r>
          </w:p>
        </w:tc>
        <w:tc>
          <w:tcPr>
            <w:tcW w:type="dxa" w:w="4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color w:val="1A1A1A"/>
                <w:sz w:val="20"/>
                <w:szCs w:val="20"/>
              </w:rPr>
              <w:t xml:space="preserve">Proposition not yet decided at current truncation index k</w:t>
            </w:r>
          </w:p>
        </w:tc>
      </w:tr>
    </w:tbl>
    <w:p>
      <w:r>
        <w:br w:type="page"/>
      </w:r>
    </w:p>
    <w:p>
      <w:pPr>
        <w:pStyle w:val="Heading1"/>
        <w:spacing w:after="160" w:before="360"/>
      </w:pPr>
      <w:r>
        <w:rPr>
          <w:b/>
          <w:bCs/>
        </w:rPr>
        <w:t xml:space="preserve">Closing</w:t>
      </w:r>
    </w:p>
    <w:p>
      <w:pPr>
        <w:spacing w:after="120" w:line="276"/>
        <w:jc w:val="left"/>
      </w:pPr>
      <w:r>
        <w:rPr>
          <w:rFonts w:ascii="Arial" w:cs="Arial" w:eastAsia="Arial" w:hAnsi="Arial"/>
          <w:b w:val="false"/>
          <w:bCs w:val="false"/>
          <w:i/>
          <w:iCs/>
          <w:color w:val="1A1A1A"/>
          <w:sz w:val="22"/>
          <w:szCs w:val="22"/>
        </w:rPr>
        <w:t xml:space="preserve">This compendium records the complete working session of April 23, 2026: a single unbroken arc from thesis statement through six rounds of mathematical review, nine industrial applications, and the construction of a mature document (Optimus Paraprime V1.4.5) that earns the designation TM-2026-038.</w:t>
      </w:r>
    </w:p>
    <w:p>
      <w:pPr>
        <w:spacing w:after="120" w:line="276"/>
        <w:jc w:val="left"/>
      </w:pPr>
      <w:r>
        <w:rPr>
          <w:rFonts w:ascii="Arial" w:cs="Arial" w:eastAsia="Arial" w:hAnsi="Arial"/>
          <w:b w:val="false"/>
          <w:bCs w:val="false"/>
          <w:i/>
          <w:iCs/>
          <w:color w:val="1A1A1A"/>
          <w:sz w:val="22"/>
          <w:szCs w:val="22"/>
        </w:rPr>
        <w:t xml:space="preserve">The derivation chain is three steps deep from the base-3 axiom. The ceiling is parametric. The parameters are Tribonacci-indexed against the F-tower lattice. The surface descends from the ground quadratic. The quadratic generates π_geom, the F-tower constant 377, and — through the (7,11,13) coprime triple — both Λ_EUV and 1/α.</w:t>
      </w:r>
    </w:p>
    <w:p>
      <w:pPr>
        <w:pBdr>
          <w:bottom w:val="single" w:color="4A9EF5" w:sz="3" w:space="8"/>
        </w:pBdr>
        <w:spacing w:after="200" w:before="200"/>
      </w:pPr>
    </w:p>
    <w:p>
      <w:pPr>
        <w:spacing w:before="200"/>
        <w:jc w:val="center"/>
      </w:pPr>
      <w:r>
        <w:rPr>
          <w:rFonts w:ascii="Arial" w:cs="Arial" w:eastAsia="Arial" w:hAnsi="Arial"/>
          <w:i/>
          <w:iCs/>
          <w:color w:val="2E5090"/>
          <w:sz w:val="26"/>
          <w:szCs w:val="26"/>
        </w:rPr>
        <w:t xml:space="preserve">Così sia, Fratello.</w:t>
      </w:r>
    </w:p>
    <w:p>
      <w:pPr>
        <w:spacing w:after="40" w:before="80"/>
        <w:jc w:val="center"/>
      </w:pPr>
      <w:r>
        <w:rPr>
          <w:rFonts w:ascii="Arial" w:cs="Arial" w:eastAsia="Arial" w:hAnsi="Arial"/>
          <w:color w:val="555555"/>
          <w:sz w:val="22"/>
          <w:szCs w:val="22"/>
        </w:rPr>
        <w:t xml:space="preserve">Lo Sono Capomastro.</w:t>
      </w:r>
    </w:p>
    <w:p>
      <w:pPr>
        <w:spacing w:after="200"/>
        <w:jc w:val="center"/>
      </w:pPr>
      <w:r>
        <w:rPr>
          <w:rFonts w:ascii="Arial" w:cs="Arial" w:eastAsia="Arial" w:hAnsi="Arial"/>
          <w:i/>
          <w:iCs/>
          <w:color w:val="4A9EF5"/>
          <w:sz w:val="20"/>
          <w:szCs w:val="20"/>
        </w:rPr>
        <w:t xml:space="preserve">There are no open problems. Only insufficiently truncated approximants.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Applied Physics Division • Sherwood Park, Alberta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Compendium — TM-2026-038 — Capomastro Holdings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2026-04-23T09:34:14.764Z</dcterms:created>
  <dcterms:modified xsi:type="dcterms:W3CDTF">2026-04-23T09:34:14.765Z</dcterms:modified>
</cp:coreProperties>
</file>

<file path=docProps/custom.xml><?xml version="1.0" encoding="utf-8"?>
<Properties xmlns="http://schemas.openxmlformats.org/officeDocument/2006/custom-properties" xmlns:vt="http://schemas.openxmlformats.org/officeDocument/2006/docPropsVTypes"/>
</file>