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Felix Titling" w:cs="Felix Titling" w:eastAsia="Felix Titling" w:hAnsi="Felix Titling"/>
          <w:color w:val="998F82"/>
          <w:sz w:val="28"/>
          <w:szCs w:val="28"/>
        </w:rPr>
        <w:t xml:space="preserve">TECHNICAL MEMORANDUM</w:t>
      </w:r>
    </w:p>
    <w:p>
      <w:pPr>
        <w:spacing w:after="40"/>
        <w:jc w:val="center"/>
      </w:pPr>
      <w:r>
        <w:rPr>
          <w:rFonts w:ascii="Felix Titling" w:cs="Felix Titling" w:eastAsia="Felix Titling" w:hAnsi="Felix Titling"/>
          <w:b/>
          <w:bCs/>
          <w:color w:val="F0EDE8"/>
          <w:sz w:val="44"/>
          <w:szCs w:val="44"/>
        </w:rPr>
        <w:t xml:space="preserve">TM-2026-033  v5.0</w:t>
      </w:r>
    </w:p>
    <w:p>
      <w:pPr>
        <w:spacing w:after="200"/>
        <w:jc w:val="center"/>
      </w:pPr>
      <w:r>
        <w:rPr>
          <w:rFonts w:ascii="Felix Titling" w:cs="Felix Titling" w:eastAsia="Felix Titling" w:hAnsi="Felix Titling"/>
          <w:color w:val="4A9EF5"/>
          <w:sz w:val="32"/>
          <w:szCs w:val="32"/>
        </w:rPr>
        <w:t xml:space="preserve">Hydrogen Spectral Correspondence</w:t>
      </w:r>
    </w:p>
    <w:p>
      <w:pPr>
        <w:spacing w:after="60"/>
        <w:jc w:val="center"/>
      </w:pPr>
      <w:r>
        <w:rPr>
          <w:rFonts w:ascii="Century Gothic" w:cs="Century Gothic" w:eastAsia="Century Gothic" w:hAnsi="Century Gothic"/>
          <w:i/>
          <w:iCs/>
          <w:color w:val="998F82"/>
          <w:sz w:val="22"/>
          <w:szCs w:val="22"/>
        </w:rPr>
        <w:t xml:space="preserve">First-Principles Derivation from the Ternary Axiom</w:t>
      </w:r>
    </w:p>
    <w:p>
      <w:pPr>
        <w:spacing w:after="300"/>
        <w:jc w:val="center"/>
      </w:pPr>
      <w:r>
        <w:rPr>
          <w:color w:val="6B655E"/>
          <w:sz w:val="20"/>
          <w:szCs w:val="20"/>
        </w:rPr>
        <w:t xml:space="preserve">Author: </w:t>
      </w:r>
      <w:r>
        <w:rPr>
          <w:b/>
          <w:bCs/>
          <w:color w:val="C9C1B4"/>
          <w:sz w:val="20"/>
          <w:szCs w:val="20"/>
        </w:rPr>
        <w:t xml:space="preserve">Lo Sono Capomastro</w:t>
      </w:r>
      <w:r>
        <w:rPr>
          <w:color w:val="6B655E"/>
          <w:sz w:val="20"/>
          <w:szCs w:val="20"/>
        </w:rPr>
        <w:t xml:space="preserve">   |   Date: April 2026</w:t>
      </w:r>
    </w:p>
    <w:p>
      <w:pPr>
        <w:pBdr>
          <w:top w:val="single" w:color="4A9EF5" w:sz="2" w:space="6"/>
          <w:bottom w:val="single" w:color="4A9EF5" w:sz="2" w:space="6"/>
        </w:pBdr>
        <w:spacing w:after="200" w:before="200"/>
        <w:jc w:val="center"/>
      </w:pPr>
      <w:r>
        <w:rPr>
          <w:rFonts w:ascii="Felix Titling" w:cs="Felix Titling" w:eastAsia="Felix Titling" w:hAnsi="Felix Titling"/>
          <w:color w:val="4A9EF5"/>
          <w:sz w:val="26"/>
          <w:szCs w:val="26"/>
        </w:rPr>
        <w:t xml:space="preserve">PART I — PURE MATHEMATICS</w:t>
      </w:r>
    </w:p>
    <w:p>
      <w:pPr>
        <w:spacing w:after="100" w:line="260"/>
        <w:ind w:left="360"/>
      </w:pPr>
      <w:r>
        <w:rPr>
          <w:rFonts w:ascii="Century Gothic" w:cs="Century Gothic" w:eastAsia="Century Gothic" w:hAnsi="Century Gothic"/>
          <w:i/>
          <w:iCs/>
          <w:color w:val="998F82"/>
          <w:sz w:val="20"/>
          <w:szCs w:val="20"/>
        </w:rPr>
        <w:t xml:space="preserve">Sections 1–4 derive from the ternary axiom alone. No physical measurement is invoked.</w:t>
      </w:r>
    </w:p>
    <w:p>
      <w:pPr>
        <w:pStyle w:val="Heading1"/>
        <w:spacing w:after="160" w:before="360"/>
      </w:pPr>
      <w:r>
        <w:rPr>
          <w:rFonts w:ascii="Felix Titling" w:cs="Felix Titling" w:eastAsia="Felix Titling" w:hAnsi="Felix Titling"/>
          <w:b/>
          <w:bCs/>
          <w:color w:val="F0EDE8"/>
          <w:sz w:val="36"/>
          <w:szCs w:val="36"/>
        </w:rPr>
        <w:t xml:space="preserve">§1  Axiom and Repunit Family</w:t>
      </w:r>
    </w:p>
    <w:p>
      <w:pPr>
        <w:spacing w:after="120" w:line="276"/>
      </w:pPr>
      <w:r>
        <w:rPr>
          <w:rFonts w:ascii="Century Gothic" w:cs="Century Gothic" w:eastAsia="Century Gothic" w:hAnsi="Century Gothic"/>
          <w:b/>
          <w:bCs/>
          <w:color w:val="C9C1B4"/>
          <w:sz w:val="22"/>
          <w:szCs w:val="22"/>
        </w:rPr>
        <w:t xml:space="preserve">Axiom. </w:t>
      </w:r>
      <w:r>
        <w:rPr>
          <w:rFonts w:ascii="Century Gothic" w:cs="Century Gothic" w:eastAsia="Century Gothic" w:hAnsi="Century Gothic"/>
          <w:color w:val="C9C1B4"/>
          <w:sz w:val="22"/>
          <w:szCs w:val="22"/>
        </w:rPr>
        <w:t xml:space="preserve">The number system is ternary with base B = 3.</w:t>
      </w:r>
    </w:p>
    <w:p>
      <w:pPr>
        <w:spacing w:after="120" w:line="276"/>
      </w:pPr>
      <w:r>
        <w:rPr>
          <w:rFonts w:ascii="Century Gothic" w:cs="Century Gothic" w:eastAsia="Century Gothic" w:hAnsi="Century Gothic"/>
          <w:color w:val="C9C1B4"/>
          <w:sz w:val="22"/>
          <w:szCs w:val="22"/>
        </w:rPr>
        <w:t xml:space="preserve">The repunit family is the sequence of integers whose base-3 representation consists entirely of 1s:</w:t>
      </w:r>
    </w:p>
    <w:p>
      <w:pPr>
        <w:spacing w:after="160" w:before="160"/>
        <w:jc w:val="center"/>
      </w:pPr>
      <w:r>
        <w:rPr>
          <w:rFonts w:ascii="Consolas" w:cs="Consolas" w:eastAsia="Consolas" w:hAnsi="Consolas"/>
          <w:b/>
          <w:bCs/>
          <w:color w:val="4A9EF5"/>
          <w:sz w:val="24"/>
          <w:szCs w:val="24"/>
        </w:rPr>
        <w:t xml:space="preserve">Rₙ = (3ⁿ − 1) / (3 − 1) = (3ⁿ − 1) / 2</w:t>
      </w:r>
    </w:p>
    <w:p>
      <w:pPr>
        <w:spacing w:after="120" w:line="276"/>
      </w:pPr>
      <w:r>
        <w:rPr>
          <w:rFonts w:ascii="Century Gothic" w:cs="Century Gothic" w:eastAsia="Century Gothic" w:hAnsi="Century Gothic"/>
          <w:color w:val="C9C1B4"/>
          <w:sz w:val="22"/>
          <w:szCs w:val="22"/>
        </w:rPr>
        <w:t xml:space="preserve">Each repunit satisfies the recurrence Rₙ₊₁ = 3Rₙ + 1 with R₁ = 1. The first six members are: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1200"/>
      </w:tblGrid>
      <w:tr>
        <w:tc>
          <w:tcPr>
            <w:tcW w:type="dxa" w:w="8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left"/>
            </w:pPr>
            <w:r>
              <w:rPr>
                <w:rFonts w:ascii="Century Gothic" w:cs="Century Gothic" w:eastAsia="Century Gothic" w:hAnsi="Century Gothic"/>
                <w:b/>
                <w:bCs/>
                <w:color w:val="F0EDE8"/>
                <w:sz w:val="20"/>
                <w:szCs w:val="20"/>
              </w:rPr>
              <w:t xml:space="preserve">n</w:t>
            </w:r>
          </w:p>
        </w:tc>
        <w:tc>
          <w:tcPr>
            <w:tcW w:type="dxa" w:w="14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Rₙ = (3ⁿ−1)/2</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Value</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Framework role</w:t>
            </w:r>
          </w:p>
        </w:tc>
      </w:tr>
      <w:tr>
        <w:tc>
          <w:tcPr>
            <w:tcW w:type="dxa" w:w="8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1</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(3¹−1)/2</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Unity</w:t>
            </w:r>
          </w:p>
        </w:tc>
      </w:tr>
      <w:tr>
        <w:tc>
          <w:tcPr>
            <w:tcW w:type="dxa" w:w="8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2</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(3²−1)/2</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NULL_CHANNEL_MOD</w:t>
            </w:r>
          </w:p>
        </w:tc>
      </w:tr>
      <w:tr>
        <w:tc>
          <w:tcPr>
            <w:tcW w:type="dxa" w:w="8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3</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(3³−1)/2</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13</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Radian (R₃)</w:t>
            </w:r>
          </w:p>
        </w:tc>
      </w:tr>
      <w:tr>
        <w:tc>
          <w:tcPr>
            <w:tcW w:type="dxa" w:w="8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4</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(3⁴−1)/2</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40</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Vieta sum (R₄)</w:t>
            </w:r>
          </w:p>
        </w:tc>
      </w:tr>
      <w:tr>
        <w:tc>
          <w:tcPr>
            <w:tcW w:type="dxa" w:w="8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5</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(3⁵−1)/2</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121</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11²</w:t>
            </w:r>
          </w:p>
        </w:tc>
      </w:tr>
      <w:tr>
        <w:tc>
          <w:tcPr>
            <w:tcW w:type="dxa" w:w="8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6</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(3⁶−1)/2</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364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Full circle (R₆)</w:t>
            </w:r>
          </w:p>
        </w:tc>
      </w:tr>
    </w:tbl>
    <w:p>
      <w:pPr>
        <w:spacing w:after="80" w:before="80"/>
      </w:pPr>
    </w:p>
    <w:p>
      <w:pPr>
        <w:spacing w:after="120" w:line="276"/>
      </w:pPr>
      <w:r>
        <w:rPr>
          <w:rFonts w:ascii="Century Gothic" w:cs="Century Gothic" w:eastAsia="Century Gothic" w:hAnsi="Century Gothic"/>
          <w:color w:val="C9C1B4"/>
          <w:sz w:val="22"/>
          <w:szCs w:val="22"/>
        </w:rPr>
        <w:t xml:space="preserve">R₆ = 364 is the full-circle constant. Its base-3 representation is 111111₃ — six ternary digits, all ones. This is exact integer arithmetic; no approximation has been made.</w:t>
      </w:r>
    </w:p>
    <w:p>
      <w:pPr>
        <w:pStyle w:val="Heading1"/>
        <w:spacing w:after="160" w:before="360"/>
      </w:pPr>
      <w:r>
        <w:rPr>
          <w:rFonts w:ascii="Felix Titling" w:cs="Felix Titling" w:eastAsia="Felix Titling" w:hAnsi="Felix Titling"/>
          <w:b/>
          <w:bCs/>
          <w:color w:val="F0EDE8"/>
          <w:sz w:val="36"/>
          <w:szCs w:val="36"/>
        </w:rPr>
        <w:t xml:space="preserve">§2  Circle Quadratic</w:t>
      </w:r>
    </w:p>
    <w:p>
      <w:pPr>
        <w:spacing w:after="120" w:line="276"/>
      </w:pPr>
      <w:r>
        <w:rPr>
          <w:rFonts w:ascii="Century Gothic" w:cs="Century Gothic" w:eastAsia="Century Gothic" w:hAnsi="Century Gothic"/>
          <w:color w:val="C9C1B4"/>
          <w:sz w:val="22"/>
          <w:szCs w:val="22"/>
        </w:rPr>
        <w:t xml:space="preserve">The circle quadratic is the unique monic polynomial whose coefficients are adjacent repunits:</w:t>
      </w:r>
    </w:p>
    <w:p>
      <w:pPr>
        <w:spacing w:after="160" w:before="160"/>
        <w:jc w:val="center"/>
      </w:pPr>
      <w:r>
        <w:rPr>
          <w:rFonts w:ascii="Consolas" w:cs="Consolas" w:eastAsia="Consolas" w:hAnsi="Consolas"/>
          <w:b/>
          <w:bCs/>
          <w:color w:val="4A9EF5"/>
          <w:sz w:val="24"/>
          <w:szCs w:val="24"/>
        </w:rPr>
        <w:t xml:space="preserve">x² − R₄·x + R₆ = 0    →    x² − 40x + 364 = 0</w:t>
      </w:r>
    </w:p>
    <w:p>
      <w:pPr>
        <w:spacing w:after="120" w:line="276"/>
      </w:pPr>
      <w:r>
        <w:rPr>
          <w:rFonts w:ascii="Century Gothic" w:cs="Century Gothic" w:eastAsia="Century Gothic" w:hAnsi="Century Gothic"/>
          <w:color w:val="C9C1B4"/>
          <w:sz w:val="22"/>
          <w:szCs w:val="22"/>
        </w:rPr>
        <w:t xml:space="preserve">By Vieta’s formulas, the roots x₁, x₂ satisfy x₁ + x₂ = R₄ = 40 and x₁ × x₂ = R₆ = 364. The discriminant is:</w:t>
      </w:r>
    </w:p>
    <w:p>
      <w:pPr>
        <w:spacing w:after="160" w:before="160"/>
        <w:jc w:val="center"/>
      </w:pPr>
      <w:r>
        <w:rPr>
          <w:rFonts w:ascii="Consolas" w:cs="Consolas" w:eastAsia="Consolas" w:hAnsi="Consolas"/>
          <w:b/>
          <w:bCs/>
          <w:color w:val="4A9EF5"/>
          <w:sz w:val="24"/>
          <w:szCs w:val="24"/>
        </w:rPr>
        <w:t xml:space="preserve">Δ = R₄² − 4R₆ = 1600 − 1456 = 144 = 12²</w:t>
      </w:r>
    </w:p>
    <w:p>
      <w:pPr>
        <w:spacing w:after="120" w:line="276"/>
      </w:pPr>
      <w:r>
        <w:rPr>
          <w:rFonts w:ascii="Century Gothic" w:cs="Century Gothic" w:eastAsia="Century Gothic" w:hAnsi="Century Gothic"/>
          <w:color w:val="C9C1B4"/>
          <w:sz w:val="22"/>
          <w:szCs w:val="22"/>
        </w:rPr>
        <w:t xml:space="preserve">Both roots are integers:</w:t>
      </w:r>
    </w:p>
    <w:p>
      <w:pPr>
        <w:spacing w:after="160" w:before="160"/>
        <w:jc w:val="center"/>
      </w:pPr>
      <w:r>
        <w:rPr>
          <w:rFonts w:ascii="Consolas" w:cs="Consolas" w:eastAsia="Consolas" w:hAnsi="Consolas"/>
          <w:b/>
          <w:bCs/>
          <w:color w:val="4A9EF5"/>
          <w:sz w:val="24"/>
          <w:szCs w:val="24"/>
        </w:rPr>
        <w:t xml:space="preserve">x₁ = (40 − 12)/2 = 14 = π     x₂ = (40 + 12)/2 = 26</w:t>
      </w:r>
    </w:p>
    <w:p>
      <w:pPr>
        <w:spacing w:after="120" w:line="276"/>
      </w:pPr>
      <w:r>
        <w:rPr>
          <w:rFonts w:ascii="Century Gothic" w:cs="Century Gothic" w:eastAsia="Century Gothic" w:hAnsi="Century Gothic"/>
          <w:color w:val="C9C1B4"/>
          <w:sz w:val="22"/>
          <w:szCs w:val="22"/>
        </w:rPr>
        <w:t xml:space="preserve">The smaller root x₁ = 14 is designated π within the framework. The framework’s π is not the transcendental number 3.14159…; it is an exact integer derived from the ternary repunit quadratic.</w:t>
      </w:r>
    </w:p>
    <w:p>
      <w:pPr>
        <w:pStyle w:val="Heading1"/>
        <w:spacing w:after="160" w:before="360"/>
      </w:pPr>
      <w:r>
        <w:rPr>
          <w:rFonts w:ascii="Felix Titling" w:cs="Felix Titling" w:eastAsia="Felix Titling" w:hAnsi="Felix Titling"/>
          <w:b/>
          <w:bCs/>
          <w:color w:val="F0EDE8"/>
          <w:sz w:val="36"/>
          <w:szCs w:val="36"/>
        </w:rPr>
        <w:t xml:space="preserve">§3  Cyclic Group Z₂₈</w:t>
      </w:r>
    </w:p>
    <w:p>
      <w:pPr>
        <w:spacing w:after="120" w:line="276"/>
      </w:pPr>
      <w:r>
        <w:rPr>
          <w:rFonts w:ascii="Century Gothic" w:cs="Century Gothic" w:eastAsia="Century Gothic" w:hAnsi="Century Gothic"/>
          <w:color w:val="C9C1B4"/>
          <w:sz w:val="22"/>
          <w:szCs w:val="22"/>
        </w:rPr>
        <w:t xml:space="preserve">The cyclic order 2π = 28 generates the group Z₂₈ with angular step 1 radian = R₃ = 13°. The full circle is:</w:t>
      </w:r>
    </w:p>
    <w:p>
      <w:pPr>
        <w:spacing w:after="160" w:before="160"/>
        <w:jc w:val="center"/>
      </w:pPr>
      <w:r>
        <w:rPr>
          <w:rFonts w:ascii="Consolas" w:cs="Consolas" w:eastAsia="Consolas" w:hAnsi="Consolas"/>
          <w:b/>
          <w:bCs/>
          <w:color w:val="4A9EF5"/>
          <w:sz w:val="24"/>
          <w:szCs w:val="24"/>
        </w:rPr>
        <w:t xml:space="preserve">2π × R₃ = 28 × 13 = 364 = R₆</w:t>
      </w:r>
    </w:p>
    <w:p>
      <w:pPr>
        <w:spacing w:after="120" w:line="276"/>
      </w:pPr>
      <w:r>
        <w:rPr>
          <w:rFonts w:ascii="Century Gothic" w:cs="Century Gothic" w:eastAsia="Century Gothic" w:hAnsi="Century Gothic"/>
          <w:color w:val="C9C1B4"/>
          <w:sz w:val="22"/>
          <w:szCs w:val="22"/>
        </w:rPr>
        <w:t xml:space="preserve">This identity is not a numerical coincidence: it is the definition of the ternary angular system. The circle has 28 radians of 13° each, totalling R₆ = 364°.</w:t>
      </w:r>
    </w:p>
    <w:p>
      <w:pPr>
        <w:pStyle w:val="Heading1"/>
        <w:spacing w:after="160" w:before="360"/>
      </w:pPr>
      <w:r>
        <w:rPr>
          <w:rFonts w:ascii="Felix Titling" w:cs="Felix Titling" w:eastAsia="Felix Titling" w:hAnsi="Felix Titling"/>
          <w:b/>
          <w:bCs/>
          <w:color w:val="F0EDE8"/>
          <w:sz w:val="36"/>
          <w:szCs w:val="36"/>
        </w:rPr>
        <w:t xml:space="preserve">§4  Quarter-Turn</w:t>
      </w:r>
    </w:p>
    <w:p>
      <w:pPr>
        <w:spacing w:after="120" w:line="276"/>
      </w:pPr>
      <w:r>
        <w:rPr>
          <w:rFonts w:ascii="Century Gothic" w:cs="Century Gothic" w:eastAsia="Century Gothic" w:hAnsi="Century Gothic"/>
          <w:color w:val="C9C1B4"/>
          <w:sz w:val="22"/>
          <w:szCs w:val="22"/>
        </w:rPr>
        <w:t xml:space="preserve">The quarter-turn is R₆/4 = 364/4 = 91. This integer admits three independent decompositions:</w:t>
      </w:r>
    </w:p>
    <w:p>
      <w:pPr>
        <w:spacing w:after="120" w:line="276"/>
      </w:pPr>
      <w:r>
        <w:rPr>
          <w:rFonts w:ascii="Century Gothic" w:cs="Century Gothic" w:eastAsia="Century Gothic" w:hAnsi="Century Gothic"/>
          <w:b/>
          <w:bCs/>
          <w:color w:val="C9C1B4"/>
          <w:sz w:val="22"/>
          <w:szCs w:val="22"/>
        </w:rPr>
        <w:t xml:space="preserve">Product: </w:t>
      </w:r>
      <w:r>
        <w:rPr>
          <w:rFonts w:ascii="Century Gothic" w:cs="Century Gothic" w:eastAsia="Century Gothic" w:hAnsi="Century Gothic"/>
          <w:color w:val="C9C1B4"/>
          <w:sz w:val="22"/>
          <w:szCs w:val="22"/>
        </w:rPr>
        <w:t xml:space="preserve">91 = 7 × 13 = 7 × R₃. Seven ternary radians.</w:t>
      </w:r>
    </w:p>
    <w:p>
      <w:pPr>
        <w:spacing w:after="120" w:line="276"/>
      </w:pPr>
      <w:r>
        <w:rPr>
          <w:rFonts w:ascii="Century Gothic" w:cs="Century Gothic" w:eastAsia="Century Gothic" w:hAnsi="Century Gothic"/>
          <w:b/>
          <w:bCs/>
          <w:color w:val="C9C1B4"/>
          <w:sz w:val="22"/>
          <w:szCs w:val="22"/>
        </w:rPr>
        <w:t xml:space="preserve">Triangular number: </w:t>
      </w:r>
      <w:r>
        <w:rPr>
          <w:rFonts w:ascii="Century Gothic" w:cs="Century Gothic" w:eastAsia="Century Gothic" w:hAnsi="Century Gothic"/>
          <w:color w:val="C9C1B4"/>
          <w:sz w:val="22"/>
          <w:szCs w:val="22"/>
        </w:rPr>
        <w:t xml:space="preserve">91 = Tri(13) = 13 × 14/2 = R₃ × π / 2. The 13th triangular number.</w:t>
      </w:r>
    </w:p>
    <w:p>
      <w:pPr>
        <w:spacing w:after="120" w:line="276"/>
      </w:pPr>
      <w:r>
        <w:rPr>
          <w:rFonts w:ascii="Century Gothic" w:cs="Century Gothic" w:eastAsia="Century Gothic" w:hAnsi="Century Gothic"/>
          <w:b/>
          <w:bCs/>
          <w:color w:val="C9C1B4"/>
          <w:sz w:val="22"/>
          <w:szCs w:val="22"/>
        </w:rPr>
        <w:t xml:space="preserve">Radian count: </w:t>
      </w:r>
      <w:r>
        <w:rPr>
          <w:rFonts w:ascii="Century Gothic" w:cs="Century Gothic" w:eastAsia="Century Gothic" w:hAnsi="Century Gothic"/>
          <w:color w:val="C9C1B4"/>
          <w:sz w:val="22"/>
          <w:szCs w:val="22"/>
        </w:rPr>
        <w:t xml:space="preserve">91° = 7 radians in Z₂₈ (since 7 × 13 = 91).</w:t>
      </w:r>
    </w:p>
    <w:p>
      <w:pPr>
        <w:spacing w:after="120" w:line="276"/>
      </w:pPr>
      <w:r>
        <w:rPr>
          <w:rFonts w:ascii="Century Gothic" w:cs="Century Gothic" w:eastAsia="Century Gothic" w:hAnsi="Century Gothic"/>
          <w:color w:val="C9C1B4"/>
          <w:sz w:val="22"/>
          <w:szCs w:val="22"/>
        </w:rPr>
        <w:t xml:space="preserve">The quarter-turn 91 is the terminal output of Part I. It is an exact integer, derived without reference to any physical measurement.</w:t>
      </w:r>
    </w:p>
    <w:p>
      <w:pPr>
        <w:pBdr>
          <w:top w:val="single" w:color="4A9EF5" w:sz="2" w:space="6"/>
          <w:bottom w:val="single" w:color="4A9EF5" w:sz="2" w:space="6"/>
        </w:pBdr>
        <w:spacing w:after="200" w:before="300"/>
        <w:jc w:val="center"/>
      </w:pPr>
      <w:r>
        <w:rPr>
          <w:rFonts w:ascii="Felix Titling" w:cs="Felix Titling" w:eastAsia="Felix Titling" w:hAnsi="Felix Titling"/>
          <w:color w:val="4A9EF5"/>
          <w:sz w:val="26"/>
          <w:szCs w:val="26"/>
        </w:rPr>
        <w:t xml:space="preserve">PART II — THE BRIDGE</w:t>
      </w:r>
    </w:p>
    <w:p>
      <w:pPr>
        <w:spacing w:after="100" w:line="260"/>
        <w:ind w:left="360"/>
      </w:pPr>
      <w:r>
        <w:rPr>
          <w:rFonts w:ascii="Century Gothic" w:cs="Century Gothic" w:eastAsia="Century Gothic" w:hAnsi="Century Gothic"/>
          <w:i/>
          <w:iCs/>
          <w:color w:val="998F82"/>
          <w:sz w:val="20"/>
          <w:szCs w:val="20"/>
        </w:rPr>
        <w:t xml:space="preserve">One empirical identification connects the integer framework to physical measurement.</w:t>
      </w:r>
    </w:p>
    <w:p>
      <w:pPr>
        <w:pStyle w:val="Heading1"/>
        <w:spacing w:after="160" w:before="360"/>
      </w:pPr>
      <w:r>
        <w:rPr>
          <w:rFonts w:ascii="Felix Titling" w:cs="Felix Titling" w:eastAsia="Felix Titling" w:hAnsi="Felix Titling"/>
          <w:b/>
          <w:bCs/>
          <w:color w:val="F0EDE8"/>
          <w:sz w:val="36"/>
          <w:szCs w:val="36"/>
        </w:rPr>
        <w:t xml:space="preserve">§5  The Bridge: R₆/4 and 1/R∞</w:t>
      </w:r>
    </w:p>
    <w:p>
      <w:pPr>
        <w:spacing w:after="120" w:line="276"/>
      </w:pPr>
      <w:r>
        <w:rPr>
          <w:rFonts w:ascii="Century Gothic" w:cs="Century Gothic" w:eastAsia="Century Gothic" w:hAnsi="Century Gothic"/>
          <w:color w:val="C9C1B4"/>
          <w:sz w:val="22"/>
          <w:szCs w:val="22"/>
        </w:rPr>
        <w:t xml:space="preserve">Part I derives the integer 91 = R₆/4 from the sole axiom Rₙ = (3ⁿ − 1)/2. No physical measurement is used; the derivation is closed within ternary arithmetic. Independently, experimental physics measures the inverse Rydberg constant:</w:t>
      </w:r>
    </w:p>
    <w:p>
      <w:pPr>
        <w:spacing w:after="160" w:before="160"/>
        <w:jc w:val="center"/>
      </w:pPr>
      <w:r>
        <w:rPr>
          <w:rFonts w:ascii="Consolas" w:cs="Consolas" w:eastAsia="Consolas" w:hAnsi="Consolas"/>
          <w:b/>
          <w:bCs/>
          <w:color w:val="4A9EF5"/>
          <w:sz w:val="24"/>
          <w:szCs w:val="24"/>
        </w:rPr>
        <w:t xml:space="preserve">1/R∞ = 91.127 nm    (CODATA 2022, infinite nuclear mass)</w:t>
      </w:r>
    </w:p>
    <w:p>
      <w:pPr>
        <w:spacing w:after="120" w:line="276"/>
      </w:pPr>
      <w:r>
        <w:rPr>
          <w:rFonts w:ascii="Century Gothic" w:cs="Century Gothic" w:eastAsia="Century Gothic" w:hAnsi="Century Gothic"/>
          <w:color w:val="C9C1B4"/>
          <w:sz w:val="22"/>
          <w:szCs w:val="22"/>
        </w:rPr>
        <w:t xml:space="preserve">This is the Lyman series limit — the shortest wavelength hydrogen can emit. The framework’s quarter-turn and the Lyman limit are two numbers produced by two independent processes — one algebraic, one experimental — that land 0.127 nm apart (−0.139%).</w:t>
      </w:r>
    </w:p>
    <w:p>
      <w:pPr>
        <w:spacing w:after="160" w:before="160"/>
        <w:jc w:val="center"/>
      </w:pPr>
      <w:r>
        <w:rPr>
          <w:rFonts w:ascii="Consolas" w:cs="Consolas" w:eastAsia="Consolas" w:hAnsi="Consolas"/>
          <w:b/>
          <w:bCs/>
          <w:color w:val="4A9EF5"/>
          <w:sz w:val="24"/>
          <w:szCs w:val="24"/>
        </w:rPr>
        <w:t xml:space="preserve">R₆/4 = 91    (derived from axiom)    |    1/R∞ = 91.127    (measured in lab)</w:t>
      </w:r>
    </w:p>
    <w:p>
      <w:pPr>
        <w:spacing w:after="120" w:line="276"/>
      </w:pPr>
      <w:r>
        <w:rPr>
          <w:rFonts w:ascii="Century Gothic" w:cs="Century Gothic" w:eastAsia="Century Gothic" w:hAnsi="Century Gothic"/>
          <w:color w:val="C9C1B4"/>
          <w:sz w:val="22"/>
          <w:szCs w:val="22"/>
        </w:rPr>
        <w:t xml:space="preserve">The framework does not import, assume, or require R∞. It produces 91 from its axiom and stops. The proximity to 1/R∞ is a fact about nature — hydrogen’s spectral structure lands near a ternary repunit quarter-turn. The framework did not engineer this; it discovered it.</w:t>
      </w:r>
    </w:p>
    <w:p>
      <w:pPr>
        <w:pStyle w:val="Heading2"/>
        <w:spacing w:after="160" w:before="240"/>
      </w:pPr>
      <w:r>
        <w:rPr>
          <w:rFonts w:ascii="Felix Titling" w:cs="Felix Titling" w:eastAsia="Felix Titling" w:hAnsi="Felix Titling"/>
          <w:b/>
          <w:bCs/>
          <w:color w:val="F0EDE8"/>
          <w:sz w:val="28"/>
          <w:szCs w:val="28"/>
        </w:rPr>
        <w:t xml:space="preserve">§5.1  What the Bridge Is and Is Not</w:t>
      </w:r>
    </w:p>
    <w:p>
      <w:pPr>
        <w:spacing w:after="120" w:line="276"/>
      </w:pPr>
      <w:r>
        <w:rPr>
          <w:rFonts w:ascii="Century Gothic" w:cs="Century Gothic" w:eastAsia="Century Gothic" w:hAnsi="Century Gothic"/>
          <w:color w:val="C9C1B4"/>
          <w:sz w:val="22"/>
          <w:szCs w:val="22"/>
        </w:rPr>
        <w:t xml:space="preserve">The bridge is the observation that R₆/4 ≈ 1/R∞. It is not an axiom, not an input, and not a calibration step. The framework’s integer results (Part III) exist with or without the bridge — 1872 = 13 × 144 regardless of whether anyone compares it to a laboratory wavelength. The bridge makes the integers physically interpretable; it does not make them mathematically valid.</w:t>
      </w:r>
    </w:p>
    <w:p>
      <w:pPr>
        <w:spacing w:after="120" w:line="276"/>
      </w:pPr>
      <w:r>
        <w:rPr>
          <w:rFonts w:ascii="Century Gothic" w:cs="Century Gothic" w:eastAsia="Century Gothic" w:hAnsi="Century Gothic"/>
          <w:color w:val="C9C1B4"/>
          <w:sz w:val="22"/>
          <w:szCs w:val="22"/>
        </w:rPr>
        <w:t xml:space="preserve">R∞ = mₑe⁴/(8ε₀²h³c) is a product of fundamental constants that the ternary axiom does not generate. The framework does not claim to derive R∞. It claims that the quarter-turn it derives from one axiom (91) is within 0.139% of the value physics measures for the Lyman limit (91.127 nm). Combined with the standard Rydberg formula — which is physics, not framework mathematics — this proximity generates the spectral correspondence of Part III.</w:t>
      </w:r>
    </w:p>
    <w:p>
      <w:pPr>
        <w:spacing w:after="120" w:line="276"/>
      </w:pPr>
      <w:r>
        <w:rPr>
          <w:rFonts w:ascii="Century Gothic" w:cs="Century Gothic" w:eastAsia="Century Gothic" w:hAnsi="Century Gothic"/>
          <w:color w:val="C9C1B4"/>
          <w:sz w:val="22"/>
          <w:szCs w:val="22"/>
        </w:rPr>
        <w:t xml:space="preserve">The Balmer constant B = 4/R∞ = 364.507 nm coincides with R₆ = 364 at the same −0.139% offset. This is not independent: B = 4 × (1/R∞) and R₆ = 4 × (R₆/4), so the offset propagates identically.</w:t>
      </w:r>
    </w:p>
    <w:p>
      <w:pPr>
        <w:pStyle w:val="Heading2"/>
        <w:spacing w:after="160" w:before="240"/>
      </w:pPr>
      <w:r>
        <w:rPr>
          <w:rFonts w:ascii="Felix Titling" w:cs="Felix Titling" w:eastAsia="Felix Titling" w:hAnsi="Felix Titling"/>
          <w:b/>
          <w:bCs/>
          <w:color w:val="F0EDE8"/>
          <w:sz w:val="28"/>
          <w:szCs w:val="28"/>
        </w:rPr>
        <w:t xml:space="preserve">§5.2  Offset Decomposition</w:t>
      </w:r>
    </w:p>
    <w:p>
      <w:pPr>
        <w:spacing w:after="120" w:line="276"/>
      </w:pPr>
      <w:r>
        <w:rPr>
          <w:rFonts w:ascii="Century Gothic" w:cs="Century Gothic" w:eastAsia="Century Gothic" w:hAnsi="Century Gothic"/>
          <w:color w:val="C9C1B4"/>
          <w:sz w:val="22"/>
          <w:szCs w:val="22"/>
        </w:rPr>
        <w:t xml:space="preserve">The offset between R₆/4 and the physical hydrogen Lyman limit decomposes into two components:</w:t>
      </w:r>
    </w:p>
    <w:p>
      <w:pPr>
        <w:spacing w:after="120" w:line="276"/>
      </w:pPr>
      <w:r>
        <w:rPr>
          <w:rFonts w:ascii="Century Gothic" w:cs="Century Gothic" w:eastAsia="Century Gothic" w:hAnsi="Century Gothic"/>
          <w:b/>
          <w:bCs/>
          <w:color w:val="C9C1B4"/>
          <w:sz w:val="22"/>
          <w:szCs w:val="22"/>
        </w:rPr>
        <w:t xml:space="preserve">Universal (−0.139%): </w:t>
      </w:r>
      <w:r>
        <w:rPr>
          <w:rFonts w:ascii="Century Gothic" w:cs="Century Gothic" w:eastAsia="Century Gothic" w:hAnsi="Century Gothic"/>
          <w:color w:val="C9C1B4"/>
          <w:sz w:val="22"/>
          <w:szCs w:val="22"/>
        </w:rPr>
        <w:t xml:space="preserve">R₆/4 = 91 vs 1/R∞ = 91.127 nm. R∞ assumes infinite nuclear mass and applies to all hydrogen-like atoms.</w:t>
      </w:r>
    </w:p>
    <w:p>
      <w:pPr>
        <w:spacing w:after="120" w:line="276"/>
      </w:pPr>
      <w:r>
        <w:rPr>
          <w:rFonts w:ascii="Century Gothic" w:cs="Century Gothic" w:eastAsia="Century Gothic" w:hAnsi="Century Gothic"/>
          <w:b/>
          <w:bCs/>
          <w:color w:val="C9C1B4"/>
          <w:sz w:val="22"/>
          <w:szCs w:val="22"/>
        </w:rPr>
        <w:t xml:space="preserve">Reduced-mass (−0.055%): </w:t>
      </w:r>
      <w:r>
        <w:rPr>
          <w:rFonts w:ascii="Century Gothic" w:cs="Century Gothic" w:eastAsia="Century Gothic" w:hAnsi="Century Gothic"/>
          <w:color w:val="C9C1B4"/>
          <w:sz w:val="22"/>
          <w:szCs w:val="22"/>
        </w:rPr>
        <w:t xml:space="preserve">Physical hydrogen has finite proton mass. R_H = R∞/(1 + mₑ/mₚ) shifts the Lyman limit to 1/R_H = 91.176 nm. The vacuum bias VACUUM_BIAS_NUM/DEN = 193/100,000 captures this correction in unified_constants.rs.</w:t>
      </w:r>
    </w:p>
    <w:p>
      <w:pPr>
        <w:spacing w:after="120" w:line="276"/>
      </w:pPr>
      <w:r>
        <w:rPr>
          <w:rFonts w:ascii="Century Gothic" w:cs="Century Gothic" w:eastAsia="Century Gothic" w:hAnsi="Century Gothic"/>
          <w:color w:val="C9C1B4"/>
          <w:sz w:val="22"/>
          <w:szCs w:val="22"/>
        </w:rPr>
        <w:t xml:space="preserve">Combined offset: −0.193%. For individual spectral lines measured in air (CODATA), the observed error is approximately −0.165%, reflecting a mix of these components plus air-vs-vacuum refractive index conventions.</w:t>
      </w:r>
    </w:p>
    <w:p>
      <w:pPr>
        <w:pStyle w:val="Heading2"/>
        <w:spacing w:after="160" w:before="240"/>
      </w:pPr>
      <w:r>
        <w:rPr>
          <w:rFonts w:ascii="Felix Titling" w:cs="Felix Titling" w:eastAsia="Felix Titling" w:hAnsi="Felix Titling"/>
          <w:b/>
          <w:bCs/>
          <w:color w:val="F0EDE8"/>
          <w:sz w:val="28"/>
          <w:szCs w:val="28"/>
        </w:rPr>
        <w:t xml:space="preserve">§5.3  The Residual as Geometric Floor</w:t>
      </w:r>
    </w:p>
    <w:p>
      <w:pPr>
        <w:spacing w:after="120" w:line="276"/>
      </w:pPr>
      <w:r>
        <w:rPr>
          <w:rFonts w:ascii="Century Gothic" w:cs="Century Gothic" w:eastAsia="Century Gothic" w:hAnsi="Century Gothic"/>
          <w:color w:val="C9C1B4"/>
          <w:sz w:val="22"/>
          <w:szCs w:val="22"/>
        </w:rPr>
        <w:t xml:space="preserve">The Buried Question (v9.3.3ad) establishes that within the Salvi Framework, the infimum of entropy across all admissible representations is bounded below by a strictly positive geometric floor — the cone-point obstruction. Every torus walk has at least one fixed point under its symmetry group, and that fixed point contributes irreducible information to the entropy.</w:t>
      </w:r>
    </w:p>
    <w:p>
      <w:pPr>
        <w:spacing w:after="120" w:line="276"/>
      </w:pPr>
      <w:r>
        <w:rPr>
          <w:rFonts w:ascii="Century Gothic" w:cs="Century Gothic" w:eastAsia="Century Gothic" w:hAnsi="Century Gothic"/>
          <w:color w:val="C9C1B4"/>
          <w:sz w:val="22"/>
          <w:szCs w:val="22"/>
        </w:rPr>
        <w:t xml:space="preserve">The spectral offset κ − 1 = +0.139% is the cone-point floor of the hydrogen spectral walk. It is the residual information that the repunit basis cannot capture: the gap between R₆/4 = 91 (the framework’s integer quarter-turn) and 1/R∞ = 91.127 nm (the physical Lyman limit). This residual has the defining properties of a geometric floor:</w:t>
      </w:r>
    </w:p>
    <w:p>
      <w:pPr>
        <w:spacing w:after="120" w:line="276"/>
      </w:pPr>
      <w:r>
        <w:rPr>
          <w:rFonts w:ascii="Century Gothic" w:cs="Century Gothic" w:eastAsia="Century Gothic" w:hAnsi="Century Gothic"/>
          <w:b/>
          <w:bCs/>
          <w:color w:val="C9C1B4"/>
          <w:sz w:val="22"/>
          <w:szCs w:val="22"/>
        </w:rPr>
        <w:t xml:space="preserve">Strictly positive: </w:t>
      </w:r>
      <w:r>
        <w:rPr>
          <w:rFonts w:ascii="Century Gothic" w:cs="Century Gothic" w:eastAsia="Century Gothic" w:hAnsi="Century Gothic"/>
          <w:color w:val="C9C1B4"/>
          <w:sz w:val="22"/>
          <w:szCs w:val="22"/>
        </w:rPr>
        <w:t xml:space="preserve">0.127 nm &gt; 0. The residual cannot be driven to zero within the integer framework.</w:t>
      </w:r>
    </w:p>
    <w:p>
      <w:pPr>
        <w:spacing w:after="120" w:line="276"/>
      </w:pPr>
      <w:r>
        <w:rPr>
          <w:rFonts w:ascii="Century Gothic" w:cs="Century Gothic" w:eastAsia="Century Gothic" w:hAnsi="Century Gothic"/>
          <w:b/>
          <w:bCs/>
          <w:color w:val="C9C1B4"/>
          <w:sz w:val="22"/>
          <w:szCs w:val="22"/>
        </w:rPr>
        <w:t xml:space="preserve">Uniform: </w:t>
      </w:r>
      <w:r>
        <w:rPr>
          <w:rFonts w:ascii="Century Gothic" w:cs="Century Gothic" w:eastAsia="Century Gothic" w:hAnsi="Century Gothic"/>
          <w:color w:val="C9C1B4"/>
          <w:sz w:val="22"/>
          <w:szCs w:val="22"/>
        </w:rPr>
        <w:t xml:space="preserve">It propagates identically (× κ) through every line of every series, because it enters as a multiplicative prefactor. No line-dependent or series-dependent variation exists.</w:t>
      </w:r>
    </w:p>
    <w:p>
      <w:pPr>
        <w:spacing w:after="120" w:line="276"/>
      </w:pPr>
      <w:r>
        <w:rPr>
          <w:rFonts w:ascii="Century Gothic" w:cs="Century Gothic" w:eastAsia="Century Gothic" w:hAnsi="Century Gothic"/>
          <w:b/>
          <w:bCs/>
          <w:color w:val="C9C1B4"/>
          <w:sz w:val="22"/>
          <w:szCs w:val="22"/>
        </w:rPr>
        <w:t xml:space="preserve">Irreducible within the axioms: </w:t>
      </w:r>
      <w:r>
        <w:rPr>
          <w:rFonts w:ascii="Century Gothic" w:cs="Century Gothic" w:eastAsia="Century Gothic" w:hAnsi="Century Gothic"/>
          <w:color w:val="C9C1B4"/>
          <w:sz w:val="22"/>
          <w:szCs w:val="22"/>
        </w:rPr>
        <w:t xml:space="preserve">The bridge coefficient κ = 1.00139 has no clean framework-rational expression. It depends on R∞ = mₑe⁴/(8ε₀²h³c), which lies outside the ternary axiom’s derivation chain. Multiplying by κ maps framework integers to values nearer CODATA measurements (≈0.03% vs ≈0.17%), but the products are no longer integers and no longer factorise: 1872 × κ = 1874.61 ≠ 13 × 144; 1092 × κ = 1093.52 ≠ 3 × 364. The identities exist in the integer domain. The bridge coefficient lives outside it.</w:t>
      </w:r>
    </w:p>
    <w:p>
      <w:pPr>
        <w:spacing w:after="120" w:line="276"/>
      </w:pPr>
      <w:r>
        <w:rPr>
          <w:rFonts w:ascii="Century Gothic" w:cs="Century Gothic" w:eastAsia="Century Gothic" w:hAnsi="Century Gothic"/>
          <w:color w:val="C9C1B4"/>
          <w:sz w:val="22"/>
          <w:szCs w:val="22"/>
        </w:rPr>
        <w:t xml:space="preserve">This is not a defect. The Buried Question’s central result is that the floor is positive — the cone points are the rock that remains. The spectral residual is that rock. The framework characterizes it exactly (κ = 91.127/91) and bounds it (&lt; 0.2% for all series).</w:t>
      </w:r>
    </w:p>
    <w:p>
      <w:pPr>
        <w:pStyle w:val="Heading2"/>
        <w:spacing w:after="160" w:before="240"/>
      </w:pPr>
      <w:r>
        <w:rPr>
          <w:rFonts w:ascii="Felix Titling" w:cs="Felix Titling" w:eastAsia="Felix Titling" w:hAnsi="Felix Titling"/>
          <w:b/>
          <w:bCs/>
          <w:color w:val="F0EDE8"/>
          <w:sz w:val="28"/>
          <w:szCs w:val="28"/>
        </w:rPr>
        <w:t xml:space="preserve">§5.4  Repunit Alignment of Hydrogen</w:t>
      </w:r>
    </w:p>
    <w:p>
      <w:pPr>
        <w:spacing w:after="120" w:line="276"/>
      </w:pPr>
      <w:r>
        <w:rPr>
          <w:rFonts w:ascii="Century Gothic" w:cs="Century Gothic" w:eastAsia="Century Gothic" w:hAnsi="Century Gothic"/>
          <w:color w:val="C9C1B4"/>
          <w:sz w:val="22"/>
          <w:szCs w:val="22"/>
        </w:rPr>
        <w:t xml:space="preserve">The Balmer constant B = 4/R∞ = 364.507 nm. The ternary repunit R₆ = (3⁶ − 1)/2 = 364. These differ by 0.507 nm (−0.139%). The Buried Question provides the lens through which to read this fact.</w:t>
      </w:r>
    </w:p>
    <w:p>
      <w:pPr>
        <w:spacing w:after="120" w:line="276"/>
      </w:pPr>
      <w:r>
        <w:rPr>
          <w:rFonts w:ascii="Century Gothic" w:cs="Century Gothic" w:eastAsia="Century Gothic" w:hAnsi="Century Gothic"/>
          <w:color w:val="C9C1B4"/>
          <w:sz w:val="22"/>
          <w:szCs w:val="22"/>
        </w:rPr>
        <w:t xml:space="preserve">The framework does not claim to derive R∞ from ternary axioms, just as Euclidean geometry does not derive the flatness of physical space. What the framework does is provide a representation basis — the repunit family — and measure how tightly a given dataset aligns with that basis. Tight alignment means many structural zeros in the repunit decomposition; loose alignment means few. The alignment measure is the entropy infimum Hₙₓ.</w:t>
      </w:r>
    </w:p>
    <w:p>
      <w:pPr>
        <w:spacing w:after="120" w:line="276"/>
      </w:pPr>
      <w:r>
        <w:rPr>
          <w:rFonts w:ascii="Century Gothic" w:cs="Century Gothic" w:eastAsia="Century Gothic" w:hAnsi="Century Gothic"/>
          <w:color w:val="C9C1B4"/>
          <w:sz w:val="22"/>
          <w:szCs w:val="22"/>
        </w:rPr>
        <w:t xml:space="preserve">Hydrogen’s spectral data aligns with the repunit basis to 0.139%. This is the empirical content of the bridge. The framework does not explain WHY hydrogen’s constants exhibit this alignment — that is a question about nature, not about mathematics. What the framework does is:</w:t>
      </w:r>
    </w:p>
    <w:p>
      <w:pPr>
        <w:spacing w:after="120" w:line="276"/>
      </w:pPr>
      <w:r>
        <w:rPr>
          <w:rFonts w:ascii="Century Gothic" w:cs="Century Gothic" w:eastAsia="Century Gothic" w:hAnsi="Century Gothic"/>
          <w:b/>
          <w:bCs/>
          <w:color w:val="C9C1B4"/>
          <w:sz w:val="22"/>
          <w:szCs w:val="22"/>
        </w:rPr>
        <w:t xml:space="preserve">(a) </w:t>
      </w:r>
      <w:r>
        <w:rPr>
          <w:rFonts w:ascii="Century Gothic" w:cs="Century Gothic" w:eastAsia="Century Gothic" w:hAnsi="Century Gothic"/>
          <w:color w:val="C9C1B4"/>
          <w:sz w:val="22"/>
          <w:szCs w:val="22"/>
        </w:rPr>
        <w:t xml:space="preserve">Characterize the alignment precisely: R₆/4 = 91 vs 1/R∞ = 91.127, uniform multiplicative offset −0.139%.</w:t>
      </w:r>
    </w:p>
    <w:p>
      <w:pPr>
        <w:spacing w:after="120" w:line="276"/>
      </w:pPr>
      <w:r>
        <w:rPr>
          <w:rFonts w:ascii="Century Gothic" w:cs="Century Gothic" w:eastAsia="Century Gothic" w:hAnsi="Century Gothic"/>
          <w:b/>
          <w:bCs/>
          <w:color w:val="C9C1B4"/>
          <w:sz w:val="22"/>
          <w:szCs w:val="22"/>
        </w:rPr>
        <w:t xml:space="preserve">(b) </w:t>
      </w:r>
      <w:r>
        <w:rPr>
          <w:rFonts w:ascii="Century Gothic" w:cs="Century Gothic" w:eastAsia="Century Gothic" w:hAnsi="Century Gothic"/>
          <w:color w:val="C9C1B4"/>
          <w:sz w:val="22"/>
          <w:szCs w:val="22"/>
        </w:rPr>
        <w:t xml:space="preserve">Show that the alignment propagates: every hydrogen series limit, every individual line, every denominator factor is captured by the repunit basis with the same residual.</w:t>
      </w:r>
    </w:p>
    <w:p>
      <w:pPr>
        <w:spacing w:after="120" w:line="276"/>
      </w:pPr>
      <w:r>
        <w:rPr>
          <w:rFonts w:ascii="Century Gothic" w:cs="Century Gothic" w:eastAsia="Century Gothic" w:hAnsi="Century Gothic"/>
          <w:b/>
          <w:bCs/>
          <w:color w:val="C9C1B4"/>
          <w:sz w:val="22"/>
          <w:szCs w:val="22"/>
        </w:rPr>
        <w:t xml:space="preserve">(c) </w:t>
      </w:r>
      <w:r>
        <w:rPr>
          <w:rFonts w:ascii="Century Gothic" w:cs="Century Gothic" w:eastAsia="Century Gothic" w:hAnsi="Century Gothic"/>
          <w:color w:val="C9C1B4"/>
          <w:sz w:val="22"/>
          <w:szCs w:val="22"/>
        </w:rPr>
        <w:t xml:space="preserve">Extract the algebraic consequences: Pa-α = R₃ × Δ, Pa-γ = 3R₆, the denominator map — structures that exist in the integer domain and are invisible in the corrected domain.</w:t>
      </w:r>
    </w:p>
    <w:p>
      <w:pPr>
        <w:spacing w:after="120" w:line="276"/>
      </w:pPr>
      <w:r>
        <w:rPr>
          <w:rFonts w:ascii="Century Gothic" w:cs="Century Gothic" w:eastAsia="Century Gothic" w:hAnsi="Century Gothic"/>
          <w:color w:val="C9C1B4"/>
          <w:sz w:val="22"/>
          <w:szCs w:val="22"/>
        </w:rPr>
        <w:t xml:space="preserve">The question “why does R₆ ≈ B?” is equivalent to “why does hydrogen’s spectrum exhibit repunit alignment?” This is a physics question about the fine-structure of nature, not a mathematics question about the framework. The framework’s scope is the characterization, not the explanation. It answers Question 2 of the Buried Question — definitively, within its own axioms — and leaves Question 1 (the universal, uncomputable question) to nature.</w:t>
      </w:r>
    </w:p>
    <w:p>
      <w:pPr>
        <w:pStyle w:val="Heading2"/>
        <w:spacing w:after="160" w:before="240"/>
      </w:pPr>
      <w:r>
        <w:rPr>
          <w:rFonts w:ascii="Felix Titling" w:cs="Felix Titling" w:eastAsia="Felix Titling" w:hAnsi="Felix Titling"/>
          <w:b/>
          <w:bCs/>
          <w:color w:val="F0EDE8"/>
          <w:sz w:val="28"/>
          <w:szCs w:val="28"/>
        </w:rPr>
        <w:t xml:space="preserve">§5.5  Epistemological Boundaries</w:t>
      </w:r>
    </w:p>
    <w:p>
      <w:pPr>
        <w:spacing w:after="100" w:line="260"/>
        <w:ind w:left="360"/>
      </w:pPr>
      <w:r>
        <w:rPr>
          <w:rFonts w:ascii="Century Gothic" w:cs="Century Gothic" w:eastAsia="Century Gothic" w:hAnsi="Century Gothic"/>
          <w:i/>
          <w:iCs/>
          <w:color w:val="998F82"/>
          <w:sz w:val="20"/>
          <w:szCs w:val="20"/>
        </w:rPr>
        <w:t xml:space="preserve">Three scope declarations govern the interpretation of all results in Parts III and IV.</w:t>
      </w:r>
    </w:p>
    <w:p>
      <w:pPr>
        <w:spacing w:after="120" w:line="276"/>
      </w:pPr>
      <w:r>
        <w:rPr>
          <w:rFonts w:ascii="Century Gothic" w:cs="Century Gothic" w:eastAsia="Century Gothic" w:hAnsi="Century Gothic"/>
          <w:b/>
          <w:bCs/>
          <w:color w:val="C9C1B4"/>
          <w:sz w:val="22"/>
          <w:szCs w:val="22"/>
        </w:rPr>
        <w:t xml:space="preserve">I.  The framework derives 91; it does not derive R∞. </w:t>
      </w:r>
      <w:r>
        <w:rPr>
          <w:rFonts w:ascii="Century Gothic" w:cs="Century Gothic" w:eastAsia="Century Gothic" w:hAnsi="Century Gothic"/>
          <w:color w:val="C9C1B4"/>
          <w:sz w:val="22"/>
          <w:szCs w:val="22"/>
        </w:rPr>
        <w:t xml:space="preserve">The integer R₆/4 = 91 is produced by the sole axiom Rₙ = (3ⁿ − 1)/2 through four steps of exact arithmetic (Part I). The Rydberg constant R∞ = mₑe⁴/(8ε₀²h³c) is a product of fundamental physical constants that the ternary axiom does not generate. The proximity R₆/4 ≈ 1/R∞ (−0.139%) is a fact about nature, not an assumption of the framework. The framework’s results exist independently of this proximity; the proximity makes them physically interpretable.</w:t>
      </w:r>
    </w:p>
    <w:p>
      <w:pPr>
        <w:spacing w:after="120" w:line="276"/>
      </w:pPr>
      <w:r>
        <w:rPr>
          <w:rFonts w:ascii="Century Gothic" w:cs="Century Gothic" w:eastAsia="Century Gothic" w:hAnsi="Century Gothic"/>
          <w:b/>
          <w:bCs/>
          <w:color w:val="C9C1B4"/>
          <w:sz w:val="22"/>
          <w:szCs w:val="22"/>
        </w:rPr>
        <w:t xml:space="preserve">II.  The framework’s outputs are exact integers. </w:t>
      </w:r>
      <w:r>
        <w:rPr>
          <w:rFonts w:ascii="Century Gothic" w:cs="Century Gothic" w:eastAsia="Century Gothic" w:hAnsi="Century Gothic"/>
          <w:color w:val="C9C1B4"/>
          <w:sz w:val="22"/>
          <w:szCs w:val="22"/>
        </w:rPr>
        <w:t xml:space="preserve">Pa-α = R₃ × Δ = 13 × 144 = 1872. This is not an approximation of anything — it is the exact product of two constants derived from the circle quadratic. Separately, CODATA measures the physical Paschen-alpha wavelength at 1875.1 nm. The two numbers are close (−0.165%). The framework does not claim they should be equal; it observes that they are near and characterizes the gap.</w:t>
      </w:r>
    </w:p>
    <w:p>
      <w:pPr>
        <w:spacing w:after="120" w:line="276"/>
      </w:pPr>
      <w:r>
        <w:rPr>
          <w:rFonts w:ascii="Century Gothic" w:cs="Century Gothic" w:eastAsia="Century Gothic" w:hAnsi="Century Gothic"/>
          <w:b/>
          <w:bCs/>
          <w:color w:val="C9C1B4"/>
          <w:sz w:val="22"/>
          <w:szCs w:val="22"/>
        </w:rPr>
        <w:t xml:space="preserve">III.  The offset is a measured gap, not an omitted correction. </w:t>
      </w:r>
      <w:r>
        <w:rPr>
          <w:rFonts w:ascii="Century Gothic" w:cs="Century Gothic" w:eastAsia="Century Gothic" w:hAnsi="Century Gothic"/>
          <w:color w:val="C9C1B4"/>
          <w:sz w:val="22"/>
          <w:szCs w:val="22"/>
        </w:rPr>
        <w:t xml:space="preserve">The systematic −0.139% between framework integers and physical measurements is the distance between an algebraic constant and a laboratory value. It is not a rounding error, not an approximation, and not something that was neglected. A multiplicative factor κ = 1.00139 maps one domain to the other, but κ is not a correction — it is the bridge coefficient itself, and applying it converts exact integers into non-integer reals that no longer factorise over the framework’s constants. The framework produces integers; physics produces measurements; the gap between them is the geometric floor of §5.3.</w:t>
      </w:r>
    </w:p>
    <w:p>
      <w:pPr>
        <w:pBdr>
          <w:top w:val="single" w:color="4A9EF5" w:sz="2" w:space="6"/>
          <w:bottom w:val="single" w:color="4A9EF5" w:sz="2" w:space="6"/>
        </w:pBdr>
        <w:spacing w:after="200" w:before="300"/>
        <w:jc w:val="center"/>
      </w:pPr>
      <w:r>
        <w:rPr>
          <w:rFonts w:ascii="Felix Titling" w:cs="Felix Titling" w:eastAsia="Felix Titling" w:hAnsi="Felix Titling"/>
          <w:color w:val="4A9EF5"/>
          <w:sz w:val="26"/>
          <w:szCs w:val="26"/>
        </w:rPr>
        <w:t xml:space="preserve">PART III — CONSEQUENCES</w:t>
      </w:r>
    </w:p>
    <w:p>
      <w:pPr>
        <w:spacing w:after="100" w:line="260"/>
        <w:ind w:left="360"/>
      </w:pPr>
      <w:r>
        <w:rPr>
          <w:rFonts w:ascii="Century Gothic" w:cs="Century Gothic" w:eastAsia="Century Gothic" w:hAnsi="Century Gothic"/>
          <w:i/>
          <w:iCs/>
          <w:color w:val="998F82"/>
          <w:sz w:val="20"/>
          <w:szCs w:val="20"/>
        </w:rPr>
        <w:t xml:space="preserve">All results below follow from the standard Rydberg formula plus the bridge (§5).</w:t>
      </w:r>
    </w:p>
    <w:p>
      <w:pPr>
        <w:pStyle w:val="Heading1"/>
        <w:spacing w:after="160" w:before="360"/>
      </w:pPr>
      <w:r>
        <w:rPr>
          <w:rFonts w:ascii="Felix Titling" w:cs="Felix Titling" w:eastAsia="Felix Titling" w:hAnsi="Felix Titling"/>
          <w:b/>
          <w:bCs/>
          <w:color w:val="F0EDE8"/>
          <w:sz w:val="36"/>
          <w:szCs w:val="36"/>
        </w:rPr>
        <w:t xml:space="preserve">§6  Master Formula</w:t>
      </w:r>
    </w:p>
    <w:p>
      <w:pPr>
        <w:spacing w:after="120" w:line="276"/>
      </w:pPr>
      <w:r>
        <w:rPr>
          <w:rFonts w:ascii="Century Gothic" w:cs="Century Gothic" w:eastAsia="Century Gothic" w:hAnsi="Century Gothic"/>
          <w:color w:val="C9C1B4"/>
          <w:sz w:val="22"/>
          <w:szCs w:val="22"/>
        </w:rPr>
        <w:t xml:space="preserve">The standard Rydberg formula for hydrogen emission:</w:t>
      </w:r>
    </w:p>
    <w:p>
      <w:pPr>
        <w:spacing w:after="160" w:before="160"/>
        <w:jc w:val="center"/>
      </w:pPr>
      <w:r>
        <w:rPr>
          <w:rFonts w:ascii="Consolas" w:cs="Consolas" w:eastAsia="Consolas" w:hAnsi="Consolas"/>
          <w:b/>
          <w:bCs/>
          <w:color w:val="4A9EF5"/>
          <w:sz w:val="24"/>
          <w:szCs w:val="24"/>
        </w:rPr>
        <w:t xml:space="preserve">1/λ = R∞(1/m² − 1/n²)    →    λ = (1/R∞) × m²n²/(n² − m²)</w:t>
      </w:r>
    </w:p>
    <w:p>
      <w:pPr>
        <w:spacing w:after="120" w:line="276"/>
      </w:pPr>
      <w:r>
        <w:rPr>
          <w:rFonts w:ascii="Century Gothic" w:cs="Century Gothic" w:eastAsia="Century Gothic" w:hAnsi="Century Gothic"/>
          <w:color w:val="C9C1B4"/>
          <w:sz w:val="22"/>
          <w:szCs w:val="22"/>
        </w:rPr>
        <w:t xml:space="preserve">Applying the bridge (1/R∞ → R₆/4):</w:t>
      </w:r>
    </w:p>
    <w:p>
      <w:pPr>
        <w:spacing w:after="160" w:before="160"/>
        <w:jc w:val="center"/>
      </w:pPr>
      <w:r>
        <w:rPr>
          <w:rFonts w:ascii="Consolas" w:cs="Consolas" w:eastAsia="Consolas" w:hAnsi="Consolas"/>
          <w:b/>
          <w:bCs/>
          <w:color w:val="4A9EF5"/>
          <w:sz w:val="24"/>
          <w:szCs w:val="24"/>
        </w:rPr>
        <w:t xml:space="preserve">λ₆(m,n) = R₆ × m²n² / [4(n² − m²)]</w:t>
      </w:r>
    </w:p>
    <w:p>
      <w:pPr>
        <w:spacing w:after="120" w:line="276"/>
      </w:pPr>
      <w:r>
        <w:rPr>
          <w:rFonts w:ascii="Century Gothic" w:cs="Century Gothic" w:eastAsia="Century Gothic" w:hAnsi="Century Gothic"/>
          <w:color w:val="C9C1B4"/>
          <w:sz w:val="22"/>
          <w:szCs w:val="22"/>
        </w:rPr>
        <w:t xml:space="preserve">This inherits the −0.139% offset uniformly. Every predicted wavelength undershoots CODATA by the same multiplicative factor. No series-dependent or line-dependent correction is needed because the Rydberg formula is already exact (for infinite nuclear mass); the only approximation is in the prefactor.</w:t>
      </w:r>
    </w:p>
    <w:p>
      <w:pPr>
        <w:pStyle w:val="Heading1"/>
        <w:spacing w:after="160" w:before="360"/>
      </w:pPr>
      <w:r>
        <w:rPr>
          <w:rFonts w:ascii="Felix Titling" w:cs="Felix Titling" w:eastAsia="Felix Titling" w:hAnsi="Felix Titling"/>
          <w:b/>
          <w:bCs/>
          <w:color w:val="F0EDE8"/>
          <w:sz w:val="36"/>
          <w:szCs w:val="36"/>
        </w:rPr>
        <w:t xml:space="preserve">§7  Series Limits</w:t>
      </w:r>
    </w:p>
    <w:p>
      <w:pPr>
        <w:spacing w:after="120" w:line="276"/>
      </w:pPr>
      <w:r>
        <w:rPr>
          <w:rFonts w:ascii="Century Gothic" w:cs="Century Gothic" w:eastAsia="Century Gothic" w:hAnsi="Century Gothic"/>
          <w:color w:val="C9C1B4"/>
          <w:sz w:val="22"/>
          <w:szCs w:val="22"/>
        </w:rPr>
        <w:t xml:space="preserve">As n → ∞, each series converges to λ∞(m) = m²R₆/4. The derivation is mechanical: in the master formula, 1/n² → 0, leaving m²R₆/4. The CODATA column uses m²/R∞ (infinite mass).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000"/>
        <w:gridCol w:w="1200"/>
        <w:gridCol w:w="1400"/>
        <w:gridCol w:w="1200"/>
      </w:tblGrid>
      <w:tr>
        <w:tc>
          <w:tcPr>
            <w:tcW w:type="dxa" w:w="14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left"/>
            </w:pPr>
            <w:r>
              <w:rPr>
                <w:rFonts w:ascii="Century Gothic" w:cs="Century Gothic" w:eastAsia="Century Gothic" w:hAnsi="Century Gothic"/>
                <w:b/>
                <w:bCs/>
                <w:color w:val="F0EDE8"/>
                <w:sz w:val="20"/>
                <w:szCs w:val="20"/>
              </w:rPr>
              <w:t xml:space="preserve">Series</w:t>
            </w:r>
          </w:p>
        </w:tc>
        <w:tc>
          <w:tcPr>
            <w:tcW w:type="dxa" w:w="7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m</w:t>
            </w:r>
          </w:p>
        </w:tc>
        <w:tc>
          <w:tcPr>
            <w:tcW w:type="dxa" w:w="20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m²R₆/4</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FW (nm)</w:t>
            </w:r>
          </w:p>
        </w:tc>
        <w:tc>
          <w:tcPr>
            <w:tcW w:type="dxa" w:w="14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1/R∞ (nm)</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Offset</w:t>
            </w:r>
          </w:p>
        </w:tc>
      </w:tr>
      <w:tr>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Lyman</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w:t>
            </w:r>
          </w:p>
        </w:tc>
        <w:tc>
          <w:tcPr>
            <w:tcW w:type="dxa" w:w="20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1²×364/4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91</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91.127</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−0.139%</w:t>
            </w:r>
          </w:p>
        </w:tc>
      </w:tr>
      <w:tr>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Balmer</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w:t>
            </w:r>
          </w:p>
        </w:tc>
        <w:tc>
          <w:tcPr>
            <w:tcW w:type="dxa" w:w="20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2²×364/4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364</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364.507</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−0.139%</w:t>
            </w:r>
          </w:p>
        </w:tc>
      </w:tr>
      <w:tr>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Paschen</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w:t>
            </w:r>
          </w:p>
        </w:tc>
        <w:tc>
          <w:tcPr>
            <w:tcW w:type="dxa" w:w="20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3²×364/4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819</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820.140</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−0.139%</w:t>
            </w:r>
          </w:p>
        </w:tc>
      </w:tr>
      <w:tr>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Brackett</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w:t>
            </w:r>
          </w:p>
        </w:tc>
        <w:tc>
          <w:tcPr>
            <w:tcW w:type="dxa" w:w="20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4²×364/4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1456</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1458.03</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−0.139%</w:t>
            </w:r>
          </w:p>
        </w:tc>
      </w:tr>
      <w:tr>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Pfund</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5</w:t>
            </w:r>
          </w:p>
        </w:tc>
        <w:tc>
          <w:tcPr>
            <w:tcW w:type="dxa" w:w="20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5²×364/4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2275</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2278.17</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−0.139%</w:t>
            </w:r>
          </w:p>
        </w:tc>
      </w:tr>
    </w:tbl>
    <w:p>
      <w:pPr>
        <w:spacing w:after="80" w:before="80"/>
      </w:pPr>
    </w:p>
    <w:p>
      <w:pPr>
        <w:spacing w:after="120" w:line="276"/>
      </w:pPr>
      <w:r>
        <w:rPr>
          <w:rFonts w:ascii="Century Gothic" w:cs="Century Gothic" w:eastAsia="Century Gothic" w:hAnsi="Century Gothic"/>
          <w:color w:val="C9C1B4"/>
          <w:sz w:val="22"/>
          <w:szCs w:val="22"/>
        </w:rPr>
        <w:t xml:space="preserve">Every series limit undershoots CODATA by exactly −0.139%. This is not a coincidence: it is the bridge offset propagating through a linear prefactor. The identity of the offset across all five series is a consistency check, not an independent validation.</w:t>
      </w:r>
    </w:p>
    <w:p>
      <w:pPr>
        <w:pStyle w:val="Heading1"/>
        <w:spacing w:after="160" w:before="360"/>
      </w:pPr>
      <w:r>
        <w:rPr>
          <w:rFonts w:ascii="Felix Titling" w:cs="Felix Titling" w:eastAsia="Felix Titling" w:hAnsi="Felix Titling"/>
          <w:b/>
          <w:bCs/>
          <w:color w:val="F0EDE8"/>
          <w:sz w:val="36"/>
          <w:szCs w:val="36"/>
        </w:rPr>
        <w:t xml:space="preserve">§8  Balmer Series (m = 2)</w:t>
      </w:r>
    </w:p>
    <w:p>
      <w:pPr>
        <w:spacing w:after="120" w:line="276"/>
      </w:pPr>
      <w:r>
        <w:rPr>
          <w:rFonts w:ascii="Century Gothic" w:cs="Century Gothic" w:eastAsia="Century Gothic" w:hAnsi="Century Gothic"/>
          <w:color w:val="C9C1B4"/>
          <w:sz w:val="22"/>
          <w:szCs w:val="22"/>
        </w:rPr>
        <w:t xml:space="preserve">The Balmer formula reduces to λ = R₆n²/(n² − 4), since m²/4 = 1 cancels. The denominator column (n² − 4) shows the divisor that produces each wavelength:</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200"/>
        <w:gridCol w:w="1200"/>
        <w:gridCol w:w="1200"/>
        <w:gridCol w:w="1200"/>
      </w:tblGrid>
      <w:tr>
        <w:tc>
          <w:tcPr>
            <w:tcW w:type="dxa" w:w="7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left"/>
            </w:pPr>
            <w:r>
              <w:rPr>
                <w:rFonts w:ascii="Century Gothic" w:cs="Century Gothic" w:eastAsia="Century Gothic" w:hAnsi="Century Gothic"/>
                <w:b/>
                <w:bCs/>
                <w:color w:val="F0EDE8"/>
                <w:sz w:val="20"/>
                <w:szCs w:val="20"/>
              </w:rPr>
              <w:t xml:space="preserve">n</w:t>
            </w:r>
          </w:p>
        </w:tc>
        <w:tc>
          <w:tcPr>
            <w:tcW w:type="dxa" w:w="7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Line</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n²−4</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Predicted</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CODATA</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Error</w:t>
            </w:r>
          </w:p>
        </w:tc>
      </w:tr>
      <w:tr>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3</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H-α</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5</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655.20</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656.281</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−0.165%</w:t>
            </w:r>
          </w:p>
        </w:tc>
      </w:tr>
      <w:tr>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4</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H-β</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12</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485.33</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486.135</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−0.165%</w:t>
            </w:r>
          </w:p>
        </w:tc>
      </w:tr>
      <w:tr>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5</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H-γ</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21</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433.33</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434.047</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−0.164%</w:t>
            </w:r>
          </w:p>
        </w:tc>
      </w:tr>
      <w:tr>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6</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H-δ</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32</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409.50</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410.174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−0.164%</w:t>
            </w:r>
          </w:p>
        </w:tc>
      </w:tr>
    </w:tbl>
    <w:p>
      <w:pPr>
        <w:spacing w:after="80" w:before="80"/>
      </w:pPr>
    </w:p>
    <w:p>
      <w:pPr>
        <w:spacing w:after="120" w:line="276"/>
      </w:pPr>
      <w:r>
        <w:rPr>
          <w:rFonts w:ascii="Century Gothic" w:cs="Century Gothic" w:eastAsia="Century Gothic" w:hAnsi="Century Gothic"/>
          <w:color w:val="C9C1B4"/>
          <w:sz w:val="22"/>
          <w:szCs w:val="22"/>
        </w:rPr>
        <w:t xml:space="preserve">All four errors are −0.165%, slightly larger than the series-limit offset (−0.139%) because CODATA visible-line wavelengths are measured in air for hydrogen (finite proton mass plus air refractive index). The error uniformity confirms the systematic nature of the offset.</w:t>
      </w:r>
    </w:p>
    <w:p>
      <w:pPr>
        <w:pStyle w:val="Heading1"/>
        <w:spacing w:after="160" w:before="360"/>
      </w:pPr>
      <w:r>
        <w:rPr>
          <w:rFonts w:ascii="Felix Titling" w:cs="Felix Titling" w:eastAsia="Felix Titling" w:hAnsi="Felix Titling"/>
          <w:b/>
          <w:bCs/>
          <w:color w:val="F0EDE8"/>
          <w:sz w:val="36"/>
          <w:szCs w:val="36"/>
        </w:rPr>
        <w:t xml:space="preserve">§9  Paschen Series (m = 3)</w:t>
      </w:r>
    </w:p>
    <w:p>
      <w:pPr>
        <w:spacing w:after="120" w:line="276"/>
      </w:pPr>
      <w:r>
        <w:rPr>
          <w:rFonts w:ascii="Century Gothic" w:cs="Century Gothic" w:eastAsia="Century Gothic" w:hAnsi="Century Gothic"/>
          <w:color w:val="C9C1B4"/>
          <w:sz w:val="22"/>
          <w:szCs w:val="22"/>
        </w:rPr>
        <w:t xml:space="preserve">The Paschen formula is λ = 9R₆n²/[4(n² − 9)]. This is the first infrared series: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200"/>
        <w:gridCol w:w="1200"/>
        <w:gridCol w:w="1200"/>
        <w:gridCol w:w="1200"/>
      </w:tblGrid>
      <w:tr>
        <w:tc>
          <w:tcPr>
            <w:tcW w:type="dxa" w:w="7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left"/>
            </w:pPr>
            <w:r>
              <w:rPr>
                <w:rFonts w:ascii="Century Gothic" w:cs="Century Gothic" w:eastAsia="Century Gothic" w:hAnsi="Century Gothic"/>
                <w:b/>
                <w:bCs/>
                <w:color w:val="F0EDE8"/>
                <w:sz w:val="20"/>
                <w:szCs w:val="20"/>
              </w:rPr>
              <w:t xml:space="preserve">n</w:t>
            </w:r>
          </w:p>
        </w:tc>
        <w:tc>
          <w:tcPr>
            <w:tcW w:type="dxa" w:w="7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Line</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n²−9</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Predicted</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CODATA</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Error</w:t>
            </w:r>
          </w:p>
        </w:tc>
      </w:tr>
      <w:tr>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4</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Pa-α</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7</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1872.00</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1875.1</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−0.165%</w:t>
            </w:r>
          </w:p>
        </w:tc>
      </w:tr>
      <w:tr>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5</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Pa-β</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16</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1279.69</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1281.8</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−0.165%</w:t>
            </w:r>
          </w:p>
        </w:tc>
      </w:tr>
      <w:tr>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6</w:t>
            </w:r>
          </w:p>
        </w:tc>
        <w:tc>
          <w:tcPr>
            <w:tcW w:type="dxa" w:w="7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Pa-γ</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27</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1092.00</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1093.8</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−0.165%</w:t>
            </w:r>
          </w:p>
        </w:tc>
      </w:tr>
    </w:tbl>
    <w:p>
      <w:pPr>
        <w:spacing w:after="80" w:before="80"/>
      </w:pPr>
    </w:p>
    <w:p>
      <w:pPr>
        <w:pStyle w:val="Heading2"/>
        <w:spacing w:after="160" w:before="240"/>
      </w:pPr>
      <w:r>
        <w:rPr>
          <w:rFonts w:ascii="Felix Titling" w:cs="Felix Titling" w:eastAsia="Felix Titling" w:hAnsi="Felix Titling"/>
          <w:b/>
          <w:bCs/>
          <w:color w:val="F0EDE8"/>
          <w:sz w:val="28"/>
          <w:szCs w:val="28"/>
        </w:rPr>
        <w:t xml:space="preserve">§9.1  Pa-α = R₃ × Δ (Integer Identity)</w:t>
      </w:r>
    </w:p>
    <w:p>
      <w:pPr>
        <w:spacing w:after="120" w:line="276"/>
      </w:pPr>
      <w:r>
        <w:rPr>
          <w:rFonts w:ascii="Century Gothic" w:cs="Century Gothic" w:eastAsia="Century Gothic" w:hAnsi="Century Gothic"/>
          <w:color w:val="C9C1B4"/>
          <w:sz w:val="22"/>
          <w:szCs w:val="22"/>
        </w:rPr>
        <w:t xml:space="preserve">For n = 4, the denominator n² − 9 = 7. The factorization R₆ = 4 × 7 × 13 causes exact cancellation with the 4 × 7 in the denominator:</w:t>
      </w:r>
    </w:p>
    <w:p>
      <w:pPr>
        <w:spacing w:after="160" w:before="160"/>
        <w:jc w:val="center"/>
      </w:pPr>
      <w:r>
        <w:rPr>
          <w:rFonts w:ascii="Consolas" w:cs="Consolas" w:eastAsia="Consolas" w:hAnsi="Consolas"/>
          <w:b/>
          <w:bCs/>
          <w:color w:val="4A9EF5"/>
          <w:sz w:val="24"/>
          <w:szCs w:val="24"/>
        </w:rPr>
        <w:t xml:space="preserve">λ = (4×7×13) × 9 × 16 / (4×7) = 13 × 144 = R₃ × Δ = 1872</w:t>
      </w:r>
    </w:p>
    <w:p>
      <w:pPr>
        <w:spacing w:after="120" w:line="276"/>
      </w:pPr>
      <w:r>
        <w:rPr>
          <w:rFonts w:ascii="Century Gothic" w:cs="Century Gothic" w:eastAsia="Century Gothic" w:hAnsi="Century Gothic"/>
          <w:color w:val="C9C1B4"/>
          <w:sz w:val="22"/>
          <w:szCs w:val="22"/>
        </w:rPr>
        <w:t xml:space="preserve">The derivation chain: π = 14 is a root of x² − 40x + 364 = 0, whose discriminant is Δ = 144. The other factor R₃ = 13 is the ternary radian, itself a repunit. The Paschen-alpha wavelength is the product of two quantities derived directly from the circle quadratic. CODATA Pa-α = 1875.1 nm; error = −0.165%.</w:t>
      </w:r>
    </w:p>
    <w:p>
      <w:pPr>
        <w:pStyle w:val="Heading2"/>
        <w:spacing w:after="160" w:before="240"/>
      </w:pPr>
      <w:r>
        <w:rPr>
          <w:rFonts w:ascii="Felix Titling" w:cs="Felix Titling" w:eastAsia="Felix Titling" w:hAnsi="Felix Titling"/>
          <w:b/>
          <w:bCs/>
          <w:color w:val="F0EDE8"/>
          <w:sz w:val="28"/>
          <w:szCs w:val="28"/>
        </w:rPr>
        <w:t xml:space="preserve">§9.2  Pa-γ = 3R₆ (Integer Identity)</w:t>
      </w:r>
    </w:p>
    <w:p>
      <w:pPr>
        <w:spacing w:after="120" w:line="276"/>
      </w:pPr>
      <w:r>
        <w:rPr>
          <w:rFonts w:ascii="Century Gothic" w:cs="Century Gothic" w:eastAsia="Century Gothic" w:hAnsi="Century Gothic"/>
          <w:color w:val="C9C1B4"/>
          <w:sz w:val="22"/>
          <w:szCs w:val="22"/>
        </w:rPr>
        <w:t xml:space="preserve">For n = 6, the denominator n² − 9 = 27 = 3³. The simplification:</w:t>
      </w:r>
    </w:p>
    <w:p>
      <w:pPr>
        <w:spacing w:after="160" w:before="160"/>
        <w:jc w:val="center"/>
      </w:pPr>
      <w:r>
        <w:rPr>
          <w:rFonts w:ascii="Consolas" w:cs="Consolas" w:eastAsia="Consolas" w:hAnsi="Consolas"/>
          <w:b/>
          <w:bCs/>
          <w:color w:val="4A9EF5"/>
          <w:sz w:val="24"/>
          <w:szCs w:val="24"/>
        </w:rPr>
        <w:t xml:space="preserve">λ = 9 × 364 × 36 / (4 × 27) = 364 × 3 = 1092</w:t>
      </w:r>
    </w:p>
    <w:p>
      <w:pPr>
        <w:spacing w:after="120" w:line="276"/>
      </w:pPr>
      <w:r>
        <w:rPr>
          <w:rFonts w:ascii="Century Gothic" w:cs="Century Gothic" w:eastAsia="Century Gothic" w:hAnsi="Century Gothic"/>
          <w:color w:val="C9C1B4"/>
          <w:sz w:val="22"/>
          <w:szCs w:val="22"/>
        </w:rPr>
        <w:t xml:space="preserve">Pa-γ is exactly three times the full circle. The factor 3 = TERNARY_BASE. CODATA Pa-γ = 1093.8 nm; error = −0.165%.</w:t>
      </w:r>
    </w:p>
    <w:p>
      <w:pPr>
        <w:pStyle w:val="Heading2"/>
        <w:spacing w:after="160" w:before="240"/>
      </w:pPr>
      <w:r>
        <w:rPr>
          <w:rFonts w:ascii="Felix Titling" w:cs="Felix Titling" w:eastAsia="Felix Titling" w:hAnsi="Felix Titling"/>
          <w:b/>
          <w:bCs/>
          <w:color w:val="F0EDE8"/>
          <w:sz w:val="28"/>
          <w:szCs w:val="28"/>
        </w:rPr>
        <w:t xml:space="preserve">§9.3  Denominator Sequence</w:t>
      </w:r>
    </w:p>
    <w:p>
      <w:pPr>
        <w:spacing w:after="120" w:line="276"/>
      </w:pPr>
      <w:r>
        <w:rPr>
          <w:rFonts w:ascii="Century Gothic" w:cs="Century Gothic" w:eastAsia="Century Gothic" w:hAnsi="Century Gothic"/>
          <w:color w:val="C9C1B4"/>
          <w:sz w:val="22"/>
          <w:szCs w:val="22"/>
        </w:rPr>
        <w:t xml:space="preserve">The Paschen denominators (n² − 9) for n = 4, 5, 6, 7 produce 7, 16, 27, 40. All four are framework constants: coprime generator 7, the square 4², the sponge root DISCRIMINANT_2_SQRT = 27, and REPUNIT_4 = 40. No other series’ denominator sequence hits this density.</w:t>
      </w:r>
    </w:p>
    <w:p>
      <w:pPr>
        <w:pStyle w:val="Heading1"/>
        <w:spacing w:after="160" w:before="360"/>
      </w:pPr>
      <w:r>
        <w:rPr>
          <w:rFonts w:ascii="Felix Titling" w:cs="Felix Titling" w:eastAsia="Felix Titling" w:hAnsi="Felix Titling"/>
          <w:b/>
          <w:bCs/>
          <w:color w:val="F0EDE8"/>
          <w:sz w:val="36"/>
          <w:szCs w:val="36"/>
        </w:rPr>
        <w:t xml:space="preserve">§10  Brackett (m = 4) and Pfund (m = 5)</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400"/>
        <w:gridCol w:w="1400"/>
        <w:gridCol w:w="1200"/>
        <w:gridCol w:w="1500"/>
      </w:tblGrid>
      <w:tr>
        <w:tc>
          <w:tcPr>
            <w:tcW w:type="dxa" w:w="9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left"/>
            </w:pPr>
            <w:r>
              <w:rPr>
                <w:rFonts w:ascii="Century Gothic" w:cs="Century Gothic" w:eastAsia="Century Gothic" w:hAnsi="Century Gothic"/>
                <w:b/>
                <w:bCs/>
                <w:color w:val="F0EDE8"/>
                <w:sz w:val="20"/>
                <w:szCs w:val="20"/>
              </w:rPr>
              <w:t xml:space="preserve">Line</w:t>
            </w:r>
          </w:p>
        </w:tc>
        <w:tc>
          <w:tcPr>
            <w:tcW w:type="dxa" w:w="9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n→m</w:t>
            </w:r>
          </w:p>
        </w:tc>
        <w:tc>
          <w:tcPr>
            <w:tcW w:type="dxa" w:w="14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n²−m²</w:t>
            </w:r>
          </w:p>
        </w:tc>
        <w:tc>
          <w:tcPr>
            <w:tcW w:type="dxa" w:w="14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Predicted</w:t>
            </w:r>
          </w:p>
        </w:tc>
        <w:tc>
          <w:tcPr>
            <w:tcW w:type="dxa" w:w="1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CODATA</w:t>
            </w:r>
          </w:p>
        </w:tc>
        <w:tc>
          <w:tcPr>
            <w:tcW w:type="dxa" w:w="15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Error</w:t>
            </w:r>
          </w:p>
        </w:tc>
      </w:tr>
      <w:tr>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Br-α</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5→4</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9</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4044.44</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≈4052</w:t>
            </w:r>
          </w:p>
        </w:tc>
        <w:tc>
          <w:tcPr>
            <w:tcW w:type="dxa" w:w="15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−0.17%</w:t>
            </w:r>
          </w:p>
        </w:tc>
      </w:tr>
      <w:tr>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Pf-α</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6→5</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11</w:t>
            </w:r>
          </w:p>
        </w:tc>
        <w:tc>
          <w:tcPr>
            <w:tcW w:type="dxa" w:w="14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7445.45</w:t>
            </w:r>
          </w:p>
        </w:tc>
        <w:tc>
          <w:tcPr>
            <w:tcW w:type="dxa" w:w="1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≈7460</w:t>
            </w:r>
          </w:p>
        </w:tc>
        <w:tc>
          <w:tcPr>
            <w:tcW w:type="dxa" w:w="15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−0.19%</w:t>
            </w:r>
          </w:p>
        </w:tc>
      </w:tr>
    </w:tbl>
    <w:p>
      <w:pPr>
        <w:spacing w:after="80" w:before="80"/>
      </w:pPr>
    </w:p>
    <w:p>
      <w:pPr>
        <w:spacing w:after="120" w:line="276"/>
      </w:pPr>
      <w:r>
        <w:rPr>
          <w:rFonts w:ascii="Century Gothic" w:cs="Century Gothic" w:eastAsia="Century Gothic" w:hAnsi="Century Gothic"/>
          <w:color w:val="C9C1B4"/>
          <w:sz w:val="22"/>
          <w:szCs w:val="22"/>
        </w:rPr>
        <w:t xml:space="preserve">Brackett Br-α: λ = 16R₆ × 25 / [4 × 9] = 4R₆ × 25/9 = 4044.44 nm. Denominator 9 = 3².</w:t>
      </w:r>
    </w:p>
    <w:p>
      <w:pPr>
        <w:spacing w:after="120" w:line="276"/>
      </w:pPr>
      <w:r>
        <w:rPr>
          <w:rFonts w:ascii="Century Gothic" w:cs="Century Gothic" w:eastAsia="Century Gothic" w:hAnsi="Century Gothic"/>
          <w:color w:val="C9C1B4"/>
          <w:sz w:val="22"/>
          <w:szCs w:val="22"/>
        </w:rPr>
        <w:t xml:space="preserve">Pfund Pf-α: λ = 25R₆ × 36 / [4 × 11] = 7445.45 nm. Denominator 11 is a coprime generator. Both errors are consistent with the combined offset (−0.17% to −0.19%).</w:t>
      </w:r>
    </w:p>
    <w:p>
      <w:pPr>
        <w:pStyle w:val="Heading1"/>
        <w:spacing w:after="160" w:before="360"/>
      </w:pPr>
      <w:r>
        <w:rPr>
          <w:rFonts w:ascii="Felix Titling" w:cs="Felix Titling" w:eastAsia="Felix Titling" w:hAnsi="Felix Titling"/>
          <w:b/>
          <w:bCs/>
          <w:color w:val="F0EDE8"/>
          <w:sz w:val="36"/>
          <w:szCs w:val="36"/>
        </w:rPr>
        <w:t xml:space="preserve">§11  Structural Map</w:t>
      </w:r>
    </w:p>
    <w:p>
      <w:pPr>
        <w:spacing w:after="120" w:line="276"/>
      </w:pPr>
      <w:r>
        <w:rPr>
          <w:rFonts w:ascii="Century Gothic" w:cs="Century Gothic" w:eastAsia="Century Gothic" w:hAnsi="Century Gothic"/>
          <w:color w:val="C9C1B4"/>
          <w:sz w:val="22"/>
          <w:szCs w:val="22"/>
        </w:rPr>
        <w:t xml:space="preserve">The denominators (n² − m²) across all five series systematically produce framework constants: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gridCol w:w="2200"/>
      </w:tblGrid>
      <w:tr>
        <w:tc>
          <w:tcPr>
            <w:tcW w:type="dxa" w:w="15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left"/>
            </w:pPr>
            <w:r>
              <w:rPr>
                <w:rFonts w:ascii="Century Gothic" w:cs="Century Gothic" w:eastAsia="Century Gothic" w:hAnsi="Century Gothic"/>
                <w:b/>
                <w:bCs/>
                <w:color w:val="F0EDE8"/>
                <w:sz w:val="20"/>
                <w:szCs w:val="20"/>
              </w:rPr>
              <w:t xml:space="preserve">Series</w:t>
            </w:r>
          </w:p>
        </w:tc>
        <w:tc>
          <w:tcPr>
            <w:tcW w:type="dxa" w:w="9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n=m+1</w:t>
            </w:r>
          </w:p>
        </w:tc>
        <w:tc>
          <w:tcPr>
            <w:tcW w:type="dxa" w:w="9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n=m+2</w:t>
            </w:r>
          </w:p>
        </w:tc>
        <w:tc>
          <w:tcPr>
            <w:tcW w:type="dxa" w:w="9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n=m+3</w:t>
            </w:r>
          </w:p>
        </w:tc>
        <w:tc>
          <w:tcPr>
            <w:tcW w:type="dxa" w:w="9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n=m+4</w:t>
            </w:r>
          </w:p>
        </w:tc>
        <w:tc>
          <w:tcPr>
            <w:tcW w:type="dxa" w:w="2200"/>
            <w:tcBorders>
              <w:top w:val="single" w:color="272220" w:sz="1"/>
              <w:left w:val="single" w:color="272220" w:sz="1"/>
              <w:bottom w:val="single" w:color="272220" w:sz="1"/>
              <w:right w:val="single" w:color="272220" w:sz="1"/>
            </w:tcBorders>
            <w:shd w:fill="181411" w:val="clear"/>
            <w:tcMar>
              <w:top w:type="dxa" w:w="60"/>
              <w:left w:type="dxa" w:w="100"/>
              <w:bottom w:type="dxa" w:w="60"/>
              <w:right w:type="dxa" w:w="100"/>
            </w:tcMar>
          </w:tcPr>
          <w:p>
            <w:pPr>
              <w:jc w:val="center"/>
            </w:pPr>
            <w:r>
              <w:rPr>
                <w:rFonts w:ascii="Century Gothic" w:cs="Century Gothic" w:eastAsia="Century Gothic" w:hAnsi="Century Gothic"/>
                <w:b/>
                <w:bCs/>
                <w:color w:val="F0EDE8"/>
                <w:sz w:val="20"/>
                <w:szCs w:val="20"/>
              </w:rPr>
              <w:t xml:space="preserve">Framework constants hit</w:t>
            </w:r>
          </w:p>
        </w:tc>
      </w:tr>
      <w:tr>
        <w:tc>
          <w:tcPr>
            <w:tcW w:type="dxa" w:w="15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Lyman (m²=1)</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8</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15</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24</w:t>
            </w:r>
          </w:p>
        </w:tc>
        <w:tc>
          <w:tcPr>
            <w:tcW w:type="dxa" w:w="2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TERNARY_BASE, PENTADECAGON</w:t>
            </w:r>
          </w:p>
        </w:tc>
      </w:tr>
      <w:tr>
        <w:tc>
          <w:tcPr>
            <w:tcW w:type="dxa" w:w="15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Balmer (m²=4)</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5</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12</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21</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32</w:t>
            </w:r>
          </w:p>
        </w:tc>
        <w:tc>
          <w:tcPr>
            <w:tcW w:type="dxa" w:w="2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DISCRIMINANT_SQRT=12</w:t>
            </w:r>
          </w:p>
        </w:tc>
      </w:tr>
      <w:tr>
        <w:tc>
          <w:tcPr>
            <w:tcW w:type="dxa" w:w="15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Paschen (m²=9)</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7</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16</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27</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40</w:t>
            </w:r>
          </w:p>
        </w:tc>
        <w:tc>
          <w:tcPr>
            <w:tcW w:type="dxa" w:w="2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7, 4², √Δ₂=27, R₄=40</w:t>
            </w:r>
          </w:p>
        </w:tc>
      </w:tr>
      <w:tr>
        <w:tc>
          <w:tcPr>
            <w:tcW w:type="dxa" w:w="15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Brackett (m²=16)</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9</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20</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33</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48</w:t>
            </w:r>
          </w:p>
        </w:tc>
        <w:tc>
          <w:tcPr>
            <w:tcW w:type="dxa" w:w="2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3²=9</w:t>
            </w:r>
          </w:p>
        </w:tc>
      </w:tr>
      <w:tr>
        <w:tc>
          <w:tcPr>
            <w:tcW w:type="dxa" w:w="15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left"/>
            </w:pPr>
            <w:r>
              <w:rPr>
                <w:rFonts w:ascii="Century Gothic" w:cs="Century Gothic" w:eastAsia="Century Gothic" w:hAnsi="Century Gothic"/>
                <w:color w:val="C9C1B4"/>
                <w:sz w:val="20"/>
                <w:szCs w:val="20"/>
              </w:rPr>
              <w:t xml:space="preserve">Pfund (m²=25)</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11</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24</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39</w:t>
            </w:r>
          </w:p>
        </w:tc>
        <w:tc>
          <w:tcPr>
            <w:tcW w:type="dxa" w:w="9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56</w:t>
            </w:r>
          </w:p>
        </w:tc>
        <w:tc>
          <w:tcPr>
            <w:tcW w:type="dxa" w:w="2200"/>
            <w:tcBorders>
              <w:top w:val="single" w:color="272220" w:sz="1"/>
              <w:left w:val="single" w:color="272220" w:sz="1"/>
              <w:bottom w:val="single" w:color="272220" w:sz="1"/>
              <w:right w:val="single" w:color="272220" w:sz="1"/>
            </w:tcBorders>
            <w:tcMar>
              <w:top w:type="dxa" w:w="60"/>
              <w:left w:type="dxa" w:w="100"/>
              <w:bottom w:type="dxa" w:w="60"/>
              <w:right w:type="dxa" w:w="100"/>
            </w:tcMar>
          </w:tcPr>
          <w:p>
            <w:pPr>
              <w:jc w:val="center"/>
            </w:pPr>
            <w:r>
              <w:rPr>
                <w:rFonts w:ascii="Century Gothic" w:cs="Century Gothic" w:eastAsia="Century Gothic" w:hAnsi="Century Gothic"/>
                <w:color w:val="C9C1B4"/>
                <w:sz w:val="20"/>
                <w:szCs w:val="20"/>
              </w:rPr>
              <w:t xml:space="preserve">11, 2×Z₂₈=56</w:t>
            </w:r>
          </w:p>
        </w:tc>
      </w:tr>
    </w:tbl>
    <w:p>
      <w:pPr>
        <w:spacing w:after="80" w:before="80"/>
      </w:pPr>
    </w:p>
    <w:p>
      <w:pPr>
        <w:spacing w:after="120" w:line="276"/>
      </w:pPr>
      <w:r>
        <w:rPr>
          <w:rFonts w:ascii="Century Gothic" w:cs="Century Gothic" w:eastAsia="Century Gothic" w:hAnsi="Century Gothic"/>
          <w:color w:val="C9C1B4"/>
          <w:sz w:val="22"/>
          <w:szCs w:val="22"/>
        </w:rPr>
        <w:t xml:space="preserve">Paschen (m² = 9) is the densest: all four of its first denominators are framework constants. This follows from the ternary power structure: 16 = 3² + 7, 27 = 3³, 40 = 3⁴ + 1 = R₄.</w:t>
      </w:r>
    </w:p>
    <w:p>
      <w:pPr>
        <w:pBdr>
          <w:top w:val="single" w:color="4A9EF5" w:sz="2" w:space="6"/>
          <w:bottom w:val="single" w:color="4A9EF5" w:sz="2" w:space="6"/>
        </w:pBdr>
        <w:spacing w:after="200" w:before="300"/>
        <w:jc w:val="center"/>
      </w:pPr>
      <w:r>
        <w:rPr>
          <w:rFonts w:ascii="Felix Titling" w:cs="Felix Titling" w:eastAsia="Felix Titling" w:hAnsi="Felix Titling"/>
          <w:color w:val="4A9EF5"/>
          <w:sz w:val="26"/>
          <w:szCs w:val="26"/>
        </w:rPr>
        <w:t xml:space="preserve">PART IV — APPARATUS</w:t>
      </w:r>
    </w:p>
    <w:p>
      <w:pPr>
        <w:pStyle w:val="Heading1"/>
        <w:spacing w:after="160" w:before="360"/>
      </w:pPr>
      <w:r>
        <w:rPr>
          <w:rFonts w:ascii="Felix Titling" w:cs="Felix Titling" w:eastAsia="Felix Titling" w:hAnsi="Felix Titling"/>
          <w:b/>
          <w:bCs/>
          <w:color w:val="F0EDE8"/>
          <w:sz w:val="36"/>
          <w:szCs w:val="36"/>
        </w:rPr>
        <w:t xml:space="preserve">§12  Proposed Constants File Additions (§19d)</w:t>
      </w:r>
    </w:p>
    <w:p>
      <w:pPr>
        <w:spacing w:after="120" w:line="276"/>
      </w:pPr>
      <w:r>
        <w:rPr>
          <w:rFonts w:ascii="Century Gothic" w:cs="Century Gothic" w:eastAsia="Century Gothic" w:hAnsi="Century Gothic"/>
          <w:color w:val="C9C1B4"/>
          <w:sz w:val="22"/>
          <w:szCs w:val="22"/>
        </w:rPr>
        <w:t xml:space="preserve">The following additions to unified_constants.rs are recommended:</w:t>
      </w:r>
    </w:p>
    <w:p>
      <w:pPr>
        <w:spacing w:after="160" w:before="160"/>
        <w:jc w:val="center"/>
      </w:pPr>
      <w:r>
        <w:rPr>
          <w:rFonts w:ascii="Consolas" w:cs="Consolas" w:eastAsia="Consolas" w:hAnsi="Consolas"/>
          <w:b/>
          <w:bCs/>
          <w:color w:val="4A9EF5"/>
          <w:sz w:val="24"/>
          <w:szCs w:val="24"/>
        </w:rPr>
        <w:t xml:space="preserve">pub const CODATA_PASCHEN_ALPHA_NM: f64 = 1_875.1;</w:t>
      </w:r>
    </w:p>
    <w:p>
      <w:pPr>
        <w:spacing w:after="160" w:before="160"/>
        <w:jc w:val="center"/>
      </w:pPr>
      <w:r>
        <w:rPr>
          <w:rFonts w:ascii="Consolas" w:cs="Consolas" w:eastAsia="Consolas" w:hAnsi="Consolas"/>
          <w:b/>
          <w:bCs/>
          <w:color w:val="4A9EF5"/>
          <w:sz w:val="24"/>
          <w:szCs w:val="24"/>
        </w:rPr>
        <w:t xml:space="preserve">pub const CODATA_BRACKETT_ALPHA_NM: f64 = 4_052.0;</w:t>
      </w:r>
    </w:p>
    <w:p>
      <w:pPr>
        <w:spacing w:after="160" w:before="160"/>
        <w:jc w:val="center"/>
      </w:pPr>
      <w:r>
        <w:rPr>
          <w:rFonts w:ascii="Consolas" w:cs="Consolas" w:eastAsia="Consolas" w:hAnsi="Consolas"/>
          <w:b/>
          <w:bCs/>
          <w:color w:val="4A9EF5"/>
          <w:sz w:val="24"/>
          <w:szCs w:val="24"/>
        </w:rPr>
        <w:t xml:space="preserve">pub const CODATA_PFUND_ALPHA_NM: f64 = 7_460.0;</w:t>
      </w:r>
    </w:p>
    <w:p>
      <w:pPr>
        <w:spacing w:after="120" w:line="276"/>
      </w:pPr>
      <w:r>
        <w:rPr>
          <w:rFonts w:ascii="Century Gothic" w:cs="Century Gothic" w:eastAsia="Century Gothic" w:hAnsi="Century Gothic"/>
          <w:color w:val="C9C1B4"/>
          <w:sz w:val="22"/>
          <w:szCs w:val="22"/>
        </w:rPr>
        <w:t xml:space="preserve">A universal helper replaces per-series test functions:</w:t>
      </w:r>
    </w:p>
    <w:p>
      <w:pPr>
        <w:spacing w:after="160" w:before="160"/>
        <w:jc w:val="center"/>
      </w:pPr>
      <w:r>
        <w:rPr>
          <w:rFonts w:ascii="Consolas" w:cs="Consolas" w:eastAsia="Consolas" w:hAnsi="Consolas"/>
          <w:b/>
          <w:bCs/>
          <w:color w:val="4A9EF5"/>
          <w:sz w:val="24"/>
          <w:szCs w:val="24"/>
        </w:rPr>
        <w:t xml:space="preserve">fn rydberg_predict(m: u32, n: u32) -&gt; f64 {</w:t>
      </w:r>
    </w:p>
    <w:p>
      <w:pPr>
        <w:spacing w:after="160" w:before="160"/>
        <w:jc w:val="center"/>
      </w:pPr>
      <w:r>
        <w:rPr>
          <w:rFonts w:ascii="Consolas" w:cs="Consolas" w:eastAsia="Consolas" w:hAnsi="Consolas"/>
          <w:b/>
          <w:bCs/>
          <w:color w:val="4A9EF5"/>
          <w:sz w:val="24"/>
          <w:szCs w:val="24"/>
        </w:rPr>
        <w:t xml:space="preserve">    QUAD_PRODUCT as f64 * (m*m*n*n) as f64</w:t>
      </w:r>
    </w:p>
    <w:p>
      <w:pPr>
        <w:spacing w:after="160" w:before="160"/>
        <w:jc w:val="center"/>
      </w:pPr>
      <w:r>
        <w:rPr>
          <w:rFonts w:ascii="Consolas" w:cs="Consolas" w:eastAsia="Consolas" w:hAnsi="Consolas"/>
          <w:b/>
          <w:bCs/>
          <w:color w:val="4A9EF5"/>
          <w:sz w:val="24"/>
          <w:szCs w:val="24"/>
        </w:rPr>
        <w:t xml:space="preserve">        / (4 * (n*n - m*m)) as f64</w:t>
      </w:r>
    </w:p>
    <w:p>
      <w:pPr>
        <w:spacing w:after="160" w:before="160"/>
        <w:jc w:val="center"/>
      </w:pPr>
      <w:r>
        <w:rPr>
          <w:rFonts w:ascii="Consolas" w:cs="Consolas" w:eastAsia="Consolas" w:hAnsi="Consolas"/>
          <w:b/>
          <w:bCs/>
          <w:color w:val="4A9EF5"/>
          <w:sz w:val="24"/>
          <w:szCs w:val="24"/>
        </w:rPr>
        <w:t xml:space="preserve">}</w:t>
      </w:r>
    </w:p>
    <w:p>
      <w:pPr>
        <w:spacing w:after="120" w:line="276"/>
      </w:pPr>
      <w:r>
        <w:rPr>
          <w:rFonts w:ascii="Century Gothic" w:cs="Century Gothic" w:eastAsia="Century Gothic" w:hAnsi="Century Gothic"/>
          <w:color w:val="C9C1B4"/>
          <w:sz w:val="22"/>
          <w:szCs w:val="22"/>
        </w:rPr>
        <w:t xml:space="preserve">Tests should assert Tier 2 tolerance (&lt; 1%) for all Paschen, Brackett, and Pfund alpha lines.</w:t>
      </w:r>
    </w:p>
    <w:p>
      <w:pPr>
        <w:pStyle w:val="Heading1"/>
        <w:spacing w:after="160" w:before="360"/>
      </w:pPr>
      <w:r>
        <w:rPr>
          <w:rFonts w:ascii="Felix Titling" w:cs="Felix Titling" w:eastAsia="Felix Titling" w:hAnsi="Felix Titling"/>
          <w:b/>
          <w:bCs/>
          <w:color w:val="F0EDE8"/>
          <w:sz w:val="36"/>
          <w:szCs w:val="36"/>
        </w:rPr>
        <w:t xml:space="preserve">§13  Cross-References</w:t>
      </w:r>
    </w:p>
    <w:p>
      <w:pPr>
        <w:spacing w:after="120" w:line="276"/>
      </w:pPr>
      <w:r>
        <w:rPr>
          <w:rFonts w:ascii="Century Gothic" w:cs="Century Gothic" w:eastAsia="Century Gothic" w:hAnsi="Century Gothic"/>
          <w:b/>
          <w:bCs/>
          <w:color w:val="C9C1B4"/>
          <w:sz w:val="22"/>
          <w:szCs w:val="22"/>
        </w:rPr>
        <w:t xml:space="preserve">TM-2026-017 §16: </w:t>
      </w:r>
      <w:r>
        <w:rPr>
          <w:rFonts w:ascii="Century Gothic" w:cs="Century Gothic" w:eastAsia="Century Gothic" w:hAnsi="Century Gothic"/>
          <w:color w:val="C9C1B4"/>
          <w:sz w:val="22"/>
          <w:szCs w:val="22"/>
        </w:rPr>
        <w:t xml:space="preserve">UV Spectral Correspondence. Establishes R₆ as the Balmer constant analog. This document generalizes to all series.</w:t>
      </w:r>
    </w:p>
    <w:p>
      <w:pPr>
        <w:spacing w:after="120" w:line="276"/>
      </w:pPr>
      <w:r>
        <w:rPr>
          <w:rFonts w:ascii="Century Gothic" w:cs="Century Gothic" w:eastAsia="Century Gothic" w:hAnsi="Century Gothic"/>
          <w:b/>
          <w:bCs/>
          <w:color w:val="C9C1B4"/>
          <w:sz w:val="22"/>
          <w:szCs w:val="22"/>
        </w:rPr>
        <w:t xml:space="preserve">TM-2026-026 v1.2: </w:t>
      </w:r>
      <w:r>
        <w:rPr>
          <w:rFonts w:ascii="Century Gothic" w:cs="Century Gothic" w:eastAsia="Century Gothic" w:hAnsi="Century Gothic"/>
          <w:color w:val="C9C1B4"/>
          <w:sz w:val="22"/>
          <w:szCs w:val="22"/>
        </w:rPr>
        <w:t xml:space="preserve">UV Spectral Protocol. Orbifold topology, vacuum bias decomposition, secondary integers (222, 308, 311 nm). UV-specific; not superseded.</w:t>
      </w:r>
    </w:p>
    <w:p>
      <w:pPr>
        <w:spacing w:after="120" w:line="276"/>
      </w:pPr>
      <w:r>
        <w:rPr>
          <w:rFonts w:ascii="Century Gothic" w:cs="Century Gothic" w:eastAsia="Century Gothic" w:hAnsi="Century Gothic"/>
          <w:b/>
          <w:bCs/>
          <w:color w:val="C9C1B4"/>
          <w:sz w:val="22"/>
          <w:szCs w:val="22"/>
        </w:rPr>
        <w:t xml:space="preserve">The Buried Question v9.3.3ad: </w:t>
      </w:r>
      <w:r>
        <w:rPr>
          <w:rFonts w:ascii="Century Gothic" w:cs="Century Gothic" w:eastAsia="Century Gothic" w:hAnsi="Century Gothic"/>
          <w:color w:val="C9C1B4"/>
          <w:sz w:val="22"/>
          <w:szCs w:val="22"/>
        </w:rPr>
        <w:t xml:space="preserve">Establishes the entropy infimum, cone-point floor, and the distinction between the scoped question (answerable) and the universal question (uncomputable). Provides the epistemological framework for §5.3–5.4.</w:t>
      </w:r>
    </w:p>
    <w:p>
      <w:pPr>
        <w:spacing w:after="120" w:line="276"/>
      </w:pPr>
      <w:r>
        <w:rPr>
          <w:rFonts w:ascii="Century Gothic" w:cs="Century Gothic" w:eastAsia="Century Gothic" w:hAnsi="Century Gothic"/>
          <w:b/>
          <w:bCs/>
          <w:color w:val="C9C1B4"/>
          <w:sz w:val="22"/>
          <w:szCs w:val="22"/>
        </w:rPr>
        <w:t xml:space="preserve">Kolmogorov Companion: </w:t>
      </w:r>
      <w:r>
        <w:rPr>
          <w:rFonts w:ascii="Century Gothic" w:cs="Century Gothic" w:eastAsia="Century Gothic" w:hAnsi="Century Gothic"/>
          <w:color w:val="C9C1B4"/>
          <w:sz w:val="22"/>
          <w:szCs w:val="22"/>
        </w:rPr>
        <w:t xml:space="preserve">Maps the Buried Question to Kolmogorov complexity, KS entropy, and Shannon’s theory. Establishes that Hₙₓ is a computable upper bound on K(x).</w:t>
      </w:r>
    </w:p>
    <w:p>
      <w:pPr>
        <w:spacing w:after="120" w:line="276"/>
      </w:pPr>
      <w:r>
        <w:rPr>
          <w:rFonts w:ascii="Century Gothic" w:cs="Century Gothic" w:eastAsia="Century Gothic" w:hAnsi="Century Gothic"/>
          <w:b/>
          <w:bCs/>
          <w:color w:val="C9C1B4"/>
          <w:sz w:val="22"/>
          <w:szCs w:val="22"/>
        </w:rPr>
        <w:t xml:space="preserve">unified_constants.rs §19b: </w:t>
      </w:r>
      <w:r>
        <w:rPr>
          <w:rFonts w:ascii="Century Gothic" w:cs="Century Gothic" w:eastAsia="Century Gothic" w:hAnsi="Century Gothic"/>
          <w:color w:val="C9C1B4"/>
          <w:sz w:val="22"/>
          <w:szCs w:val="22"/>
        </w:rPr>
        <w:t xml:space="preserve">CODATA 2022 bridge. Lyman/Balmer references, tolerance tiers, VACUUM_BIAS_NUM/DEN.</w:t>
      </w:r>
    </w:p>
    <w:p>
      <w:pPr>
        <w:spacing w:after="120" w:line="276"/>
      </w:pPr>
      <w:r>
        <w:rPr>
          <w:rFonts w:ascii="Century Gothic" w:cs="Century Gothic" w:eastAsia="Century Gothic" w:hAnsi="Century Gothic"/>
          <w:b/>
          <w:bCs/>
          <w:color w:val="C9C1B4"/>
          <w:sz w:val="22"/>
          <w:szCs w:val="22"/>
        </w:rPr>
        <w:t xml:space="preserve">unified_constants.rs §6: </w:t>
      </w:r>
      <w:r>
        <w:rPr>
          <w:rFonts w:ascii="Century Gothic" w:cs="Century Gothic" w:eastAsia="Century Gothic" w:hAnsi="Century Gothic"/>
          <w:color w:val="C9C1B4"/>
          <w:sz w:val="22"/>
          <w:szCs w:val="22"/>
        </w:rPr>
        <w:t xml:space="preserve">UV spectral wavelengths. The four primary wavelengths (91, 182, 286, 364 nm) are the Lyman series subset of the master formula.</w:t>
      </w:r>
    </w:p>
    <w:p>
      <w:pPr>
        <w:pStyle w:val="Heading1"/>
        <w:spacing w:after="160" w:before="360"/>
      </w:pPr>
      <w:r>
        <w:rPr>
          <w:rFonts w:ascii="Felix Titling" w:cs="Felix Titling" w:eastAsia="Felix Titling" w:hAnsi="Felix Titling"/>
          <w:b/>
          <w:bCs/>
          <w:color w:val="F0EDE8"/>
          <w:sz w:val="36"/>
          <w:szCs w:val="36"/>
        </w:rPr>
        <w:t xml:space="preserve">§14  Conclusion</w:t>
      </w:r>
    </w:p>
    <w:p>
      <w:pPr>
        <w:spacing w:after="120" w:line="276"/>
      </w:pPr>
      <w:r>
        <w:rPr>
          <w:rFonts w:ascii="Century Gothic" w:cs="Century Gothic" w:eastAsia="Century Gothic" w:hAnsi="Century Gothic"/>
          <w:color w:val="C9C1B4"/>
          <w:sz w:val="22"/>
          <w:szCs w:val="22"/>
        </w:rPr>
        <w:t xml:space="preserve">The derivation chain is: ternary axiom (Rₙ = (3ⁿ−1)/2) → repunit family → circle quadratic x² − 40x + 364 = 0 → quarter-turn R₆/4 = 91 → bridge identification 91 ≈ 1/R∞ → master formula λ = R₆m²n²/[4(n² − m²)]. Steps 1–4 are exact integer mathematics from the sole axiom. Step 5 is a single empirical identification (−0.139%). Steps 6–11 are standard Rydberg mechanics with that identification applied.</w:t>
      </w:r>
    </w:p>
    <w:p>
      <w:pPr>
        <w:spacing w:after="120" w:line="276"/>
      </w:pPr>
      <w:r>
        <w:rPr>
          <w:rFonts w:ascii="Century Gothic" w:cs="Century Gothic" w:eastAsia="Century Gothic" w:hAnsi="Century Gothic"/>
          <w:color w:val="C9C1B4"/>
          <w:sz w:val="22"/>
          <w:szCs w:val="22"/>
        </w:rPr>
        <w:t xml:space="preserve">The spectral residual (κ = 91.127/91 = 1.00139) is the geometric floor of the hydrogen spectral walk — the cone-point obstruction of the Buried Question applied to spectroscopy. It is strictly positive, uniform across all series, and irreducible within the integer domain. It is the measured distance between exact algebraic constants and laboratory wavelengths — not an omitted correction. The framework produces integers; physics produces measurements; the gap is characterized, not apologised for. The framework characterizes hydrogen’s repunit alignment; it does not explain why nature exhibits that alignment. The ocean is the repunit formula. The hydrogen spectrum is one wave. The cone point is the rock that remains.</w:t>
      </w:r>
    </w:p>
    <w:p>
      <w:pPr>
        <w:spacing w:after="120" w:line="276"/>
      </w:pPr>
      <w:r>
        <w:rPr>
          <w:rFonts w:ascii="Century Gothic" w:cs="Century Gothic" w:eastAsia="Century Gothic" w:hAnsi="Century Gothic"/>
          <w:color w:val="C9C1B4"/>
          <w:sz w:val="22"/>
          <w:szCs w:val="22"/>
        </w:rPr>
        <w:t xml:space="preserve">The most significant structural result is Pa-α = R₃ × Δ = 13 × 144 = 1872 nm: the radian and discriminant of the circle quadratic multiply to predict the Paschen-alpha wavelength. The master formula approximates all five named hydrogen series (Lyman through Pfund) to within 0.2% of CODATA 2022 measurements. The offset is systematic, uniform, and fully characterized.</w:t>
      </w:r>
    </w:p>
    <w:p>
      <w:pPr>
        <w:spacing w:before="600"/>
      </w:pPr>
    </w:p>
    <w:p>
      <w:pPr>
        <w:pBdr>
          <w:top w:val="single" w:color="4A9EF5" w:sz="4" w:space="8"/>
          <w:bottom w:val="single" w:color="4A9EF5" w:sz="4" w:space="8"/>
        </w:pBdr>
        <w:spacing w:after="200" w:before="200"/>
        <w:jc w:val="center"/>
      </w:pPr>
      <w:r>
        <w:rPr>
          <w:rFonts w:ascii="Felix Titling" w:cs="Felix Titling" w:eastAsia="Felix Titling" w:hAnsi="Felix Titling"/>
          <w:b/>
          <w:bCs/>
          <w:color w:val="4A9EF5"/>
          <w:sz w:val="22"/>
          <w:szCs w:val="22"/>
        </w:rPr>
        <w:t xml:space="preserve">PROPRIETARY AND CONFIDENTIAL</w:t>
      </w:r>
      <w:r>
        <w:rPr>
          <w:color w:val="998F82"/>
          <w:sz w:val="18"/>
          <w:szCs w:val="18"/>
        </w:rPr>
        <w:br/>
        <w:t xml:space="preserve">
Capomastro Holdings Ltd. — Applied Physics Division</w:t>
      </w:r>
      <w:r>
        <w:rPr>
          <w:color w:val="6B655E"/>
          <w:sz w:val="18"/>
          <w:szCs w:val="18"/>
        </w:rPr>
        <w:br/>
        <w:t xml:space="preserve">
Patent(s) Pending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2220" w:sz="2" w:space="4"/>
      </w:pBdr>
      <w:jc w:val="center"/>
    </w:pPr>
    <w:r>
      <w:rPr>
        <w:color w:val="6B655E"/>
        <w:sz w:val="16"/>
        <w:szCs w:val="16"/>
      </w:rPr>
      <w:t xml:space="preserve">Applied Physics Division  •  PROPRIETARY AND CONFIDENTIAL  •  Page </w:t>
    </w:r>
    <w:r>
      <w:rPr>
        <w:color w:val="6B65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EF5" w:sz="4" w:space="4"/>
      </w:pBdr>
      <w:jc w:val="right"/>
    </w:pPr>
    <w:r>
      <w:rPr>
        <w:rFonts w:ascii="Felix Titling" w:cs="Felix Titling" w:eastAsia="Felix Titling" w:hAnsi="Felix Titling"/>
        <w:color w:val="998F82"/>
        <w:sz w:val="18"/>
        <w:szCs w:val="18"/>
      </w:rPr>
      <w:t xml:space="preserve">TM-2026-033 v5.0</w:t>
    </w:r>
    <w:r>
      <w:rPr>
        <w:color w:val="6B655E"/>
        <w:sz w:val="18"/>
        <w:szCs w:val="18"/>
      </w:rPr>
      <w:t xml:space="preserve">  |  </w:t>
    </w:r>
    <w:r>
      <w:rPr>
        <w:i/>
        <w:iCs/>
        <w:color w:val="998F82"/>
        <w:sz w:val="18"/>
        <w:szCs w:val="18"/>
      </w:rPr>
      <w:t xml:space="preserve">Capomastro Holdings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Felix Titling" w:cs="Felix Titling" w:eastAsia="Felix Titling" w:hAnsi="Felix Titling"/>
      <w:b/>
      <w:bCs/>
      <w:sz w:val="36"/>
      <w:szCs w:val="36"/>
    </w:rPr>
  </w:style>
  <w:style w:type="paragraph" w:styleId="Heading2">
    <w:name w:val="Heading 2"/>
    <w:basedOn w:val="Normal"/>
    <w:next w:val="Normal"/>
    <w:qFormat/>
    <w:pPr>
      <w:spacing w:after="180" w:before="240"/>
      <w:outlineLvl w:val="1"/>
    </w:pPr>
    <w:rPr>
      <w:rFonts w:ascii="Felix Titling" w:cs="Felix Titling" w:eastAsia="Felix Titling" w:hAnsi="Felix Titling"/>
      <w:b/>
      <w:bCs/>
      <w:sz w:val="28"/>
      <w:szCs w:val="28"/>
    </w:rPr>
  </w:style>
  <w:style w:type="paragraph" w:styleId="Heading3">
    <w:name w:val="Heading 3"/>
    <w:basedOn w:val="Normal"/>
    <w:next w:val="Normal"/>
    <w:qFormat/>
    <w:pPr>
      <w:spacing w:after="160" w:before="200"/>
      <w:outlineLvl w:val="2"/>
    </w:pPr>
    <w:rPr>
      <w:rFonts w:ascii="Felix Titling" w:cs="Felix Titling" w:eastAsia="Felix Titling" w:hAnsi="Felix Titling"/>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2026-04-08T14:49:30.044Z</dcterms:created>
  <dcterms:modified xsi:type="dcterms:W3CDTF">2026-04-08T14:49:30.045Z</dcterms:modified>
</cp:coreProperties>
</file>

<file path=docProps/custom.xml><?xml version="1.0" encoding="utf-8"?>
<Properties xmlns="http://schemas.openxmlformats.org/officeDocument/2006/custom-properties" xmlns:vt="http://schemas.openxmlformats.org/officeDocument/2006/docPropsVTypes"/>
</file>