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Selfcheckout Platform Patent Figures &amp; Descriptions</w:t>
      </w:r>
    </w:p>
    <w:p>
      <w:pPr>
        <w:pStyle w:val="Subtitle"/>
      </w:pPr>
      <w:r>
        <w:t xml:space="preserve">System block diagram, reference numerals, component mapping, and operational workflow</w:t>
      </w:r>
    </w:p>
    <w:p>
      <w:r>
        <w:t xml:space="preserve">Date: 2026-01-07</w:t>
      </w:r>
    </w:p>
    <w:p>
      <w:r>
        <w:t xml:space="preserve"/>
      </w:r>
    </w:p>
    <w:p>
      <w:pPr>
        <w:pStyle w:val="Heading1"/>
      </w:pPr>
      <w:r>
        <w:t xml:space="preserve">Figure 1 — System Block Diagram</w:t>
      </w:r>
    </w:p>
    <w:p>
      <w:pPr>
        <w:pStyle w:val="Heading2"/>
      </w:pPr>
      <w:r>
        <w:t xml:space="preserve">Diagrammatic schematic of module connectivity.</w:t>
      </w:r>
    </w:p>
    <w:p>
      <w:r>
        <w:rPr>
          <w:rFonts w:ascii="Courier New" w:hAnsi="Courier New"/>
        </w:rPr>
        <w:t xml:space="preserve">                          [106 Super Admin Console]</w:t>
      </w:r>
    </w:p>
    <w:p>
      <w:r>
        <w:rPr>
          <w:rFonts w:ascii="Courier New" w:hAnsi="Courier New"/>
        </w:rPr>
        <w:t xml:space="preserve">                                   |</w:t>
      </w:r>
    </w:p>
    <w:p>
      <w:r>
        <w:rPr>
          <w:rFonts w:ascii="Courier New" w:hAnsi="Courier New"/>
        </w:rPr>
        <w:t xml:space="preserve">[102 Customer Device] ----+---- [108 Network] ----+---- [104 Retailer Device]</w:t>
      </w:r>
    </w:p>
    <w:p>
      <w:r>
        <w:rPr>
          <w:rFonts w:ascii="Courier New" w:hAnsi="Courier New"/>
        </w:rPr>
        <w:t xml:space="preserve">                                   |</w:t>
      </w:r>
    </w:p>
    <w:p>
      <w:r>
        <w:rPr>
          <w:rFonts w:ascii="Courier New" w:hAnsi="Courier New"/>
        </w:rPr>
        <w:t xml:space="preserve">                               [110 API Server]</w:t>
      </w:r>
    </w:p>
    <w:p>
      <w:r>
        <w:rPr>
          <w:rFonts w:ascii="Courier New" w:hAnsi="Courier New"/>
        </w:rPr>
        <w:t xml:space="preserve">     [112 Auth] [114 Self-Checkout] [116 Inventory] [118 Ledger] [120 Receipts]</w:t>
      </w:r>
    </w:p>
    <w:p>
      <w:r>
        <w:rPr>
          <w:rFonts w:ascii="Courier New" w:hAnsi="Courier New"/>
        </w:rPr>
        <w:t xml:space="preserve">     [122 Subscription/KYC] [124 Payments] [126 Reporting] [128 Storage]</w:t>
      </w:r>
    </w:p>
    <w:p>
      <w:r>
        <w:rPr>
          <w:rFonts w:ascii="Courier New" w:hAnsi="Courier New"/>
        </w:rPr>
        <w:t xml:space="preserve">              |                         |</w:t>
      </w:r>
    </w:p>
    <w:p>
      <w:r>
        <w:rPr>
          <w:rFonts w:ascii="Courier New" w:hAnsi="Courier New"/>
        </w:rPr>
        <w:t xml:space="preserve">       [130 Data Store]          [132 Object Storage]     [134 Payment Gateway]</w:t>
      </w:r>
    </w:p>
    <w:p>
      <w:r>
        <w:rPr>
          <w:rFonts w:ascii="Courier New" w:hAnsi="Courier New"/>
        </w:rPr>
        <w:t xml:space="preserve"/>
      </w:r>
    </w:p>
    <w:p>
      <w:r>
        <w:rPr>
          <w:rFonts w:ascii="Courier New" w:hAnsi="Courier New"/>
        </w:rPr>
        <w:t xml:space="preserve">Additional local subsystems:</w:t>
      </w:r>
    </w:p>
    <w:p>
      <w:r>
        <w:rPr>
          <w:rFonts w:ascii="Courier New" w:hAnsi="Courier New"/>
        </w:rPr>
        <w:t xml:space="preserve">- [136 Offline Queue Store]</w:t>
      </w:r>
    </w:p>
    <w:p>
      <w:r>
        <w:rPr>
          <w:rFonts w:ascii="Courier New" w:hAnsi="Courier New"/>
        </w:rPr>
        <w:t xml:space="preserve">- [138 Scanner/Camera]</w:t>
      </w:r>
    </w:p>
    <w:p>
      <w:r>
        <w:rPr>
          <w:rFonts w:ascii="Courier New" w:hAnsi="Courier New"/>
        </w:rPr>
        <w:t xml:space="preserve">- [140 Menu Service]</w:t>
      </w:r>
    </w:p>
    <w:p>
      <w:pPr>
        <w:pStyle w:val="Heading2"/>
      </w:pPr>
      <w:r>
        <w:t xml:space="preserve">Reference Numerals</w:t>
      </w:r>
    </w:p>
    <w:p>
      <w:r>
        <w:t xml:space="preserve">- 100 Selfcheckout platform (overall system)</w:t>
      </w:r>
    </w:p>
    <w:p>
      <w:r>
        <w:t xml:space="preserve">- 102 Customer device (user self-checkout web client)</w:t>
      </w:r>
    </w:p>
    <w:p>
      <w:r>
        <w:t xml:space="preserve">- 104 Retailer device (retailer web POS / mobile POS)</w:t>
      </w:r>
    </w:p>
    <w:p>
      <w:r>
        <w:t xml:space="preserve">- 106 Super admin console (admin web client)</w:t>
      </w:r>
    </w:p>
    <w:p>
      <w:r>
        <w:t xml:space="preserve">- 108 Network (HTTPS/IP network)</w:t>
      </w:r>
    </w:p>
    <w:p>
      <w:r>
        <w:t xml:space="preserve">- 110 API server (Express backend)</w:t>
      </w:r>
    </w:p>
    <w:p>
      <w:r>
        <w:t xml:space="preserve">- 112 Auth service (JWT auth and role guards)</w:t>
      </w:r>
    </w:p>
    <w:p>
      <w:r>
        <w:t xml:space="preserve">- 114 Self-checkout session service (session lifecycle, security codes)</w:t>
      </w:r>
    </w:p>
    <w:p>
      <w:r>
        <w:t xml:space="preserve">- 116 Inventory service (SKU lookup, price/tax resolution)</w:t>
      </w:r>
    </w:p>
    <w:p>
      <w:r>
        <w:t xml:space="preserve">- 118 Customer ledger service (dues, settlements)</w:t>
      </w:r>
    </w:p>
    <w:p>
      <w:r>
        <w:t xml:space="preserve">- 120 Receipt/invoice service (invoice creation, receipts)</w:t>
      </w:r>
    </w:p>
    <w:p>
      <w:r>
        <w:t xml:space="preserve">- 122 Subscription/KYC service (onboarding, compliance)</w:t>
      </w:r>
    </w:p>
    <w:p>
      <w:r>
        <w:t xml:space="preserve">- 124 Payment integration service (Razorpay link/webhook/refund)</w:t>
      </w:r>
    </w:p>
    <w:p>
      <w:r>
        <w:t xml:space="preserve">- 126 Reporting/admin service (sales/reports)</w:t>
      </w:r>
    </w:p>
    <w:p>
      <w:r>
        <w:t xml:space="preserve">- 128 Storage service (file uploads to S3/local)</w:t>
      </w:r>
    </w:p>
    <w:p>
      <w:r>
        <w:t xml:space="preserve">- 130 Data store (PostgreSQL via Prisma ORM)</w:t>
      </w:r>
    </w:p>
    <w:p>
      <w:r>
        <w:t xml:space="preserve">- 132 Object storage (S3 or local storage path)</w:t>
      </w:r>
    </w:p>
    <w:p>
      <w:r>
        <w:t xml:space="preserve">- 134 Payment gateway (Razorpay)</w:t>
      </w:r>
    </w:p>
    <w:p>
      <w:r>
        <w:t xml:space="preserve">- 136 Offline queue store (client-side offline invoice queue)</w:t>
      </w:r>
    </w:p>
    <w:p>
      <w:r>
        <w:t xml:space="preserve">- 138 Scanner/camera subsystem (QR/barcode capture)</w:t>
      </w:r>
    </w:p>
    <w:p>
      <w:r>
        <w:t xml:space="preserve">- 140 Menu service (restaurant menu retrieval)</w:t>
      </w:r>
    </w:p>
    <w:p>
      <w:pPr>
        <w:pStyle w:val="Heading2"/>
      </w:pPr>
      <w:r>
        <w:t xml:space="preserve">Component-wise Description (Linked to Numerals)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Component name</w:t>
            </w:r>
          </w:p>
        </w:tc>
        <w:tc>
          <w:tcPr>
            <w:tcW w:w="2400" w:type="dxa"/>
          </w:tcPr>
          <w:p>
            <w:r>
              <w:t xml:space="preserve">Numeral</w:t>
            </w:r>
          </w:p>
        </w:tc>
        <w:tc>
          <w:tcPr>
            <w:tcW w:w="2400" w:type="dxa"/>
          </w:tcPr>
          <w:p>
            <w:r>
              <w:t xml:space="preserve">Location</w:t>
            </w:r>
          </w:p>
        </w:tc>
        <w:tc>
          <w:tcPr>
            <w:tcW w:w="2400" w:type="dxa"/>
          </w:tcPr>
          <w:p>
            <w:r>
              <w:t xml:space="preserve">Connections</w:t>
            </w:r>
          </w:p>
        </w:tc>
        <w:tc>
          <w:tcPr>
            <w:tcW w:w="2400" w:type="dxa"/>
          </w:tcPr>
          <w:p>
            <w:r>
              <w:t xml:space="preserve">Technical function</w:t>
            </w:r>
          </w:p>
        </w:tc>
      </w:tr>
      <w:tr>
        <w:tc>
          <w:tcPr>
            <w:tcW w:w="2400" w:type="dxa"/>
          </w:tcPr>
          <w:p>
            <w:r>
              <w:t xml:space="preserve">Selfcheckout platform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System boundary</w:t>
            </w:r>
          </w:p>
        </w:tc>
        <w:tc>
          <w:tcPr>
            <w:tcW w:w="2400" w:type="dxa"/>
          </w:tcPr>
          <w:p>
            <w:r>
              <w:t xml:space="preserve">102, 104, 106, 108, 110, 130, 132, 134</w:t>
            </w:r>
          </w:p>
        </w:tc>
        <w:tc>
          <w:tcPr>
            <w:tcW w:w="2400" w:type="dxa"/>
          </w:tcPr>
          <w:p>
            <w:r>
              <w:t xml:space="preserve">End-to-end self-checkout and POS ecosystem across clients and backend.</w:t>
            </w:r>
          </w:p>
        </w:tc>
      </w:tr>
      <w:tr>
        <w:tc>
          <w:tcPr>
            <w:tcW w:w="2400" w:type="dxa"/>
          </w:tcPr>
          <w:p>
            <w:r>
              <w:t xml:space="preserve">Customer device</w:t>
            </w:r>
          </w:p>
        </w:tc>
        <w:tc>
          <w:tcPr>
            <w:tcW w:w="2400" w:type="dxa"/>
          </w:tcPr>
          <w:p>
            <w:r>
              <w:t xml:space="preserve">102</w:t>
            </w:r>
          </w:p>
        </w:tc>
        <w:tc>
          <w:tcPr>
            <w:tcW w:w="2400" w:type="dxa"/>
          </w:tcPr>
          <w:p>
            <w:r>
              <w:t xml:space="preserve">Client side</w:t>
            </w:r>
          </w:p>
        </w:tc>
        <w:tc>
          <w:tcPr>
            <w:tcW w:w="2400" w:type="dxa"/>
          </w:tcPr>
          <w:p>
            <w:r>
              <w:t xml:space="preserve">108, 110, 138</w:t>
            </w:r>
          </w:p>
        </w:tc>
        <w:tc>
          <w:tcPr>
            <w:tcW w:w="2400" w:type="dxa"/>
          </w:tcPr>
          <w:p>
            <w:r>
              <w:t xml:space="preserve">Runs customer self-checkout UI to start sessions, scan items, submit checkout.</w:t>
            </w:r>
          </w:p>
        </w:tc>
      </w:tr>
      <w:tr>
        <w:tc>
          <w:tcPr>
            <w:tcW w:w="2400" w:type="dxa"/>
          </w:tcPr>
          <w:p>
            <w:r>
              <w:t xml:space="preserve">Retailer device</w:t>
            </w:r>
          </w:p>
        </w:tc>
        <w:tc>
          <w:tcPr>
            <w:tcW w:w="2400" w:type="dxa"/>
          </w:tcPr>
          <w:p>
            <w:r>
              <w:t xml:space="preserve">104</w:t>
            </w:r>
          </w:p>
        </w:tc>
        <w:tc>
          <w:tcPr>
            <w:tcW w:w="2400" w:type="dxa"/>
          </w:tcPr>
          <w:p>
            <w:r>
              <w:t xml:space="preserve">Client side</w:t>
            </w:r>
          </w:p>
        </w:tc>
        <w:tc>
          <w:tcPr>
            <w:tcW w:w="2400" w:type="dxa"/>
          </w:tcPr>
          <w:p>
            <w:r>
              <w:t xml:space="preserve">108, 110, 136, 138</w:t>
            </w:r>
          </w:p>
        </w:tc>
        <w:tc>
          <w:tcPr>
            <w:tcW w:w="2400" w:type="dxa"/>
          </w:tcPr>
          <w:p>
            <w:r>
              <w:t xml:space="preserve">Runs retailer POS for billing, payment marking, and offline queuing.</w:t>
            </w:r>
          </w:p>
        </w:tc>
      </w:tr>
      <w:tr>
        <w:tc>
          <w:tcPr>
            <w:tcW w:w="2400" w:type="dxa"/>
          </w:tcPr>
          <w:p>
            <w:r>
              <w:t xml:space="preserve">Super admin console</w:t>
            </w:r>
          </w:p>
        </w:tc>
        <w:tc>
          <w:tcPr>
            <w:tcW w:w="2400" w:type="dxa"/>
          </w:tcPr>
          <w:p>
            <w:r>
              <w:t xml:space="preserve">106</w:t>
            </w:r>
          </w:p>
        </w:tc>
        <w:tc>
          <w:tcPr>
            <w:tcW w:w="2400" w:type="dxa"/>
          </w:tcPr>
          <w:p>
            <w:r>
              <w:t xml:space="preserve">Client side</w:t>
            </w:r>
          </w:p>
        </w:tc>
        <w:tc>
          <w:tcPr>
            <w:tcW w:w="2400" w:type="dxa"/>
          </w:tcPr>
          <w:p>
            <w:r>
              <w:t xml:space="preserve">108, 110</w:t>
            </w:r>
          </w:p>
        </w:tc>
        <w:tc>
          <w:tcPr>
            <w:tcW w:w="2400" w:type="dxa"/>
          </w:tcPr>
          <w:p>
            <w:r>
              <w:t xml:space="preserve">Admin UI for onboarding, KYC, subscriptions, and oversight.</w:t>
            </w:r>
          </w:p>
        </w:tc>
      </w:tr>
      <w:tr>
        <w:tc>
          <w:tcPr>
            <w:tcW w:w="2400" w:type="dxa"/>
          </w:tcPr>
          <w:p>
            <w:r>
              <w:t xml:space="preserve">Network</w:t>
            </w:r>
          </w:p>
        </w:tc>
        <w:tc>
          <w:tcPr>
            <w:tcW w:w="2400" w:type="dxa"/>
          </w:tcPr>
          <w:p>
            <w:r>
              <w:t xml:space="preserve">108</w:t>
            </w:r>
          </w:p>
        </w:tc>
        <w:tc>
          <w:tcPr>
            <w:tcW w:w="2400" w:type="dxa"/>
          </w:tcPr>
          <w:p>
            <w:r>
              <w:t xml:space="preserve">Communications layer</w:t>
            </w:r>
          </w:p>
        </w:tc>
        <w:tc>
          <w:tcPr>
            <w:tcW w:w="2400" w:type="dxa"/>
          </w:tcPr>
          <w:p>
            <w:r>
              <w:t xml:space="preserve">102, 104, 106, 110</w:t>
            </w:r>
          </w:p>
        </w:tc>
        <w:tc>
          <w:tcPr>
            <w:tcW w:w="2400" w:type="dxa"/>
          </w:tcPr>
          <w:p>
            <w:r>
              <w:t xml:space="preserve">Transports HTTPS requests/responses between clients and backend.</w:t>
            </w:r>
          </w:p>
        </w:tc>
      </w:tr>
      <w:tr>
        <w:tc>
          <w:tcPr>
            <w:tcW w:w="2400" w:type="dxa"/>
          </w:tcPr>
          <w:p>
            <w:r>
              <w:t xml:space="preserve">API server</w:t>
            </w:r>
          </w:p>
        </w:tc>
        <w:tc>
          <w:tcPr>
            <w:tcW w:w="2400" w:type="dxa"/>
          </w:tcPr>
          <w:p>
            <w:r>
              <w:t xml:space="preserve">110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108, 112–128, 130, 132, 134</w:t>
            </w:r>
          </w:p>
        </w:tc>
        <w:tc>
          <w:tcPr>
            <w:tcW w:w="2400" w:type="dxa"/>
          </w:tcPr>
          <w:p>
            <w:r>
              <w:t xml:space="preserve">Hosts REST API and coordinates service modules.</w:t>
            </w:r>
          </w:p>
        </w:tc>
      </w:tr>
      <w:tr>
        <w:tc>
          <w:tcPr>
            <w:tcW w:w="2400" w:type="dxa"/>
          </w:tcPr>
          <w:p>
            <w:r>
              <w:t xml:space="preserve">Auth service</w:t>
            </w:r>
          </w:p>
        </w:tc>
        <w:tc>
          <w:tcPr>
            <w:tcW w:w="2400" w:type="dxa"/>
          </w:tcPr>
          <w:p>
            <w:r>
              <w:t xml:space="preserve">112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Validates credentials, issues JWTs, enforces role guards.</w:t>
            </w:r>
          </w:p>
        </w:tc>
      </w:tr>
      <w:tr>
        <w:tc>
          <w:tcPr>
            <w:tcW w:w="2400" w:type="dxa"/>
          </w:tcPr>
          <w:p>
            <w:r>
              <w:t xml:space="preserve">Self-checkout service</w:t>
            </w:r>
          </w:p>
        </w:tc>
        <w:tc>
          <w:tcPr>
            <w:tcW w:w="2400" w:type="dxa"/>
          </w:tcPr>
          <w:p>
            <w:r>
              <w:t xml:space="preserve">114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110, 116, 120, 130</w:t>
            </w:r>
          </w:p>
        </w:tc>
        <w:tc>
          <w:tcPr>
            <w:tcW w:w="2400" w:type="dxa"/>
          </w:tcPr>
          <w:p>
            <w:r>
              <w:t xml:space="preserve">Creates and manages sessions, totals, and security codes.</w:t>
            </w:r>
          </w:p>
        </w:tc>
      </w:tr>
      <w:tr>
        <w:tc>
          <w:tcPr>
            <w:tcW w:w="2400" w:type="dxa"/>
          </w:tcPr>
          <w:p>
            <w:r>
              <w:t xml:space="preserve">Inventory service</w:t>
            </w:r>
          </w:p>
        </w:tc>
        <w:tc>
          <w:tcPr>
            <w:tcW w:w="2400" w:type="dxa"/>
          </w:tcPr>
          <w:p>
            <w:r>
              <w:t xml:space="preserve">116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Resolves SKU to price/tax; provides item metadata.</w:t>
            </w:r>
          </w:p>
        </w:tc>
      </w:tr>
      <w:tr>
        <w:tc>
          <w:tcPr>
            <w:tcW w:w="2400" w:type="dxa"/>
          </w:tcPr>
          <w:p>
            <w:r>
              <w:t xml:space="preserve">Customer ledger service</w:t>
            </w:r>
          </w:p>
        </w:tc>
        <w:tc>
          <w:tcPr>
            <w:tcW w:w="2400" w:type="dxa"/>
          </w:tcPr>
          <w:p>
            <w:r>
              <w:t xml:space="preserve">118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Tracks customer balances and settlement states.</w:t>
            </w:r>
          </w:p>
        </w:tc>
      </w:tr>
      <w:tr>
        <w:tc>
          <w:tcPr>
            <w:tcW w:w="2400" w:type="dxa"/>
          </w:tcPr>
          <w:p>
            <w:r>
              <w:t xml:space="preserve">Receipt/invoice service</w:t>
            </w:r>
          </w:p>
        </w:tc>
        <w:tc>
          <w:tcPr>
            <w:tcW w:w="2400" w:type="dxa"/>
          </w:tcPr>
          <w:p>
            <w:r>
              <w:t xml:space="preserve">120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Generates invoice entities and receipt records.</w:t>
            </w:r>
          </w:p>
        </w:tc>
      </w:tr>
      <w:tr>
        <w:tc>
          <w:tcPr>
            <w:tcW w:w="2400" w:type="dxa"/>
          </w:tcPr>
          <w:p>
            <w:r>
              <w:t xml:space="preserve">Subscription/KYC service</w:t>
            </w:r>
          </w:p>
        </w:tc>
        <w:tc>
          <w:tcPr>
            <w:tcW w:w="2400" w:type="dxa"/>
          </w:tcPr>
          <w:p>
            <w:r>
              <w:t xml:space="preserve">122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110, 130, 134</w:t>
            </w:r>
          </w:p>
        </w:tc>
        <w:tc>
          <w:tcPr>
            <w:tcW w:w="2400" w:type="dxa"/>
          </w:tcPr>
          <w:p>
            <w:r>
              <w:t xml:space="preserve">Manages retailer onboarding and compliance data.</w:t>
            </w:r>
          </w:p>
        </w:tc>
      </w:tr>
      <w:tr>
        <w:tc>
          <w:tcPr>
            <w:tcW w:w="2400" w:type="dxa"/>
          </w:tcPr>
          <w:p>
            <w:r>
              <w:t xml:space="preserve">Payment integration</w:t>
            </w:r>
          </w:p>
        </w:tc>
        <w:tc>
          <w:tcPr>
            <w:tcW w:w="2400" w:type="dxa"/>
          </w:tcPr>
          <w:p>
            <w:r>
              <w:t xml:space="preserve">124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110, 134</w:t>
            </w:r>
          </w:p>
        </w:tc>
        <w:tc>
          <w:tcPr>
            <w:tcW w:w="2400" w:type="dxa"/>
          </w:tcPr>
          <w:p>
            <w:r>
              <w:t xml:space="preserve">Creates payment links, handles webhooks/refunds.</w:t>
            </w:r>
          </w:p>
        </w:tc>
      </w:tr>
      <w:tr>
        <w:tc>
          <w:tcPr>
            <w:tcW w:w="2400" w:type="dxa"/>
          </w:tcPr>
          <w:p>
            <w:r>
              <w:t xml:space="preserve">Reporting/admin service</w:t>
            </w:r>
          </w:p>
        </w:tc>
        <w:tc>
          <w:tcPr>
            <w:tcW w:w="2400" w:type="dxa"/>
          </w:tcPr>
          <w:p>
            <w:r>
              <w:t xml:space="preserve">126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Aggregates sales and reporting data for dashboards.</w:t>
            </w:r>
          </w:p>
        </w:tc>
      </w:tr>
      <w:tr>
        <w:tc>
          <w:tcPr>
            <w:tcW w:w="2400" w:type="dxa"/>
          </w:tcPr>
          <w:p>
            <w:r>
              <w:t xml:space="preserve">Storage service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110, 132, 130</w:t>
            </w:r>
          </w:p>
        </w:tc>
        <w:tc>
          <w:tcPr>
            <w:tcW w:w="2400" w:type="dxa"/>
          </w:tcPr>
          <w:p>
            <w:r>
              <w:t xml:space="preserve">Stores/retrieves uploaded files (S3 or local).</w:t>
            </w:r>
          </w:p>
        </w:tc>
      </w:tr>
      <w:tr>
        <w:tc>
          <w:tcPr>
            <w:tcW w:w="2400" w:type="dxa"/>
          </w:tcPr>
          <w:p>
            <w:r>
              <w:t xml:space="preserve">Data store</w:t>
            </w:r>
          </w:p>
        </w:tc>
        <w:tc>
          <w:tcPr>
            <w:tcW w:w="2400" w:type="dxa"/>
          </w:tcPr>
          <w:p>
            <w:r>
              <w:t xml:space="preserve">130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112–126</w:t>
            </w:r>
          </w:p>
        </w:tc>
        <w:tc>
          <w:tcPr>
            <w:tcW w:w="2400" w:type="dxa"/>
          </w:tcPr>
          <w:p>
            <w:r>
              <w:t xml:space="preserve">Persists retailers, sessions, items, invoices, and KYC data.</w:t>
            </w:r>
          </w:p>
        </w:tc>
      </w:tr>
      <w:tr>
        <w:tc>
          <w:tcPr>
            <w:tcW w:w="2400" w:type="dxa"/>
          </w:tcPr>
          <w:p>
            <w:r>
              <w:t xml:space="preserve">Object storage</w:t>
            </w:r>
          </w:p>
        </w:tc>
        <w:tc>
          <w:tcPr>
            <w:tcW w:w="2400" w:type="dxa"/>
          </w:tcPr>
          <w:p>
            <w:r>
              <w:t xml:space="preserve">132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Stores binary assets (documents, receipts).</w:t>
            </w:r>
          </w:p>
        </w:tc>
      </w:tr>
      <w:tr>
        <w:tc>
          <w:tcPr>
            <w:tcW w:w="2400" w:type="dxa"/>
          </w:tcPr>
          <w:p>
            <w:r>
              <w:t xml:space="preserve">Payment gateway</w:t>
            </w:r>
          </w:p>
        </w:tc>
        <w:tc>
          <w:tcPr>
            <w:tcW w:w="2400" w:type="dxa"/>
          </w:tcPr>
          <w:p>
            <w:r>
              <w:t xml:space="preserve">134</w:t>
            </w:r>
          </w:p>
        </w:tc>
        <w:tc>
          <w:tcPr>
            <w:tcW w:w="2400" w:type="dxa"/>
          </w:tcPr>
          <w:p>
            <w:r>
              <w:t xml:space="preserve">External service</w:t>
            </w:r>
          </w:p>
        </w:tc>
        <w:tc>
          <w:tcPr>
            <w:tcW w:w="2400" w:type="dxa"/>
          </w:tcPr>
          <w:p>
            <w:r>
              <w:t xml:space="preserve">124</w:t>
            </w:r>
          </w:p>
        </w:tc>
        <w:tc>
          <w:tcPr>
            <w:tcW w:w="2400" w:type="dxa"/>
          </w:tcPr>
          <w:p>
            <w:r>
              <w:t xml:space="preserve">Processes payment links, webhooks, and refunds.</w:t>
            </w:r>
          </w:p>
        </w:tc>
      </w:tr>
      <w:tr>
        <w:tc>
          <w:tcPr>
            <w:tcW w:w="2400" w:type="dxa"/>
          </w:tcPr>
          <w:p>
            <w:r>
              <w:t xml:space="preserve">Offline queue store</w:t>
            </w:r>
          </w:p>
        </w:tc>
        <w:tc>
          <w:tcPr>
            <w:tcW w:w="2400" w:type="dxa"/>
          </w:tcPr>
          <w:p>
            <w:r>
              <w:t xml:space="preserve">136</w:t>
            </w:r>
          </w:p>
        </w:tc>
        <w:tc>
          <w:tcPr>
            <w:tcW w:w="2400" w:type="dxa"/>
          </w:tcPr>
          <w:p>
            <w:r>
              <w:t xml:space="preserve">Client side</w:t>
            </w:r>
          </w:p>
        </w:tc>
        <w:tc>
          <w:tcPr>
            <w:tcW w:w="2400" w:type="dxa"/>
          </w:tcPr>
          <w:p>
            <w:r>
              <w:t xml:space="preserve">104</w:t>
            </w:r>
          </w:p>
        </w:tc>
        <w:tc>
          <w:tcPr>
            <w:tcW w:w="2400" w:type="dxa"/>
          </w:tcPr>
          <w:p>
            <w:r>
              <w:t xml:space="preserve">Buffers invoices locally until connectivity returns.</w:t>
            </w:r>
          </w:p>
        </w:tc>
      </w:tr>
      <w:tr>
        <w:tc>
          <w:tcPr>
            <w:tcW w:w="2400" w:type="dxa"/>
          </w:tcPr>
          <w:p>
            <w:r>
              <w:t xml:space="preserve">Scanner/camera</w:t>
            </w:r>
          </w:p>
        </w:tc>
        <w:tc>
          <w:tcPr>
            <w:tcW w:w="2400" w:type="dxa"/>
          </w:tcPr>
          <w:p>
            <w:r>
              <w:t xml:space="preserve">138</w:t>
            </w:r>
          </w:p>
        </w:tc>
        <w:tc>
          <w:tcPr>
            <w:tcW w:w="2400" w:type="dxa"/>
          </w:tcPr>
          <w:p>
            <w:r>
              <w:t xml:space="preserve">Client side</w:t>
            </w:r>
          </w:p>
        </w:tc>
        <w:tc>
          <w:tcPr>
            <w:tcW w:w="2400" w:type="dxa"/>
          </w:tcPr>
          <w:p>
            <w:r>
              <w:t xml:space="preserve">102, 104</w:t>
            </w:r>
          </w:p>
        </w:tc>
        <w:tc>
          <w:tcPr>
            <w:tcW w:w="2400" w:type="dxa"/>
          </w:tcPr>
          <w:p>
            <w:r>
              <w:t xml:space="preserve">Captures QR codes or barcodes for session/items.</w:t>
            </w:r>
          </w:p>
        </w:tc>
      </w:tr>
      <w:tr>
        <w:tc>
          <w:tcPr>
            <w:tcW w:w="2400" w:type="dxa"/>
          </w:tcPr>
          <w:p>
            <w:r>
              <w:t xml:space="preserve">Menu service</w:t>
            </w:r>
          </w:p>
        </w:tc>
        <w:tc>
          <w:tcPr>
            <w:tcW w:w="2400" w:type="dxa"/>
          </w:tcPr>
          <w:p>
            <w:r>
              <w:t xml:space="preserve">140</w:t>
            </w:r>
          </w:p>
        </w:tc>
        <w:tc>
          <w:tcPr>
            <w:tcW w:w="2400" w:type="dxa"/>
          </w:tcPr>
          <w:p>
            <w:r>
              <w:t xml:space="preserve">Server side</w:t>
            </w:r>
          </w:p>
        </w:tc>
        <w:tc>
          <w:tcPr>
            <w:tcW w:w="2400" w:type="dxa"/>
          </w:tcPr>
          <w:p>
            <w:r>
              <w:t xml:space="preserve">110, 130</w:t>
            </w:r>
          </w:p>
        </w:tc>
        <w:tc>
          <w:tcPr>
            <w:tcW w:w="2400" w:type="dxa"/>
          </w:tcPr>
          <w:p>
            <w:r>
              <w:t xml:space="preserve">Serves restaurant menu data to customer sessions.</w:t>
            </w:r>
          </w:p>
        </w:tc>
      </w:tr>
    </w:tbl>
    <w:p>
      <w:pPr>
        <w:pStyle w:val="Heading1"/>
      </w:pPr>
      <w:r>
        <w:t xml:space="preserve">Figure 2 — Operational Workflow (Self-Checkout Session Flow)</w:t>
      </w:r>
    </w:p>
    <w:p>
      <w:pPr>
        <w:pStyle w:val="Heading2"/>
      </w:pPr>
      <w:r>
        <w:t xml:space="preserve">Patent-style flow representation.</w:t>
      </w:r>
    </w:p>
    <w:p>
      <w:r>
        <w:rPr>
          <w:rFonts w:ascii="Courier New" w:hAnsi="Courier New"/>
        </w:rPr>
        <w:t xml:space="preserve">[200 Start] -&gt; [202 Validate retailer/context] -&gt; [204 Create session + security code]</w:t>
      </w:r>
    </w:p>
    <w:p>
      <w:r>
        <w:rPr>
          <w:rFonts w:ascii="Courier New" w:hAnsi="Courier New"/>
        </w:rPr>
        <w:t xml:space="preserve">   -&gt; [206 Scan/enter item SKU] -&gt; [208 Lookup inventory price/tax]</w:t>
      </w:r>
    </w:p>
    <w:p>
      <w:r>
        <w:rPr>
          <w:rFonts w:ascii="Courier New" w:hAnsi="Courier New"/>
        </w:rPr>
        <w:t xml:space="preserve">   -&gt; [210 Update session items + totals] -&gt; [212 More items?] --yes--&gt; [206]</w:t>
      </w:r>
    </w:p>
    <w:p>
      <w:r>
        <w:rPr>
          <w:rFonts w:ascii="Courier New" w:hAnsi="Courier New"/>
        </w:rPr>
        <w:t xml:space="preserve">   -&gt; [214 Submit session] -&gt; [216 Retailer marks payment mode]</w:t>
      </w:r>
    </w:p>
    <w:p>
      <w:r>
        <w:rPr>
          <w:rFonts w:ascii="Courier New" w:hAnsi="Courier New"/>
        </w:rPr>
        <w:t xml:space="preserve">   -&gt; [218 Create invoice + totals] -&gt; [220 Update status = PAID]</w:t>
      </w:r>
    </w:p>
    <w:p>
      <w:r>
        <w:rPr>
          <w:rFonts w:ascii="Courier New" w:hAnsi="Courier New"/>
        </w:rPr>
        <w:t xml:space="preserve">   -&gt; [222 Verify security code] -&gt; [224 Update status = APPROVED] -&gt; [226 End]</w:t>
      </w:r>
    </w:p>
    <w:p>
      <w:pPr>
        <w:pStyle w:val="Heading2"/>
      </w:pPr>
      <w:r>
        <w:t xml:space="preserve">Flow Step Numerals</w:t>
      </w:r>
    </w:p>
    <w:p>
      <w:r>
        <w:t xml:space="preserve">- 200 Start self-checkout session request received from client.</w:t>
      </w:r>
    </w:p>
    <w:p>
      <w:r>
        <w:t xml:space="preserve">- 202 Validate retailer identity, store type, and required context.</w:t>
      </w:r>
    </w:p>
    <w:p>
      <w:r>
        <w:t xml:space="preserve">- 204 Create session record and security code.</w:t>
      </w:r>
    </w:p>
    <w:p>
      <w:r>
        <w:t xml:space="preserve">- 206 Capture SKU via barcode/QR scan or manual entry.</w:t>
      </w:r>
    </w:p>
    <w:p>
      <w:r>
        <w:t xml:space="preserve">- 208 Resolve SKU to inventory item pricing and tax values.</w:t>
      </w:r>
    </w:p>
    <w:p>
      <w:r>
        <w:t xml:space="preserve">- 210 Update session items and recompute totals.</w:t>
      </w:r>
    </w:p>
    <w:p>
      <w:r>
        <w:t xml:space="preserve">- 212 Decision: additional items to add/remove.</w:t>
      </w:r>
    </w:p>
    <w:p>
      <w:r>
        <w:t xml:space="preserve">- 214 Submit session for payment.</w:t>
      </w:r>
    </w:p>
    <w:p>
      <w:r>
        <w:t xml:space="preserve">- 216 Retailer staff confirms payment mode and marks payment.</w:t>
      </w:r>
    </w:p>
    <w:p>
      <w:r>
        <w:t xml:space="preserve">- 218 Create invoice and persist invoice line items.</w:t>
      </w:r>
    </w:p>
    <w:p>
      <w:r>
        <w:t xml:space="preserve">- 220 Update session status to PAID.</w:t>
      </w:r>
    </w:p>
    <w:p>
      <w:r>
        <w:t xml:space="preserve">- 222 Verify customer's security code at exit or counter.</w:t>
      </w:r>
    </w:p>
    <w:p>
      <w:r>
        <w:t xml:space="preserve">- 224 Update session status to APPROVED (completed).</w:t>
      </w:r>
    </w:p>
    <w:p>
      <w:r>
        <w:t xml:space="preserve">- 226 End of transaction.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 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Selfcheckout Platform Patent Figures &amp; Descriptions</dc:title>
  <dc:creator>Selfcheckout</dc:creator>
  <cp:lastModifiedBy>Selfcheckout</cp:lastModifiedBy>
  <dcterms:created xsi:type="dcterms:W3CDTF">2026-01-07T00:00:00Z</dcterms:created>
  <dcterms:modified xsi:type="dcterms:W3CDTF">2026-01-07T00:00:00Z</dcterms:modified>
</cp:coreProperties>
</file>