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931063" w14:textId="77777777" w:rsidR="00E979A0" w:rsidRDefault="003B03EA">
      <w:pPr>
        <w:pStyle w:val="PaperTitle"/>
      </w:pPr>
      <w:r>
        <w:t>Dimensionality Reduction and Multicollinearity Elimination of AGV Sensor Data Based on Correlation Analysis and PCA</w:t>
      </w:r>
    </w:p>
    <w:p w14:paraId="0FE895FC" w14:textId="0AD843D8" w:rsidR="00E979A0" w:rsidRDefault="003B03EA">
      <w:pPr>
        <w:pStyle w:val="Author"/>
      </w:pPr>
      <w:r>
        <w:rPr>
          <w:sz w:val="20"/>
          <w:szCs w:val="20"/>
        </w:rPr>
        <w:t xml:space="preserve">Nikita </w:t>
      </w:r>
      <w:proofErr w:type="spellStart"/>
      <w:r>
        <w:rPr>
          <w:sz w:val="20"/>
          <w:szCs w:val="20"/>
        </w:rPr>
        <w:t>Morkva</w:t>
      </w:r>
      <w:proofErr w:type="spellEnd"/>
      <w:r>
        <w:rPr>
          <w:sz w:val="20"/>
          <w:szCs w:val="20"/>
        </w:rPr>
        <w:t xml:space="preserve">, </w:t>
      </w:r>
      <w:proofErr w:type="spellStart"/>
      <w:r>
        <w:rPr>
          <w:sz w:val="20"/>
          <w:szCs w:val="20"/>
        </w:rPr>
        <w:t>Anastasi</w:t>
      </w:r>
      <w:r w:rsidR="0039765E">
        <w:rPr>
          <w:sz w:val="20"/>
          <w:szCs w:val="20"/>
        </w:rPr>
        <w:t>i</w:t>
      </w:r>
      <w:r>
        <w:rPr>
          <w:sz w:val="20"/>
          <w:szCs w:val="20"/>
        </w:rPr>
        <w:t>a</w:t>
      </w:r>
      <w:proofErr w:type="spellEnd"/>
      <w:r>
        <w:rPr>
          <w:sz w:val="20"/>
          <w:szCs w:val="20"/>
        </w:rPr>
        <w:t xml:space="preserve"> </w:t>
      </w:r>
      <w:proofErr w:type="spellStart"/>
      <w:r>
        <w:rPr>
          <w:sz w:val="20"/>
          <w:szCs w:val="20"/>
        </w:rPr>
        <w:t>Zabolotna</w:t>
      </w:r>
      <w:proofErr w:type="spellEnd"/>
      <w:r>
        <w:rPr>
          <w:sz w:val="20"/>
          <w:szCs w:val="20"/>
        </w:rPr>
        <w:t xml:space="preserve">, Ivan </w:t>
      </w:r>
      <w:proofErr w:type="spellStart"/>
      <w:r>
        <w:rPr>
          <w:sz w:val="20"/>
          <w:szCs w:val="20"/>
        </w:rPr>
        <w:t>Hrytsev</w:t>
      </w:r>
      <w:proofErr w:type="spellEnd"/>
    </w:p>
    <w:p w14:paraId="68CEAD3A" w14:textId="77777777" w:rsidR="00E979A0" w:rsidRDefault="003B03EA">
      <w:pPr>
        <w:pStyle w:val="Author"/>
      </w:pPr>
      <w:proofErr w:type="spellStart"/>
      <w:r>
        <w:rPr>
          <w:i/>
          <w:iCs/>
        </w:rPr>
        <w:t>Lviv</w:t>
      </w:r>
      <w:proofErr w:type="spellEnd"/>
      <w:r>
        <w:rPr>
          <w:i/>
          <w:iCs/>
        </w:rPr>
        <w:t xml:space="preserve"> Polytechnic National University, Institute of Computer Science and Information Technologies (ICSIT)</w:t>
      </w:r>
    </w:p>
    <w:p w14:paraId="5BD86B40" w14:textId="77777777" w:rsidR="00E979A0" w:rsidRDefault="003B03EA">
      <w:pPr>
        <w:pStyle w:val="Author"/>
      </w:pPr>
      <w:proofErr w:type="spellStart"/>
      <w:r>
        <w:t>Lviv</w:t>
      </w:r>
      <w:proofErr w:type="spellEnd"/>
      <w:r>
        <w:t>, Ukraine</w:t>
      </w:r>
    </w:p>
    <w:p w14:paraId="189766A5" w14:textId="48439A3F" w:rsidR="00E979A0" w:rsidRPr="003B03EA" w:rsidRDefault="003B03EA">
      <w:pPr>
        <w:pStyle w:val="Author"/>
      </w:pPr>
      <w:r w:rsidRPr="003B03EA">
        <w:t xml:space="preserve">Email: </w:t>
      </w:r>
      <w:proofErr w:type="gramStart"/>
      <w:r w:rsidRPr="003B03EA">
        <w:t>{ nikita</w:t>
      </w:r>
      <w:proofErr w:type="gramEnd"/>
      <w:r w:rsidRPr="003B03EA">
        <w:t>.morkva.oi.2025, anastasiia.zabolotna.oi.2024, ivan.hrytsev.oi.2025 }@lpnu.ua</w:t>
      </w:r>
    </w:p>
    <w:p w14:paraId="03498D1B" w14:textId="77777777" w:rsidR="00E979A0" w:rsidRDefault="00E979A0">
      <w:pPr>
        <w:sectPr w:rsidR="00E979A0">
          <w:type w:val="continuous"/>
          <w:pgSz w:w="11906" w:h="16838"/>
          <w:pgMar w:top="1080" w:right="1921" w:bottom="1440" w:left="1921" w:header="708" w:footer="708" w:gutter="0"/>
          <w:cols w:space="720"/>
          <w:docGrid w:linePitch="360"/>
        </w:sectPr>
      </w:pPr>
    </w:p>
    <w:p w14:paraId="37B6EB06" w14:textId="77777777" w:rsidR="00E979A0" w:rsidRDefault="003B03EA">
      <w:pPr>
        <w:pStyle w:val="Abstract"/>
      </w:pPr>
      <w:r>
        <w:rPr>
          <w:b/>
          <w:bCs/>
          <w:i/>
          <w:iCs/>
        </w:rPr>
        <w:t>Abstract</w:t>
      </w:r>
      <w:r>
        <w:t xml:space="preserve">—This paper presents a systematic study of dimensionality reduction and multicollinearity handling for AGV (Automated Guided Vehicle) battery sensor data in the context of LSTM-based voltage forecasting. Six input representations are compared: raw sensor data (Baseline), physics-informed feature engineering (Stage 14 with ΔV, </w:t>
      </w:r>
      <w:proofErr w:type="spellStart"/>
      <w:r>
        <w:t>dV</w:t>
      </w:r>
      <w:proofErr w:type="spellEnd"/>
      <w:r>
        <w:t>/dt, moving average, and SOC), Linear PCA (88 % explained variance), Kernel PCA (RBF), Random Forest Top-5 feature selection, and Factor Analysis, evaluated across three sliding-window sizes (</w:t>
      </w:r>
      <w:proofErr w:type="gramStart"/>
      <w:r>
        <w:t>40, 60, and 80 time</w:t>
      </w:r>
      <w:proofErr w:type="gramEnd"/>
      <w:r>
        <w:t xml:space="preserve"> steps). Results show that feature engineering with window = 60 achieves the best accuracy (R² = 0.9967), Linear PCA provides an acceptable 2.5× compression trade-off, and Factor Analysis fundamentally fails due to its treatment of the monotone discharge trend as noise. We further demonstrate that multicollinearity among telemetry features does not impair LSTM performance; correlated features provide complementary temporal context that improves forecast stability.</w:t>
      </w:r>
    </w:p>
    <w:p w14:paraId="7F631115" w14:textId="77777777" w:rsidR="00E979A0" w:rsidRDefault="003B03EA">
      <w:pPr>
        <w:pStyle w:val="Keywords"/>
      </w:pPr>
      <w:r>
        <w:rPr>
          <w:b/>
          <w:bCs/>
        </w:rPr>
        <w:t>Keywords—</w:t>
      </w:r>
      <w:r>
        <w:t>AGV, battery voltage forecasting, PCA, LSTM, feature engineering, multicollinearity, dimensionality reduction, time series</w:t>
      </w:r>
    </w:p>
    <w:p w14:paraId="1693438C" w14:textId="77777777" w:rsidR="00E979A0" w:rsidRDefault="003B03EA">
      <w:pPr>
        <w:pStyle w:val="Heading1"/>
      </w:pPr>
      <w:r>
        <w:t>I. Introduction</w:t>
      </w:r>
    </w:p>
    <w:p w14:paraId="2A932183" w14:textId="77777777" w:rsidR="00E979A0" w:rsidRDefault="003B03EA">
      <w:pPr>
        <w:pStyle w:val="BodyText"/>
      </w:pPr>
      <w:r>
        <w:t xml:space="preserve">Automated Guided Vehicles (AGVs) generate dense multivariate sensor streams: battery voltage V(t), discharge current I(t), State of Charge (SOC), kinematic parameters such as wheel speed, and wireless signal metrics (RSSI). Accurate forecasting of the battery voltage trajectory is fundamental to safe operation, route planning, and predictive maintenance in autonomous logistics. The feature space, however, is </w:t>
      </w:r>
      <w:proofErr w:type="spellStart"/>
      <w:r>
        <w:t>characterised</w:t>
      </w:r>
      <w:proofErr w:type="spellEnd"/>
      <w:r>
        <w:t xml:space="preserve"> by strong inter-feature correlations, raising a classical concern: does multicollinearity degrade model quality, and should dimensionality reduction be applied before training recurrent neural networks?</w:t>
      </w:r>
    </w:p>
    <w:p w14:paraId="69795549" w14:textId="77777777" w:rsidR="00E979A0" w:rsidRDefault="003B03EA">
      <w:pPr>
        <w:pStyle w:val="BodyText"/>
      </w:pPr>
      <w:r>
        <w:t>Existing literature addresses these questions separately. Correlation-based feature selection [1], PCA-based preprocessing [2], and LSTM architectures for battery state estimation [3] have each been studied in isolation. A consolidated study that systematically compares multiple reduction strategies on the same AGV dataset, with controlled window sizes and identical LSTM architectures, is, however, absent. This paper fills that gap.</w:t>
      </w:r>
    </w:p>
    <w:p w14:paraId="6EC9C249" w14:textId="77777777" w:rsidR="00E979A0" w:rsidRDefault="003B03EA">
      <w:pPr>
        <w:pStyle w:val="BodyText"/>
      </w:pPr>
      <w:r>
        <w:t xml:space="preserve">Our contributions are: (1) a rigorous comparative benchmark of six preprocessing methods under identical LSTM conditions; (2) an </w:t>
      </w:r>
      <w:r>
        <w:t>analysis of the interaction between sliding-window size and input representation quality; and (3) practical guidance on when and why dimensionality reduction helps or hurts for electrochemical time-series forecasting.</w:t>
      </w:r>
    </w:p>
    <w:p w14:paraId="4D2F5285" w14:textId="77777777" w:rsidR="00E979A0" w:rsidRDefault="003B03EA">
      <w:pPr>
        <w:pStyle w:val="Heading1"/>
      </w:pPr>
      <w:r>
        <w:t>II. Methodology</w:t>
      </w:r>
    </w:p>
    <w:p w14:paraId="2B7D96A7" w14:textId="77777777" w:rsidR="00E979A0" w:rsidRDefault="003B03EA">
      <w:pPr>
        <w:pStyle w:val="Heading2"/>
      </w:pPr>
      <w:r>
        <w:t>A. Dataset and Target Variable</w:t>
      </w:r>
    </w:p>
    <w:p w14:paraId="0C095272" w14:textId="77777777" w:rsidR="00E979A0" w:rsidRDefault="003B03EA">
      <w:pPr>
        <w:pStyle w:val="BodyText"/>
      </w:pPr>
      <w:r>
        <w:t xml:space="preserve">The dataset consists of time-stamped AGV battery telemetry resampled to a 10-second interval. The prediction target is next-step battery cell voltage </w:t>
      </w:r>
      <w:proofErr w:type="gramStart"/>
      <w:r>
        <w:t>V(</w:t>
      </w:r>
      <w:proofErr w:type="gramEnd"/>
      <w:r>
        <w:t xml:space="preserve">t + 1), expressed in millivolts (mV). Data is partitioned chronologically into training, validation, and test sets to prevent information leakage. Outliers are removed using the Modified Z-score (threshold = 6) and smoothed with a </w:t>
      </w:r>
      <w:proofErr w:type="spellStart"/>
      <w:r>
        <w:t>Savitzky</w:t>
      </w:r>
      <w:proofErr w:type="spellEnd"/>
      <w:r>
        <w:t>–</w:t>
      </w:r>
      <w:proofErr w:type="spellStart"/>
      <w:r>
        <w:t>Golay</w:t>
      </w:r>
      <w:proofErr w:type="spellEnd"/>
      <w:r>
        <w:t xml:space="preserve"> filter (window = 71, polynomial order = 2).</w:t>
      </w:r>
    </w:p>
    <w:p w14:paraId="5CACA7B8" w14:textId="77777777" w:rsidR="00E979A0" w:rsidRDefault="003B03EA">
      <w:pPr>
        <w:pStyle w:val="Heading2"/>
      </w:pPr>
      <w:r>
        <w:t>B. Feature Engineering — Stage 14</w:t>
      </w:r>
    </w:p>
    <w:p w14:paraId="66AB228C" w14:textId="77777777" w:rsidR="00E979A0" w:rsidRDefault="003B03EA">
      <w:pPr>
        <w:pStyle w:val="BodyText"/>
      </w:pPr>
      <w:r>
        <w:t>The raw feature vector is augmented with four physics-informed signals that expose the model to the dynamics of the discharge process rather than its instantaneous state alone:</w:t>
      </w:r>
    </w:p>
    <w:p w14:paraId="4E59337E" w14:textId="77777777" w:rsidR="00E979A0" w:rsidRDefault="003B03EA">
      <w:pPr>
        <w:pStyle w:val="ListParagraph"/>
        <w:numPr>
          <w:ilvl w:val="0"/>
          <w:numId w:val="2"/>
        </w:numPr>
      </w:pPr>
      <w:r>
        <w:t>ΔV = V(t) − V(t−1) — discrete first-order voltage change;</w:t>
      </w:r>
    </w:p>
    <w:p w14:paraId="4F19526C" w14:textId="77777777" w:rsidR="00E979A0" w:rsidRDefault="003B03EA">
      <w:pPr>
        <w:pStyle w:val="ListParagraph"/>
        <w:numPr>
          <w:ilvl w:val="0"/>
          <w:numId w:val="2"/>
        </w:numPr>
      </w:pPr>
      <w:proofErr w:type="spellStart"/>
      <w:r>
        <w:t>dV</w:t>
      </w:r>
      <w:proofErr w:type="spellEnd"/>
      <w:r>
        <w:t>/dt — continuous rate of voltage fall, directly proportional to internal resistance growth during degradation;</w:t>
      </w:r>
    </w:p>
    <w:p w14:paraId="197BD76C" w14:textId="77777777" w:rsidR="00E979A0" w:rsidRDefault="003B03EA">
      <w:pPr>
        <w:pStyle w:val="ListParagraph"/>
        <w:numPr>
          <w:ilvl w:val="0"/>
          <w:numId w:val="2"/>
        </w:numPr>
      </w:pPr>
      <w:proofErr w:type="spellStart"/>
      <w:r>
        <w:t>Speed_MA</w:t>
      </w:r>
      <w:proofErr w:type="spellEnd"/>
      <w:r>
        <w:t xml:space="preserve"> — moving average of wheel speed (window = 5) for noise suppression;</w:t>
      </w:r>
    </w:p>
    <w:p w14:paraId="3F040A13" w14:textId="77777777" w:rsidR="00E979A0" w:rsidRDefault="003B03EA">
      <w:pPr>
        <w:pStyle w:val="ListParagraph"/>
        <w:numPr>
          <w:ilvl w:val="0"/>
          <w:numId w:val="2"/>
        </w:numPr>
      </w:pPr>
      <w:r>
        <w:t xml:space="preserve">SOC(t) — State of Charge via cumulative discharge, </w:t>
      </w:r>
      <w:proofErr w:type="spellStart"/>
      <w:r>
        <w:t>normalised</w:t>
      </w:r>
      <w:proofErr w:type="spellEnd"/>
      <w:r>
        <w:t xml:space="preserve"> to the observed maximum.</w:t>
      </w:r>
    </w:p>
    <w:p w14:paraId="19034B74" w14:textId="77777777" w:rsidR="00E979A0" w:rsidRDefault="003B03EA">
      <w:pPr>
        <w:pStyle w:val="BodyText"/>
      </w:pPr>
      <w:r>
        <w:t>The resulting 16-dimensional vector provides explicit degradation-velocity context. Adding these derivative features produced the largest accuracy gain observed in the study, confirming that domain knowledge about discharge physics is more valuable than unsupervised compression.</w:t>
      </w:r>
    </w:p>
    <w:p w14:paraId="2E725EBC" w14:textId="77777777" w:rsidR="00E979A0" w:rsidRDefault="003B03EA">
      <w:pPr>
        <w:pStyle w:val="Heading2"/>
      </w:pPr>
      <w:r>
        <w:t>C. Correlation and Multicollinearity Analysis</w:t>
      </w:r>
    </w:p>
    <w:p w14:paraId="74A9119C" w14:textId="77777777" w:rsidR="00E979A0" w:rsidRDefault="003B03EA">
      <w:pPr>
        <w:pStyle w:val="BodyText"/>
      </w:pPr>
      <w:r>
        <w:t>Three complementary statistics are computed. Pearson’s r measures linear dependence; Spearman’s ρ and Kendall’s τ capture monotone non-linear relations. Heat-map inspection identifies three high-correlation clusters: (</w:t>
      </w:r>
      <w:proofErr w:type="spellStart"/>
      <w:r>
        <w:t>i</w:t>
      </w:r>
      <w:proofErr w:type="spellEnd"/>
      <w:r>
        <w:t>) voltage–current–SOC (r &gt; 0.95); (ii) wheel speed–energy consumption (r ≈ 0.92); (iii) GPS coordinates–RSSI (r ≈ 0.87). Variance Inflation Factor (VIF) values exceed 10 for several features, confirming textbook multicollinearity. A key finding of this study, however, is that such multicollinearity does not impair the LSTM: correlated features carry temporally shifted versions of the same signal, providing the gated memory cells with richer temporal context.</w:t>
      </w:r>
    </w:p>
    <w:p w14:paraId="15157A2C" w14:textId="77777777" w:rsidR="00E979A0" w:rsidRDefault="003B03EA">
      <w:pPr>
        <w:pStyle w:val="Heading2"/>
      </w:pPr>
      <w:r>
        <w:lastRenderedPageBreak/>
        <w:t>D. Dimensionality Reduction Strategies</w:t>
      </w:r>
    </w:p>
    <w:p w14:paraId="73FC9E0F" w14:textId="77777777" w:rsidR="00E979A0" w:rsidRDefault="003B03EA">
      <w:pPr>
        <w:pStyle w:val="BodyText"/>
      </w:pPr>
      <w:r>
        <w:t xml:space="preserve">Linear PCA decomposes the feature covariance matrix into eigenvectors sorted by explained variance. Retaining components that account for 88 % of total variance compresses the 16-dimensional space to 6 principal components—a 2.5× reduction—while eliminating correlated directions by construction. Kernel PCA with an </w:t>
      </w:r>
      <w:proofErr w:type="gramStart"/>
      <w:r>
        <w:t>RBF kernel maps</w:t>
      </w:r>
      <w:proofErr w:type="gramEnd"/>
      <w:r>
        <w:t xml:space="preserve"> features into a reproducing kernel Hilbert space before </w:t>
      </w:r>
      <w:proofErr w:type="spellStart"/>
      <w:r>
        <w:t>eigendecomposition</w:t>
      </w:r>
      <w:proofErr w:type="spellEnd"/>
      <w:r>
        <w:t>, theoretically capturing non-linear structure. Factor Analysis (FA) with Varimax rotation decomposes the correlation matrix into latent common factors, but assumes stationary covariance structure and explicitly treats monotone trends as noise (communality is attributed to shared factors, while the trend is placed in the unique variance component). Random Forest importance ranking identifies the five features with the highest aggregate impurity reduction, providing a data-driven sparse selection.</w:t>
      </w:r>
    </w:p>
    <w:p w14:paraId="3D488881" w14:textId="77777777" w:rsidR="00E979A0" w:rsidRDefault="003B03EA">
      <w:pPr>
        <w:pStyle w:val="Heading2"/>
      </w:pPr>
      <w:r>
        <w:t>E. LSTM Architecture and Sliding-Window Setup</w:t>
      </w:r>
    </w:p>
    <w:p w14:paraId="22A99BCD" w14:textId="77777777" w:rsidR="00E979A0" w:rsidRDefault="003B03EA">
      <w:pPr>
        <w:pStyle w:val="BodyText"/>
      </w:pPr>
      <w:r>
        <w:t xml:space="preserve">A sliding-window transform converts the multivariate series into supervised samples: </w:t>
      </w:r>
      <w:proofErr w:type="spellStart"/>
      <w:r>
        <w:t>X_t</w:t>
      </w:r>
      <w:proofErr w:type="spellEnd"/>
      <w:r>
        <w:t> = [</w:t>
      </w:r>
      <w:proofErr w:type="gramStart"/>
      <w:r>
        <w:t>X(</w:t>
      </w:r>
      <w:proofErr w:type="gramEnd"/>
      <w:r>
        <w:t xml:space="preserve">t−w + 1), …, X(t)], y = V(t + 1). Three window sizes w ∈ {40, 60, 80} are evaluated. The architecture is: </w:t>
      </w:r>
      <w:proofErr w:type="gramStart"/>
      <w:r>
        <w:t>Input(</w:t>
      </w:r>
      <w:proofErr w:type="gramEnd"/>
      <w:r>
        <w:t xml:space="preserve">w × d) → LSTM(64, 64 units) → Dropout(0.2) → Dense(1). Training uses Adam, batch = 16, up to 100 epochs with early stopping (patience = 10) and L1 </w:t>
      </w:r>
      <w:proofErr w:type="spellStart"/>
      <w:r>
        <w:t>regularisation</w:t>
      </w:r>
      <w:proofErr w:type="spellEnd"/>
      <w:r>
        <w:t xml:space="preserve"> (λ = 1e–4). All models are compared on the same held-out chronological test split.</w:t>
      </w:r>
    </w:p>
    <w:p w14:paraId="5FCAC044" w14:textId="77777777" w:rsidR="00E979A0" w:rsidRDefault="003B03EA">
      <w:pPr>
        <w:pStyle w:val="Heading1"/>
      </w:pPr>
      <w:r>
        <w:t>III. Experimental Results</w:t>
      </w:r>
    </w:p>
    <w:p w14:paraId="003EE4C5" w14:textId="77777777" w:rsidR="00E979A0" w:rsidRDefault="003B03EA">
      <w:pPr>
        <w:pStyle w:val="Heading2"/>
      </w:pPr>
      <w:r>
        <w:t>A. Performance at Window = 40 (Under-Context Regime)</w:t>
      </w:r>
    </w:p>
    <w:p w14:paraId="07DB1AE8" w14:textId="77777777" w:rsidR="00E979A0" w:rsidRDefault="003B03EA">
      <w:pPr>
        <w:pStyle w:val="BodyText"/>
      </w:pPr>
      <w:r>
        <w:t xml:space="preserve">At the shortest window of </w:t>
      </w:r>
      <w:proofErr w:type="gramStart"/>
      <w:r>
        <w:t>40 time</w:t>
      </w:r>
      <w:proofErr w:type="gramEnd"/>
      <w:r>
        <w:t xml:space="preserve"> steps (≈ 7 minutes of telemetry), Raw Baseline achieves the highest R² = 0.9586. Notably, the Enhanced Raw Data (Stage 14) scores only R² = 0.8834 despite its richer feature set. The explanation is that derivative features such as </w:t>
      </w:r>
      <w:proofErr w:type="spellStart"/>
      <w:r>
        <w:t>dV</w:t>
      </w:r>
      <w:proofErr w:type="spellEnd"/>
      <w:r>
        <w:t xml:space="preserve">/dt and ΔV need sufficient historical context to </w:t>
      </w:r>
      <w:proofErr w:type="spellStart"/>
      <w:r>
        <w:t>stabilise</w:t>
      </w:r>
      <w:proofErr w:type="spellEnd"/>
      <w:r>
        <w:t>: with only 40 steps, the LSTM cannot fully exploit the temporal structure embedded in the derivatives, and the extra dimensions add noise relative to the information gain. Linear PCA collapses to R² = 0.5064 because the compressed 6-component representation lacks the temporal resolution needed to reconstruct the discharge curve at this short horizon. Factor Analysis produces R² = −60.60, confirming a catastrophic mismatch.</w:t>
      </w:r>
    </w:p>
    <w:p w14:paraId="7BA3F8BE" w14:textId="77777777" w:rsidR="00E979A0" w:rsidRDefault="003B03EA">
      <w:pPr>
        <w:pStyle w:val="figurecaption"/>
        <w:spacing w:before="40" w:after="120"/>
      </w:pPr>
      <w:r>
        <w:rPr>
          <w:b/>
          <w:bCs/>
        </w:rPr>
        <w:t>TABLE I. Comparative Performance (Window = 40)</w:t>
      </w:r>
    </w:p>
    <w:tbl>
      <w:tblPr>
        <w:tblW w:w="37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1"/>
        <w:gridCol w:w="651"/>
        <w:gridCol w:w="720"/>
        <w:gridCol w:w="720"/>
        <w:gridCol w:w="672"/>
      </w:tblGrid>
      <w:tr w:rsidR="00E979A0" w14:paraId="2D2D5EBB" w14:textId="77777777" w:rsidTr="001E7986">
        <w:trPr>
          <w:trHeight w:val="387"/>
          <w:tblHeader/>
        </w:trPr>
        <w:tc>
          <w:tcPr>
            <w:tcW w:w="1707" w:type="dxa"/>
            <w:tcBorders>
              <w:top w:val="single" w:sz="4" w:space="0" w:color="444444"/>
              <w:left w:val="single" w:sz="4" w:space="0" w:color="444444"/>
              <w:bottom w:val="single" w:sz="4" w:space="0" w:color="444444"/>
              <w:right w:val="single" w:sz="4" w:space="0" w:color="444444"/>
            </w:tcBorders>
            <w:shd w:val="clear" w:color="auto" w:fill="D0D8E8"/>
            <w:tcMar>
              <w:top w:w="60" w:type="dxa"/>
              <w:left w:w="100" w:type="dxa"/>
              <w:bottom w:w="60" w:type="dxa"/>
              <w:right w:w="100" w:type="dxa"/>
            </w:tcMar>
            <w:vAlign w:val="center"/>
          </w:tcPr>
          <w:p w14:paraId="5C8A7DA9" w14:textId="77777777" w:rsidR="00E979A0" w:rsidRDefault="003B03EA">
            <w:pPr>
              <w:jc w:val="center"/>
            </w:pPr>
            <w:r>
              <w:rPr>
                <w:b/>
                <w:bCs/>
                <w:sz w:val="16"/>
                <w:szCs w:val="16"/>
              </w:rPr>
              <w:t>Method (Input Data)</w:t>
            </w:r>
          </w:p>
        </w:tc>
        <w:tc>
          <w:tcPr>
            <w:tcW w:w="452" w:type="dxa"/>
            <w:tcBorders>
              <w:top w:val="single" w:sz="4" w:space="0" w:color="444444"/>
              <w:left w:val="single" w:sz="4" w:space="0" w:color="444444"/>
              <w:bottom w:val="single" w:sz="4" w:space="0" w:color="444444"/>
              <w:right w:val="single" w:sz="4" w:space="0" w:color="444444"/>
            </w:tcBorders>
            <w:shd w:val="clear" w:color="auto" w:fill="D0D8E8"/>
            <w:tcMar>
              <w:top w:w="60" w:type="dxa"/>
              <w:left w:w="100" w:type="dxa"/>
              <w:bottom w:w="60" w:type="dxa"/>
              <w:right w:w="100" w:type="dxa"/>
            </w:tcMar>
            <w:vAlign w:val="center"/>
          </w:tcPr>
          <w:p w14:paraId="480395A2" w14:textId="77777777" w:rsidR="00E979A0" w:rsidRDefault="003B03EA">
            <w:pPr>
              <w:jc w:val="center"/>
            </w:pPr>
            <w:r>
              <w:rPr>
                <w:b/>
                <w:bCs/>
                <w:sz w:val="16"/>
                <w:szCs w:val="16"/>
              </w:rPr>
              <w:t>R²</w:t>
            </w:r>
          </w:p>
        </w:tc>
        <w:tc>
          <w:tcPr>
            <w:tcW w:w="602" w:type="dxa"/>
            <w:tcBorders>
              <w:top w:val="single" w:sz="4" w:space="0" w:color="444444"/>
              <w:left w:val="single" w:sz="4" w:space="0" w:color="444444"/>
              <w:bottom w:val="single" w:sz="4" w:space="0" w:color="444444"/>
              <w:right w:val="single" w:sz="4" w:space="0" w:color="444444"/>
            </w:tcBorders>
            <w:shd w:val="clear" w:color="auto" w:fill="D0D8E8"/>
            <w:tcMar>
              <w:top w:w="60" w:type="dxa"/>
              <w:left w:w="100" w:type="dxa"/>
              <w:bottom w:w="60" w:type="dxa"/>
              <w:right w:w="100" w:type="dxa"/>
            </w:tcMar>
            <w:vAlign w:val="center"/>
          </w:tcPr>
          <w:p w14:paraId="4C904E81" w14:textId="77777777" w:rsidR="00E979A0" w:rsidRDefault="003B03EA">
            <w:pPr>
              <w:jc w:val="center"/>
            </w:pPr>
            <w:r>
              <w:rPr>
                <w:b/>
                <w:bCs/>
                <w:sz w:val="16"/>
                <w:szCs w:val="16"/>
              </w:rPr>
              <w:t>MAE (mV)</w:t>
            </w:r>
          </w:p>
        </w:tc>
        <w:tc>
          <w:tcPr>
            <w:tcW w:w="602" w:type="dxa"/>
            <w:tcBorders>
              <w:top w:val="single" w:sz="4" w:space="0" w:color="444444"/>
              <w:left w:val="single" w:sz="4" w:space="0" w:color="444444"/>
              <w:bottom w:val="single" w:sz="4" w:space="0" w:color="444444"/>
              <w:right w:val="single" w:sz="4" w:space="0" w:color="444444"/>
            </w:tcBorders>
            <w:shd w:val="clear" w:color="auto" w:fill="D0D8E8"/>
            <w:tcMar>
              <w:top w:w="60" w:type="dxa"/>
              <w:left w:w="100" w:type="dxa"/>
              <w:bottom w:w="60" w:type="dxa"/>
              <w:right w:w="100" w:type="dxa"/>
            </w:tcMar>
            <w:vAlign w:val="center"/>
          </w:tcPr>
          <w:p w14:paraId="57207EDB" w14:textId="77777777" w:rsidR="00E979A0" w:rsidRDefault="003B03EA">
            <w:pPr>
              <w:jc w:val="center"/>
            </w:pPr>
            <w:r>
              <w:rPr>
                <w:b/>
                <w:bCs/>
                <w:sz w:val="16"/>
                <w:szCs w:val="16"/>
              </w:rPr>
              <w:t>RMSE (mV)</w:t>
            </w:r>
          </w:p>
        </w:tc>
        <w:tc>
          <w:tcPr>
            <w:tcW w:w="401" w:type="dxa"/>
            <w:tcBorders>
              <w:top w:val="single" w:sz="4" w:space="0" w:color="444444"/>
              <w:left w:val="single" w:sz="4" w:space="0" w:color="444444"/>
              <w:bottom w:val="single" w:sz="4" w:space="0" w:color="444444"/>
              <w:right w:val="single" w:sz="4" w:space="0" w:color="444444"/>
            </w:tcBorders>
            <w:shd w:val="clear" w:color="auto" w:fill="D0D8E8"/>
            <w:tcMar>
              <w:top w:w="60" w:type="dxa"/>
              <w:left w:w="100" w:type="dxa"/>
              <w:bottom w:w="60" w:type="dxa"/>
              <w:right w:w="100" w:type="dxa"/>
            </w:tcMar>
            <w:vAlign w:val="center"/>
          </w:tcPr>
          <w:p w14:paraId="14AF8927" w14:textId="77777777" w:rsidR="00E979A0" w:rsidRDefault="003B03EA">
            <w:pPr>
              <w:jc w:val="center"/>
            </w:pPr>
            <w:r>
              <w:rPr>
                <w:b/>
                <w:bCs/>
                <w:sz w:val="16"/>
                <w:szCs w:val="16"/>
              </w:rPr>
              <w:t>MAPE (%)</w:t>
            </w:r>
          </w:p>
        </w:tc>
      </w:tr>
      <w:tr w:rsidR="00E979A0" w14:paraId="2BBC158C" w14:textId="77777777" w:rsidTr="001E7986">
        <w:trPr>
          <w:trHeight w:val="190"/>
        </w:trPr>
        <w:tc>
          <w:tcPr>
            <w:tcW w:w="1707" w:type="dxa"/>
            <w:tcBorders>
              <w:top w:val="single" w:sz="4" w:space="0" w:color="444444"/>
              <w:left w:val="single" w:sz="4" w:space="0" w:color="444444"/>
              <w:bottom w:val="single" w:sz="4" w:space="0" w:color="444444"/>
              <w:right w:val="single" w:sz="4" w:space="0" w:color="444444"/>
            </w:tcBorders>
            <w:shd w:val="clear" w:color="auto" w:fill="F0F4FA"/>
            <w:tcMar>
              <w:top w:w="60" w:type="dxa"/>
              <w:left w:w="100" w:type="dxa"/>
              <w:bottom w:w="60" w:type="dxa"/>
              <w:right w:w="100" w:type="dxa"/>
            </w:tcMar>
            <w:vAlign w:val="center"/>
          </w:tcPr>
          <w:p w14:paraId="4098034D" w14:textId="77777777" w:rsidR="00E979A0" w:rsidRDefault="003B03EA">
            <w:pPr>
              <w:jc w:val="center"/>
            </w:pPr>
            <w:r>
              <w:rPr>
                <w:sz w:val="16"/>
                <w:szCs w:val="16"/>
              </w:rPr>
              <w:t>Raw Data (Baseline)</w:t>
            </w:r>
          </w:p>
        </w:tc>
        <w:tc>
          <w:tcPr>
            <w:tcW w:w="452" w:type="dxa"/>
            <w:tcBorders>
              <w:top w:val="single" w:sz="4" w:space="0" w:color="444444"/>
              <w:left w:val="single" w:sz="4" w:space="0" w:color="444444"/>
              <w:bottom w:val="single" w:sz="4" w:space="0" w:color="444444"/>
              <w:right w:val="single" w:sz="4" w:space="0" w:color="444444"/>
            </w:tcBorders>
            <w:shd w:val="clear" w:color="auto" w:fill="F0F4FA"/>
            <w:tcMar>
              <w:top w:w="60" w:type="dxa"/>
              <w:left w:w="100" w:type="dxa"/>
              <w:bottom w:w="60" w:type="dxa"/>
              <w:right w:w="100" w:type="dxa"/>
            </w:tcMar>
            <w:vAlign w:val="center"/>
          </w:tcPr>
          <w:p w14:paraId="22C372DF" w14:textId="77777777" w:rsidR="00E979A0" w:rsidRDefault="003B03EA">
            <w:pPr>
              <w:jc w:val="center"/>
            </w:pPr>
            <w:r>
              <w:rPr>
                <w:sz w:val="16"/>
                <w:szCs w:val="16"/>
              </w:rPr>
              <w:t>0.9586</w:t>
            </w:r>
          </w:p>
        </w:tc>
        <w:tc>
          <w:tcPr>
            <w:tcW w:w="602" w:type="dxa"/>
            <w:tcBorders>
              <w:top w:val="single" w:sz="4" w:space="0" w:color="444444"/>
              <w:left w:val="single" w:sz="4" w:space="0" w:color="444444"/>
              <w:bottom w:val="single" w:sz="4" w:space="0" w:color="444444"/>
              <w:right w:val="single" w:sz="4" w:space="0" w:color="444444"/>
            </w:tcBorders>
            <w:shd w:val="clear" w:color="auto" w:fill="F0F4FA"/>
            <w:tcMar>
              <w:top w:w="60" w:type="dxa"/>
              <w:left w:w="100" w:type="dxa"/>
              <w:bottom w:w="60" w:type="dxa"/>
              <w:right w:w="100" w:type="dxa"/>
            </w:tcMar>
            <w:vAlign w:val="center"/>
          </w:tcPr>
          <w:p w14:paraId="3F1A9CF1" w14:textId="77777777" w:rsidR="00E979A0" w:rsidRDefault="003B03EA">
            <w:pPr>
              <w:jc w:val="center"/>
            </w:pPr>
            <w:r>
              <w:rPr>
                <w:sz w:val="16"/>
                <w:szCs w:val="16"/>
              </w:rPr>
              <w:t>96.43</w:t>
            </w:r>
          </w:p>
        </w:tc>
        <w:tc>
          <w:tcPr>
            <w:tcW w:w="602" w:type="dxa"/>
            <w:tcBorders>
              <w:top w:val="single" w:sz="4" w:space="0" w:color="444444"/>
              <w:left w:val="single" w:sz="4" w:space="0" w:color="444444"/>
              <w:bottom w:val="single" w:sz="4" w:space="0" w:color="444444"/>
              <w:right w:val="single" w:sz="4" w:space="0" w:color="444444"/>
            </w:tcBorders>
            <w:shd w:val="clear" w:color="auto" w:fill="F0F4FA"/>
            <w:tcMar>
              <w:top w:w="60" w:type="dxa"/>
              <w:left w:w="100" w:type="dxa"/>
              <w:bottom w:w="60" w:type="dxa"/>
              <w:right w:w="100" w:type="dxa"/>
            </w:tcMar>
            <w:vAlign w:val="center"/>
          </w:tcPr>
          <w:p w14:paraId="7B03B1C6" w14:textId="77777777" w:rsidR="00E979A0" w:rsidRDefault="003B03EA">
            <w:pPr>
              <w:jc w:val="center"/>
            </w:pPr>
            <w:r>
              <w:rPr>
                <w:sz w:val="16"/>
                <w:szCs w:val="16"/>
              </w:rPr>
              <w:t>111.26</w:t>
            </w:r>
          </w:p>
        </w:tc>
        <w:tc>
          <w:tcPr>
            <w:tcW w:w="401" w:type="dxa"/>
            <w:tcBorders>
              <w:top w:val="single" w:sz="4" w:space="0" w:color="444444"/>
              <w:left w:val="single" w:sz="4" w:space="0" w:color="444444"/>
              <w:bottom w:val="single" w:sz="4" w:space="0" w:color="444444"/>
              <w:right w:val="single" w:sz="4" w:space="0" w:color="444444"/>
            </w:tcBorders>
            <w:shd w:val="clear" w:color="auto" w:fill="F0F4FA"/>
            <w:tcMar>
              <w:top w:w="60" w:type="dxa"/>
              <w:left w:w="100" w:type="dxa"/>
              <w:bottom w:w="60" w:type="dxa"/>
              <w:right w:w="100" w:type="dxa"/>
            </w:tcMar>
            <w:vAlign w:val="center"/>
          </w:tcPr>
          <w:p w14:paraId="57C7EC2B" w14:textId="77777777" w:rsidR="00E979A0" w:rsidRDefault="003B03EA">
            <w:pPr>
              <w:jc w:val="center"/>
            </w:pPr>
            <w:r>
              <w:rPr>
                <w:sz w:val="16"/>
                <w:szCs w:val="16"/>
              </w:rPr>
              <w:t>0.2020</w:t>
            </w:r>
          </w:p>
        </w:tc>
      </w:tr>
      <w:tr w:rsidR="00E979A0" w14:paraId="02CABFD0" w14:textId="77777777" w:rsidTr="001E7986">
        <w:trPr>
          <w:trHeight w:val="190"/>
        </w:trPr>
        <w:tc>
          <w:tcPr>
            <w:tcW w:w="1707"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69937339" w14:textId="77777777" w:rsidR="00E979A0" w:rsidRDefault="003B03EA">
            <w:pPr>
              <w:jc w:val="center"/>
            </w:pPr>
            <w:r>
              <w:rPr>
                <w:sz w:val="16"/>
                <w:szCs w:val="16"/>
              </w:rPr>
              <w:t>Random Forest Top-5</w:t>
            </w:r>
          </w:p>
        </w:tc>
        <w:tc>
          <w:tcPr>
            <w:tcW w:w="452"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58B849F7" w14:textId="77777777" w:rsidR="00E979A0" w:rsidRDefault="003B03EA">
            <w:pPr>
              <w:jc w:val="center"/>
            </w:pPr>
            <w:r>
              <w:rPr>
                <w:sz w:val="16"/>
                <w:szCs w:val="16"/>
              </w:rPr>
              <w:t>0.9297</w:t>
            </w:r>
          </w:p>
        </w:tc>
        <w:tc>
          <w:tcPr>
            <w:tcW w:w="602"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30FA7707" w14:textId="77777777" w:rsidR="00E979A0" w:rsidRDefault="003B03EA">
            <w:pPr>
              <w:jc w:val="center"/>
            </w:pPr>
            <w:r>
              <w:rPr>
                <w:sz w:val="16"/>
                <w:szCs w:val="16"/>
              </w:rPr>
              <w:t>136.81</w:t>
            </w:r>
          </w:p>
        </w:tc>
        <w:tc>
          <w:tcPr>
            <w:tcW w:w="602"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13B50968" w14:textId="77777777" w:rsidR="00E979A0" w:rsidRDefault="003B03EA">
            <w:pPr>
              <w:jc w:val="center"/>
            </w:pPr>
            <w:r>
              <w:rPr>
                <w:sz w:val="16"/>
                <w:szCs w:val="16"/>
              </w:rPr>
              <w:t>145.06</w:t>
            </w:r>
          </w:p>
        </w:tc>
        <w:tc>
          <w:tcPr>
            <w:tcW w:w="401"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2336A7A9" w14:textId="77777777" w:rsidR="00E979A0" w:rsidRDefault="003B03EA">
            <w:pPr>
              <w:jc w:val="center"/>
            </w:pPr>
            <w:r>
              <w:rPr>
                <w:sz w:val="16"/>
                <w:szCs w:val="16"/>
              </w:rPr>
              <w:t>0.2859</w:t>
            </w:r>
          </w:p>
        </w:tc>
      </w:tr>
      <w:tr w:rsidR="00E979A0" w14:paraId="20966201" w14:textId="77777777" w:rsidTr="001E7986">
        <w:trPr>
          <w:trHeight w:val="190"/>
        </w:trPr>
        <w:tc>
          <w:tcPr>
            <w:tcW w:w="1707" w:type="dxa"/>
            <w:tcBorders>
              <w:top w:val="single" w:sz="4" w:space="0" w:color="444444"/>
              <w:left w:val="single" w:sz="4" w:space="0" w:color="444444"/>
              <w:bottom w:val="single" w:sz="4" w:space="0" w:color="444444"/>
              <w:right w:val="single" w:sz="4" w:space="0" w:color="444444"/>
            </w:tcBorders>
            <w:shd w:val="clear" w:color="auto" w:fill="F0F4FA"/>
            <w:tcMar>
              <w:top w:w="60" w:type="dxa"/>
              <w:left w:w="100" w:type="dxa"/>
              <w:bottom w:w="60" w:type="dxa"/>
              <w:right w:w="100" w:type="dxa"/>
            </w:tcMar>
            <w:vAlign w:val="center"/>
          </w:tcPr>
          <w:p w14:paraId="372D31A1" w14:textId="77777777" w:rsidR="00E979A0" w:rsidRDefault="003B03EA">
            <w:pPr>
              <w:jc w:val="center"/>
            </w:pPr>
            <w:r>
              <w:rPr>
                <w:sz w:val="16"/>
                <w:szCs w:val="16"/>
              </w:rPr>
              <w:t>Enhanced Raw Data (Stage 14)</w:t>
            </w:r>
          </w:p>
        </w:tc>
        <w:tc>
          <w:tcPr>
            <w:tcW w:w="452" w:type="dxa"/>
            <w:tcBorders>
              <w:top w:val="single" w:sz="4" w:space="0" w:color="444444"/>
              <w:left w:val="single" w:sz="4" w:space="0" w:color="444444"/>
              <w:bottom w:val="single" w:sz="4" w:space="0" w:color="444444"/>
              <w:right w:val="single" w:sz="4" w:space="0" w:color="444444"/>
            </w:tcBorders>
            <w:shd w:val="clear" w:color="auto" w:fill="F0F4FA"/>
            <w:tcMar>
              <w:top w:w="60" w:type="dxa"/>
              <w:left w:w="100" w:type="dxa"/>
              <w:bottom w:w="60" w:type="dxa"/>
              <w:right w:w="100" w:type="dxa"/>
            </w:tcMar>
            <w:vAlign w:val="center"/>
          </w:tcPr>
          <w:p w14:paraId="5BD5C7A1" w14:textId="77777777" w:rsidR="00E979A0" w:rsidRDefault="003B03EA">
            <w:pPr>
              <w:jc w:val="center"/>
            </w:pPr>
            <w:r>
              <w:rPr>
                <w:sz w:val="16"/>
                <w:szCs w:val="16"/>
              </w:rPr>
              <w:t>0.8834</w:t>
            </w:r>
          </w:p>
        </w:tc>
        <w:tc>
          <w:tcPr>
            <w:tcW w:w="602" w:type="dxa"/>
            <w:tcBorders>
              <w:top w:val="single" w:sz="4" w:space="0" w:color="444444"/>
              <w:left w:val="single" w:sz="4" w:space="0" w:color="444444"/>
              <w:bottom w:val="single" w:sz="4" w:space="0" w:color="444444"/>
              <w:right w:val="single" w:sz="4" w:space="0" w:color="444444"/>
            </w:tcBorders>
            <w:shd w:val="clear" w:color="auto" w:fill="F0F4FA"/>
            <w:tcMar>
              <w:top w:w="60" w:type="dxa"/>
              <w:left w:w="100" w:type="dxa"/>
              <w:bottom w:w="60" w:type="dxa"/>
              <w:right w:w="100" w:type="dxa"/>
            </w:tcMar>
            <w:vAlign w:val="center"/>
          </w:tcPr>
          <w:p w14:paraId="335849AD" w14:textId="77777777" w:rsidR="00E979A0" w:rsidRDefault="003B03EA">
            <w:pPr>
              <w:jc w:val="center"/>
            </w:pPr>
            <w:r>
              <w:rPr>
                <w:sz w:val="16"/>
                <w:szCs w:val="16"/>
              </w:rPr>
              <w:t>143.62</w:t>
            </w:r>
          </w:p>
        </w:tc>
        <w:tc>
          <w:tcPr>
            <w:tcW w:w="602" w:type="dxa"/>
            <w:tcBorders>
              <w:top w:val="single" w:sz="4" w:space="0" w:color="444444"/>
              <w:left w:val="single" w:sz="4" w:space="0" w:color="444444"/>
              <w:bottom w:val="single" w:sz="4" w:space="0" w:color="444444"/>
              <w:right w:val="single" w:sz="4" w:space="0" w:color="444444"/>
            </w:tcBorders>
            <w:shd w:val="clear" w:color="auto" w:fill="F0F4FA"/>
            <w:tcMar>
              <w:top w:w="60" w:type="dxa"/>
              <w:left w:w="100" w:type="dxa"/>
              <w:bottom w:w="60" w:type="dxa"/>
              <w:right w:w="100" w:type="dxa"/>
            </w:tcMar>
            <w:vAlign w:val="center"/>
          </w:tcPr>
          <w:p w14:paraId="5D0F31AF" w14:textId="77777777" w:rsidR="00E979A0" w:rsidRDefault="003B03EA">
            <w:pPr>
              <w:jc w:val="center"/>
            </w:pPr>
            <w:r>
              <w:rPr>
                <w:sz w:val="16"/>
                <w:szCs w:val="16"/>
              </w:rPr>
              <w:t>186.75</w:t>
            </w:r>
          </w:p>
        </w:tc>
        <w:tc>
          <w:tcPr>
            <w:tcW w:w="401" w:type="dxa"/>
            <w:tcBorders>
              <w:top w:val="single" w:sz="4" w:space="0" w:color="444444"/>
              <w:left w:val="single" w:sz="4" w:space="0" w:color="444444"/>
              <w:bottom w:val="single" w:sz="4" w:space="0" w:color="444444"/>
              <w:right w:val="single" w:sz="4" w:space="0" w:color="444444"/>
            </w:tcBorders>
            <w:shd w:val="clear" w:color="auto" w:fill="F0F4FA"/>
            <w:tcMar>
              <w:top w:w="60" w:type="dxa"/>
              <w:left w:w="100" w:type="dxa"/>
              <w:bottom w:w="60" w:type="dxa"/>
              <w:right w:w="100" w:type="dxa"/>
            </w:tcMar>
            <w:vAlign w:val="center"/>
          </w:tcPr>
          <w:p w14:paraId="2AF1FD7D" w14:textId="77777777" w:rsidR="00E979A0" w:rsidRDefault="003B03EA">
            <w:pPr>
              <w:jc w:val="center"/>
            </w:pPr>
            <w:r>
              <w:rPr>
                <w:sz w:val="16"/>
                <w:szCs w:val="16"/>
              </w:rPr>
              <w:t>0.2986</w:t>
            </w:r>
          </w:p>
        </w:tc>
      </w:tr>
      <w:tr w:rsidR="00E979A0" w14:paraId="76CA6256" w14:textId="77777777" w:rsidTr="001E7986">
        <w:trPr>
          <w:trHeight w:val="190"/>
        </w:trPr>
        <w:tc>
          <w:tcPr>
            <w:tcW w:w="1707"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443A7FAE" w14:textId="77777777" w:rsidR="00E979A0" w:rsidRDefault="003B03EA">
            <w:pPr>
              <w:jc w:val="center"/>
            </w:pPr>
            <w:r>
              <w:rPr>
                <w:sz w:val="16"/>
                <w:szCs w:val="16"/>
              </w:rPr>
              <w:t>Kernel PCA</w:t>
            </w:r>
          </w:p>
        </w:tc>
        <w:tc>
          <w:tcPr>
            <w:tcW w:w="452"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1340FC59" w14:textId="77777777" w:rsidR="00E979A0" w:rsidRDefault="003B03EA">
            <w:pPr>
              <w:jc w:val="center"/>
            </w:pPr>
            <w:r>
              <w:rPr>
                <w:sz w:val="16"/>
                <w:szCs w:val="16"/>
              </w:rPr>
              <w:t>0.6673</w:t>
            </w:r>
          </w:p>
        </w:tc>
        <w:tc>
          <w:tcPr>
            <w:tcW w:w="602"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3F1D9668" w14:textId="77777777" w:rsidR="00E979A0" w:rsidRDefault="003B03EA">
            <w:pPr>
              <w:jc w:val="center"/>
            </w:pPr>
            <w:r>
              <w:rPr>
                <w:sz w:val="16"/>
                <w:szCs w:val="16"/>
              </w:rPr>
              <w:t>259.49</w:t>
            </w:r>
          </w:p>
        </w:tc>
        <w:tc>
          <w:tcPr>
            <w:tcW w:w="602"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6D1FF6D6" w14:textId="77777777" w:rsidR="00E979A0" w:rsidRDefault="003B03EA">
            <w:pPr>
              <w:jc w:val="center"/>
            </w:pPr>
            <w:r>
              <w:rPr>
                <w:sz w:val="16"/>
                <w:szCs w:val="16"/>
              </w:rPr>
              <w:t>315.50</w:t>
            </w:r>
          </w:p>
        </w:tc>
        <w:tc>
          <w:tcPr>
            <w:tcW w:w="401"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7E4D4E86" w14:textId="77777777" w:rsidR="00E979A0" w:rsidRDefault="003B03EA">
            <w:pPr>
              <w:jc w:val="center"/>
            </w:pPr>
            <w:r>
              <w:rPr>
                <w:sz w:val="16"/>
                <w:szCs w:val="16"/>
              </w:rPr>
              <w:t>0.5417</w:t>
            </w:r>
          </w:p>
        </w:tc>
      </w:tr>
      <w:tr w:rsidR="00E979A0" w14:paraId="5BA580DA" w14:textId="77777777" w:rsidTr="001E7986">
        <w:trPr>
          <w:trHeight w:val="190"/>
        </w:trPr>
        <w:tc>
          <w:tcPr>
            <w:tcW w:w="1707" w:type="dxa"/>
            <w:tcBorders>
              <w:top w:val="single" w:sz="4" w:space="0" w:color="444444"/>
              <w:left w:val="single" w:sz="4" w:space="0" w:color="444444"/>
              <w:bottom w:val="single" w:sz="4" w:space="0" w:color="444444"/>
              <w:right w:val="single" w:sz="4" w:space="0" w:color="444444"/>
            </w:tcBorders>
            <w:shd w:val="clear" w:color="auto" w:fill="F0F4FA"/>
            <w:tcMar>
              <w:top w:w="60" w:type="dxa"/>
              <w:left w:w="100" w:type="dxa"/>
              <w:bottom w:w="60" w:type="dxa"/>
              <w:right w:w="100" w:type="dxa"/>
            </w:tcMar>
            <w:vAlign w:val="center"/>
          </w:tcPr>
          <w:p w14:paraId="4D2B8097" w14:textId="77777777" w:rsidR="00E979A0" w:rsidRDefault="003B03EA">
            <w:pPr>
              <w:jc w:val="center"/>
            </w:pPr>
            <w:r>
              <w:rPr>
                <w:sz w:val="16"/>
                <w:szCs w:val="16"/>
              </w:rPr>
              <w:t>Linear PCA</w:t>
            </w:r>
          </w:p>
        </w:tc>
        <w:tc>
          <w:tcPr>
            <w:tcW w:w="452" w:type="dxa"/>
            <w:tcBorders>
              <w:top w:val="single" w:sz="4" w:space="0" w:color="444444"/>
              <w:left w:val="single" w:sz="4" w:space="0" w:color="444444"/>
              <w:bottom w:val="single" w:sz="4" w:space="0" w:color="444444"/>
              <w:right w:val="single" w:sz="4" w:space="0" w:color="444444"/>
            </w:tcBorders>
            <w:shd w:val="clear" w:color="auto" w:fill="F0F4FA"/>
            <w:tcMar>
              <w:top w:w="60" w:type="dxa"/>
              <w:left w:w="100" w:type="dxa"/>
              <w:bottom w:w="60" w:type="dxa"/>
              <w:right w:w="100" w:type="dxa"/>
            </w:tcMar>
            <w:vAlign w:val="center"/>
          </w:tcPr>
          <w:p w14:paraId="18F10ABB" w14:textId="77777777" w:rsidR="00E979A0" w:rsidRDefault="003B03EA">
            <w:pPr>
              <w:jc w:val="center"/>
            </w:pPr>
            <w:r>
              <w:rPr>
                <w:sz w:val="16"/>
                <w:szCs w:val="16"/>
              </w:rPr>
              <w:t>0.5064</w:t>
            </w:r>
          </w:p>
        </w:tc>
        <w:tc>
          <w:tcPr>
            <w:tcW w:w="602" w:type="dxa"/>
            <w:tcBorders>
              <w:top w:val="single" w:sz="4" w:space="0" w:color="444444"/>
              <w:left w:val="single" w:sz="4" w:space="0" w:color="444444"/>
              <w:bottom w:val="single" w:sz="4" w:space="0" w:color="444444"/>
              <w:right w:val="single" w:sz="4" w:space="0" w:color="444444"/>
            </w:tcBorders>
            <w:shd w:val="clear" w:color="auto" w:fill="F0F4FA"/>
            <w:tcMar>
              <w:top w:w="60" w:type="dxa"/>
              <w:left w:w="100" w:type="dxa"/>
              <w:bottom w:w="60" w:type="dxa"/>
              <w:right w:w="100" w:type="dxa"/>
            </w:tcMar>
            <w:vAlign w:val="center"/>
          </w:tcPr>
          <w:p w14:paraId="723574A8" w14:textId="77777777" w:rsidR="00E979A0" w:rsidRDefault="003B03EA">
            <w:pPr>
              <w:jc w:val="center"/>
            </w:pPr>
            <w:r>
              <w:rPr>
                <w:sz w:val="16"/>
                <w:szCs w:val="16"/>
              </w:rPr>
              <w:t>328.66</w:t>
            </w:r>
          </w:p>
        </w:tc>
        <w:tc>
          <w:tcPr>
            <w:tcW w:w="602" w:type="dxa"/>
            <w:tcBorders>
              <w:top w:val="single" w:sz="4" w:space="0" w:color="444444"/>
              <w:left w:val="single" w:sz="4" w:space="0" w:color="444444"/>
              <w:bottom w:val="single" w:sz="4" w:space="0" w:color="444444"/>
              <w:right w:val="single" w:sz="4" w:space="0" w:color="444444"/>
            </w:tcBorders>
            <w:shd w:val="clear" w:color="auto" w:fill="F0F4FA"/>
            <w:tcMar>
              <w:top w:w="60" w:type="dxa"/>
              <w:left w:w="100" w:type="dxa"/>
              <w:bottom w:w="60" w:type="dxa"/>
              <w:right w:w="100" w:type="dxa"/>
            </w:tcMar>
            <w:vAlign w:val="center"/>
          </w:tcPr>
          <w:p w14:paraId="07C9513D" w14:textId="77777777" w:rsidR="00E979A0" w:rsidRDefault="003B03EA">
            <w:pPr>
              <w:jc w:val="center"/>
            </w:pPr>
            <w:r>
              <w:rPr>
                <w:sz w:val="16"/>
                <w:szCs w:val="16"/>
              </w:rPr>
              <w:t>384.29</w:t>
            </w:r>
          </w:p>
        </w:tc>
        <w:tc>
          <w:tcPr>
            <w:tcW w:w="401" w:type="dxa"/>
            <w:tcBorders>
              <w:top w:val="single" w:sz="4" w:space="0" w:color="444444"/>
              <w:left w:val="single" w:sz="4" w:space="0" w:color="444444"/>
              <w:bottom w:val="single" w:sz="4" w:space="0" w:color="444444"/>
              <w:right w:val="single" w:sz="4" w:space="0" w:color="444444"/>
            </w:tcBorders>
            <w:shd w:val="clear" w:color="auto" w:fill="F0F4FA"/>
            <w:tcMar>
              <w:top w:w="60" w:type="dxa"/>
              <w:left w:w="100" w:type="dxa"/>
              <w:bottom w:w="60" w:type="dxa"/>
              <w:right w:w="100" w:type="dxa"/>
            </w:tcMar>
            <w:vAlign w:val="center"/>
          </w:tcPr>
          <w:p w14:paraId="513E3C8B" w14:textId="77777777" w:rsidR="00E979A0" w:rsidRDefault="003B03EA">
            <w:pPr>
              <w:jc w:val="center"/>
            </w:pPr>
            <w:r>
              <w:rPr>
                <w:sz w:val="16"/>
                <w:szCs w:val="16"/>
              </w:rPr>
              <w:t>0.6864</w:t>
            </w:r>
          </w:p>
        </w:tc>
      </w:tr>
      <w:tr w:rsidR="00E979A0" w14:paraId="7D1D2814" w14:textId="77777777" w:rsidTr="001E7986">
        <w:trPr>
          <w:trHeight w:val="190"/>
        </w:trPr>
        <w:tc>
          <w:tcPr>
            <w:tcW w:w="1707"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774D1BA9" w14:textId="77777777" w:rsidR="00E979A0" w:rsidRDefault="003B03EA">
            <w:pPr>
              <w:jc w:val="center"/>
            </w:pPr>
            <w:r>
              <w:rPr>
                <w:sz w:val="16"/>
                <w:szCs w:val="16"/>
              </w:rPr>
              <w:t>Factor Analysis</w:t>
            </w:r>
          </w:p>
        </w:tc>
        <w:tc>
          <w:tcPr>
            <w:tcW w:w="452"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642B14E2" w14:textId="77777777" w:rsidR="00E979A0" w:rsidRDefault="003B03EA">
            <w:pPr>
              <w:jc w:val="center"/>
            </w:pPr>
            <w:r>
              <w:rPr>
                <w:sz w:val="16"/>
                <w:szCs w:val="16"/>
              </w:rPr>
              <w:t>−60.60</w:t>
            </w:r>
          </w:p>
        </w:tc>
        <w:tc>
          <w:tcPr>
            <w:tcW w:w="602"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63CD10EB" w14:textId="77777777" w:rsidR="00E979A0" w:rsidRDefault="003B03EA">
            <w:pPr>
              <w:jc w:val="center"/>
            </w:pPr>
            <w:r>
              <w:rPr>
                <w:sz w:val="16"/>
                <w:szCs w:val="16"/>
              </w:rPr>
              <w:t>4269.59</w:t>
            </w:r>
          </w:p>
        </w:tc>
        <w:tc>
          <w:tcPr>
            <w:tcW w:w="602"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4D0EFA03" w14:textId="77777777" w:rsidR="00E979A0" w:rsidRDefault="003B03EA">
            <w:pPr>
              <w:jc w:val="center"/>
            </w:pPr>
            <w:r>
              <w:rPr>
                <w:sz w:val="16"/>
                <w:szCs w:val="16"/>
              </w:rPr>
              <w:t>4293.09</w:t>
            </w:r>
          </w:p>
        </w:tc>
        <w:tc>
          <w:tcPr>
            <w:tcW w:w="401"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529A1B7B" w14:textId="77777777" w:rsidR="00E979A0" w:rsidRDefault="003B03EA">
            <w:pPr>
              <w:jc w:val="center"/>
            </w:pPr>
            <w:r>
              <w:rPr>
                <w:sz w:val="16"/>
                <w:szCs w:val="16"/>
              </w:rPr>
              <w:t>8.9436</w:t>
            </w:r>
          </w:p>
        </w:tc>
      </w:tr>
    </w:tbl>
    <w:p w14:paraId="629784C5" w14:textId="77777777" w:rsidR="00E979A0" w:rsidRDefault="003B03EA">
      <w:pPr>
        <w:pStyle w:val="figurecaption"/>
      </w:pPr>
      <w:r>
        <w:rPr>
          <w:i/>
          <w:iCs/>
        </w:rPr>
        <w:t>All error metrics in mV.</w:t>
      </w:r>
    </w:p>
    <w:p w14:paraId="69CD5CFE" w14:textId="77777777" w:rsidR="00E979A0" w:rsidRDefault="003B03EA">
      <w:pPr>
        <w:pStyle w:val="Heading2"/>
      </w:pPr>
      <w:r>
        <w:t>B. Performance at Window = 60 (Optimal Temporal Horizon)</w:t>
      </w:r>
    </w:p>
    <w:p w14:paraId="06757DE7" w14:textId="77777777" w:rsidR="00E979A0" w:rsidRDefault="003B03EA">
      <w:pPr>
        <w:pStyle w:val="BodyText"/>
      </w:pPr>
      <w:r>
        <w:t>At window = 60 (≈ 10 minutes), a striking reversal occurs. The Enhanced Raw Data climbs to R² = 0.9967—the absolute peak across all conditions. This is the synergy “sweet spot”: with 60 steps of context, the LSTM can resolve the physics-informed derivatives, the moving average has fully converged, and SOC provides meaningful long-range drift information. The Raw Baseline falls to R² = 0.9142, demonstrating that without the engineered features, a longer window yields diminishing returns. Linear PCA recovers strongly to R² = 0.9069, confirming that the compressed representation requires at least 60 steps to convey enough trend information. Kernel PCA remains at R² = 0.5183, further evidence that artificial non-linearity hurts a quasi-linear discharge process.</w:t>
      </w:r>
    </w:p>
    <w:p w14:paraId="646BC388" w14:textId="77777777" w:rsidR="00E979A0" w:rsidRDefault="003B03EA">
      <w:pPr>
        <w:pStyle w:val="figurecaption"/>
        <w:spacing w:before="40" w:after="120"/>
      </w:pPr>
      <w:r>
        <w:rPr>
          <w:b/>
          <w:bCs/>
        </w:rPr>
        <w:t>TABLE II. Comparative Performance (Window = 60)</w:t>
      </w:r>
    </w:p>
    <w:tbl>
      <w:tblPr>
        <w:tblW w:w="36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
        <w:gridCol w:w="651"/>
        <w:gridCol w:w="720"/>
        <w:gridCol w:w="720"/>
        <w:gridCol w:w="672"/>
      </w:tblGrid>
      <w:tr w:rsidR="00E979A0" w14:paraId="7C26DEF3" w14:textId="77777777" w:rsidTr="00FB67AB">
        <w:trPr>
          <w:trHeight w:val="275"/>
          <w:tblHeader/>
        </w:trPr>
        <w:tc>
          <w:tcPr>
            <w:tcW w:w="1567" w:type="dxa"/>
            <w:tcBorders>
              <w:top w:val="single" w:sz="4" w:space="0" w:color="444444"/>
              <w:left w:val="single" w:sz="4" w:space="0" w:color="444444"/>
              <w:bottom w:val="single" w:sz="4" w:space="0" w:color="444444"/>
              <w:right w:val="single" w:sz="4" w:space="0" w:color="444444"/>
            </w:tcBorders>
            <w:shd w:val="clear" w:color="auto" w:fill="D0D8E8"/>
            <w:tcMar>
              <w:top w:w="60" w:type="dxa"/>
              <w:left w:w="100" w:type="dxa"/>
              <w:bottom w:w="60" w:type="dxa"/>
              <w:right w:w="100" w:type="dxa"/>
            </w:tcMar>
            <w:vAlign w:val="center"/>
          </w:tcPr>
          <w:p w14:paraId="15393697" w14:textId="77777777" w:rsidR="00E979A0" w:rsidRDefault="003B03EA">
            <w:pPr>
              <w:jc w:val="center"/>
            </w:pPr>
            <w:r>
              <w:rPr>
                <w:b/>
                <w:bCs/>
                <w:sz w:val="16"/>
                <w:szCs w:val="16"/>
              </w:rPr>
              <w:t>Method (Input Data)</w:t>
            </w:r>
          </w:p>
        </w:tc>
        <w:tc>
          <w:tcPr>
            <w:tcW w:w="464" w:type="dxa"/>
            <w:tcBorders>
              <w:top w:val="single" w:sz="4" w:space="0" w:color="444444"/>
              <w:left w:val="single" w:sz="4" w:space="0" w:color="444444"/>
              <w:bottom w:val="single" w:sz="4" w:space="0" w:color="444444"/>
              <w:right w:val="single" w:sz="4" w:space="0" w:color="444444"/>
            </w:tcBorders>
            <w:shd w:val="clear" w:color="auto" w:fill="D0D8E8"/>
            <w:tcMar>
              <w:top w:w="60" w:type="dxa"/>
              <w:left w:w="100" w:type="dxa"/>
              <w:bottom w:w="60" w:type="dxa"/>
              <w:right w:w="100" w:type="dxa"/>
            </w:tcMar>
            <w:vAlign w:val="center"/>
          </w:tcPr>
          <w:p w14:paraId="4EEFEDD6" w14:textId="77777777" w:rsidR="00E979A0" w:rsidRDefault="003B03EA">
            <w:pPr>
              <w:jc w:val="center"/>
            </w:pPr>
            <w:r>
              <w:rPr>
                <w:b/>
                <w:bCs/>
                <w:sz w:val="16"/>
                <w:szCs w:val="16"/>
              </w:rPr>
              <w:t>R²</w:t>
            </w:r>
          </w:p>
        </w:tc>
        <w:tc>
          <w:tcPr>
            <w:tcW w:w="580" w:type="dxa"/>
            <w:tcBorders>
              <w:top w:val="single" w:sz="4" w:space="0" w:color="444444"/>
              <w:left w:val="single" w:sz="4" w:space="0" w:color="444444"/>
              <w:bottom w:val="single" w:sz="4" w:space="0" w:color="444444"/>
              <w:right w:val="single" w:sz="4" w:space="0" w:color="444444"/>
            </w:tcBorders>
            <w:shd w:val="clear" w:color="auto" w:fill="D0D8E8"/>
            <w:tcMar>
              <w:top w:w="60" w:type="dxa"/>
              <w:left w:w="100" w:type="dxa"/>
              <w:bottom w:w="60" w:type="dxa"/>
              <w:right w:w="100" w:type="dxa"/>
            </w:tcMar>
            <w:vAlign w:val="center"/>
          </w:tcPr>
          <w:p w14:paraId="6584004F" w14:textId="77777777" w:rsidR="00E979A0" w:rsidRDefault="003B03EA">
            <w:pPr>
              <w:jc w:val="center"/>
            </w:pPr>
            <w:r>
              <w:rPr>
                <w:b/>
                <w:bCs/>
                <w:sz w:val="16"/>
                <w:szCs w:val="16"/>
              </w:rPr>
              <w:t>MAE (mV)</w:t>
            </w:r>
          </w:p>
        </w:tc>
        <w:tc>
          <w:tcPr>
            <w:tcW w:w="580" w:type="dxa"/>
            <w:tcBorders>
              <w:top w:val="single" w:sz="4" w:space="0" w:color="444444"/>
              <w:left w:val="single" w:sz="4" w:space="0" w:color="444444"/>
              <w:bottom w:val="single" w:sz="4" w:space="0" w:color="444444"/>
              <w:right w:val="single" w:sz="4" w:space="0" w:color="444444"/>
            </w:tcBorders>
            <w:shd w:val="clear" w:color="auto" w:fill="D0D8E8"/>
            <w:tcMar>
              <w:top w:w="60" w:type="dxa"/>
              <w:left w:w="100" w:type="dxa"/>
              <w:bottom w:w="60" w:type="dxa"/>
              <w:right w:w="100" w:type="dxa"/>
            </w:tcMar>
            <w:vAlign w:val="center"/>
          </w:tcPr>
          <w:p w14:paraId="140CC12D" w14:textId="77777777" w:rsidR="00E979A0" w:rsidRDefault="003B03EA">
            <w:pPr>
              <w:jc w:val="center"/>
            </w:pPr>
            <w:r>
              <w:rPr>
                <w:b/>
                <w:bCs/>
                <w:sz w:val="16"/>
                <w:szCs w:val="16"/>
              </w:rPr>
              <w:t>RMSE (mV)</w:t>
            </w:r>
          </w:p>
        </w:tc>
        <w:tc>
          <w:tcPr>
            <w:tcW w:w="479" w:type="dxa"/>
            <w:tcBorders>
              <w:top w:val="single" w:sz="4" w:space="0" w:color="444444"/>
              <w:left w:val="single" w:sz="4" w:space="0" w:color="444444"/>
              <w:bottom w:val="single" w:sz="4" w:space="0" w:color="444444"/>
              <w:right w:val="single" w:sz="4" w:space="0" w:color="444444"/>
            </w:tcBorders>
            <w:shd w:val="clear" w:color="auto" w:fill="D0D8E8"/>
            <w:tcMar>
              <w:top w:w="60" w:type="dxa"/>
              <w:left w:w="100" w:type="dxa"/>
              <w:bottom w:w="60" w:type="dxa"/>
              <w:right w:w="100" w:type="dxa"/>
            </w:tcMar>
            <w:vAlign w:val="center"/>
          </w:tcPr>
          <w:p w14:paraId="485B9318" w14:textId="77777777" w:rsidR="00E979A0" w:rsidRDefault="003B03EA">
            <w:pPr>
              <w:jc w:val="center"/>
            </w:pPr>
            <w:r>
              <w:rPr>
                <w:b/>
                <w:bCs/>
                <w:sz w:val="16"/>
                <w:szCs w:val="16"/>
              </w:rPr>
              <w:t>MAPE (%)</w:t>
            </w:r>
          </w:p>
        </w:tc>
      </w:tr>
      <w:tr w:rsidR="00E979A0" w14:paraId="06118147" w14:textId="77777777" w:rsidTr="00FB67AB">
        <w:trPr>
          <w:trHeight w:val="134"/>
        </w:trPr>
        <w:tc>
          <w:tcPr>
            <w:tcW w:w="1567" w:type="dxa"/>
            <w:tcBorders>
              <w:top w:val="single" w:sz="4" w:space="0" w:color="444444"/>
              <w:left w:val="single" w:sz="4" w:space="0" w:color="444444"/>
              <w:bottom w:val="single" w:sz="4" w:space="0" w:color="444444"/>
              <w:right w:val="single" w:sz="4" w:space="0" w:color="444444"/>
            </w:tcBorders>
            <w:shd w:val="clear" w:color="auto" w:fill="F0F4FA"/>
            <w:tcMar>
              <w:top w:w="60" w:type="dxa"/>
              <w:left w:w="100" w:type="dxa"/>
              <w:bottom w:w="60" w:type="dxa"/>
              <w:right w:w="100" w:type="dxa"/>
            </w:tcMar>
            <w:vAlign w:val="center"/>
          </w:tcPr>
          <w:p w14:paraId="7A440B4E" w14:textId="77777777" w:rsidR="00E979A0" w:rsidRDefault="003B03EA">
            <w:pPr>
              <w:jc w:val="center"/>
            </w:pPr>
            <w:r>
              <w:rPr>
                <w:sz w:val="16"/>
                <w:szCs w:val="16"/>
              </w:rPr>
              <w:t>Enhanced Raw Data (Stage 14)</w:t>
            </w:r>
          </w:p>
        </w:tc>
        <w:tc>
          <w:tcPr>
            <w:tcW w:w="464" w:type="dxa"/>
            <w:tcBorders>
              <w:top w:val="single" w:sz="4" w:space="0" w:color="444444"/>
              <w:left w:val="single" w:sz="4" w:space="0" w:color="444444"/>
              <w:bottom w:val="single" w:sz="4" w:space="0" w:color="444444"/>
              <w:right w:val="single" w:sz="4" w:space="0" w:color="444444"/>
            </w:tcBorders>
            <w:shd w:val="clear" w:color="auto" w:fill="F0F4FA"/>
            <w:tcMar>
              <w:top w:w="60" w:type="dxa"/>
              <w:left w:w="100" w:type="dxa"/>
              <w:bottom w:w="60" w:type="dxa"/>
              <w:right w:w="100" w:type="dxa"/>
            </w:tcMar>
            <w:vAlign w:val="center"/>
          </w:tcPr>
          <w:p w14:paraId="1F72B96E" w14:textId="77777777" w:rsidR="00E979A0" w:rsidRDefault="003B03EA">
            <w:pPr>
              <w:jc w:val="center"/>
            </w:pPr>
            <w:r>
              <w:rPr>
                <w:sz w:val="16"/>
                <w:szCs w:val="16"/>
              </w:rPr>
              <w:t>0.9967</w:t>
            </w:r>
          </w:p>
        </w:tc>
        <w:tc>
          <w:tcPr>
            <w:tcW w:w="580" w:type="dxa"/>
            <w:tcBorders>
              <w:top w:val="single" w:sz="4" w:space="0" w:color="444444"/>
              <w:left w:val="single" w:sz="4" w:space="0" w:color="444444"/>
              <w:bottom w:val="single" w:sz="4" w:space="0" w:color="444444"/>
              <w:right w:val="single" w:sz="4" w:space="0" w:color="444444"/>
            </w:tcBorders>
            <w:shd w:val="clear" w:color="auto" w:fill="F0F4FA"/>
            <w:tcMar>
              <w:top w:w="60" w:type="dxa"/>
              <w:left w:w="100" w:type="dxa"/>
              <w:bottom w:w="60" w:type="dxa"/>
              <w:right w:w="100" w:type="dxa"/>
            </w:tcMar>
            <w:vAlign w:val="center"/>
          </w:tcPr>
          <w:p w14:paraId="0F4081D0" w14:textId="77777777" w:rsidR="00E979A0" w:rsidRDefault="003B03EA">
            <w:pPr>
              <w:jc w:val="center"/>
            </w:pPr>
            <w:r>
              <w:rPr>
                <w:sz w:val="16"/>
                <w:szCs w:val="16"/>
              </w:rPr>
              <w:t>22.28</w:t>
            </w:r>
          </w:p>
        </w:tc>
        <w:tc>
          <w:tcPr>
            <w:tcW w:w="580" w:type="dxa"/>
            <w:tcBorders>
              <w:top w:val="single" w:sz="4" w:space="0" w:color="444444"/>
              <w:left w:val="single" w:sz="4" w:space="0" w:color="444444"/>
              <w:bottom w:val="single" w:sz="4" w:space="0" w:color="444444"/>
              <w:right w:val="single" w:sz="4" w:space="0" w:color="444444"/>
            </w:tcBorders>
            <w:shd w:val="clear" w:color="auto" w:fill="F0F4FA"/>
            <w:tcMar>
              <w:top w:w="60" w:type="dxa"/>
              <w:left w:w="100" w:type="dxa"/>
              <w:bottom w:w="60" w:type="dxa"/>
              <w:right w:w="100" w:type="dxa"/>
            </w:tcMar>
            <w:vAlign w:val="center"/>
          </w:tcPr>
          <w:p w14:paraId="38C0BBAA" w14:textId="77777777" w:rsidR="00E979A0" w:rsidRDefault="003B03EA">
            <w:pPr>
              <w:jc w:val="center"/>
            </w:pPr>
            <w:r>
              <w:rPr>
                <w:sz w:val="16"/>
                <w:szCs w:val="16"/>
              </w:rPr>
              <w:t>28.28</w:t>
            </w:r>
          </w:p>
        </w:tc>
        <w:tc>
          <w:tcPr>
            <w:tcW w:w="479" w:type="dxa"/>
            <w:tcBorders>
              <w:top w:val="single" w:sz="4" w:space="0" w:color="444444"/>
              <w:left w:val="single" w:sz="4" w:space="0" w:color="444444"/>
              <w:bottom w:val="single" w:sz="4" w:space="0" w:color="444444"/>
              <w:right w:val="single" w:sz="4" w:space="0" w:color="444444"/>
            </w:tcBorders>
            <w:shd w:val="clear" w:color="auto" w:fill="F0F4FA"/>
            <w:tcMar>
              <w:top w:w="60" w:type="dxa"/>
              <w:left w:w="100" w:type="dxa"/>
              <w:bottom w:w="60" w:type="dxa"/>
              <w:right w:w="100" w:type="dxa"/>
            </w:tcMar>
            <w:vAlign w:val="center"/>
          </w:tcPr>
          <w:p w14:paraId="54EC3DF3" w14:textId="77777777" w:rsidR="00E979A0" w:rsidRDefault="003B03EA">
            <w:pPr>
              <w:jc w:val="center"/>
            </w:pPr>
            <w:r>
              <w:rPr>
                <w:sz w:val="16"/>
                <w:szCs w:val="16"/>
              </w:rPr>
              <w:t>0.0469</w:t>
            </w:r>
          </w:p>
        </w:tc>
      </w:tr>
      <w:tr w:rsidR="00E979A0" w14:paraId="5992F9B9" w14:textId="77777777" w:rsidTr="00FB67AB">
        <w:trPr>
          <w:trHeight w:val="134"/>
        </w:trPr>
        <w:tc>
          <w:tcPr>
            <w:tcW w:w="1567"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689926C8" w14:textId="77777777" w:rsidR="00E979A0" w:rsidRDefault="003B03EA">
            <w:pPr>
              <w:jc w:val="center"/>
            </w:pPr>
            <w:r>
              <w:rPr>
                <w:sz w:val="16"/>
                <w:szCs w:val="16"/>
              </w:rPr>
              <w:t>Random Forest Top-5</w:t>
            </w:r>
          </w:p>
        </w:tc>
        <w:tc>
          <w:tcPr>
            <w:tcW w:w="464"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5671A404" w14:textId="77777777" w:rsidR="00E979A0" w:rsidRDefault="003B03EA">
            <w:pPr>
              <w:jc w:val="center"/>
            </w:pPr>
            <w:r>
              <w:rPr>
                <w:sz w:val="16"/>
                <w:szCs w:val="16"/>
              </w:rPr>
              <w:t>0.9812</w:t>
            </w:r>
          </w:p>
        </w:tc>
        <w:tc>
          <w:tcPr>
            <w:tcW w:w="58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60AE13BB" w14:textId="77777777" w:rsidR="00E979A0" w:rsidRDefault="003B03EA">
            <w:pPr>
              <w:jc w:val="center"/>
            </w:pPr>
            <w:r>
              <w:rPr>
                <w:sz w:val="16"/>
                <w:szCs w:val="16"/>
              </w:rPr>
              <w:t>53.18</w:t>
            </w:r>
          </w:p>
        </w:tc>
        <w:tc>
          <w:tcPr>
            <w:tcW w:w="58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1137C474" w14:textId="77777777" w:rsidR="00E979A0" w:rsidRDefault="003B03EA">
            <w:pPr>
              <w:jc w:val="center"/>
            </w:pPr>
            <w:r>
              <w:rPr>
                <w:sz w:val="16"/>
                <w:szCs w:val="16"/>
              </w:rPr>
              <w:t>67.64</w:t>
            </w:r>
          </w:p>
        </w:tc>
        <w:tc>
          <w:tcPr>
            <w:tcW w:w="479"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23784F9D" w14:textId="77777777" w:rsidR="00E979A0" w:rsidRDefault="003B03EA">
            <w:pPr>
              <w:jc w:val="center"/>
            </w:pPr>
            <w:r>
              <w:rPr>
                <w:sz w:val="16"/>
                <w:szCs w:val="16"/>
              </w:rPr>
              <w:t>0.1113</w:t>
            </w:r>
          </w:p>
        </w:tc>
      </w:tr>
      <w:tr w:rsidR="00E979A0" w14:paraId="736C0336" w14:textId="77777777" w:rsidTr="00FB67AB">
        <w:trPr>
          <w:trHeight w:val="134"/>
        </w:trPr>
        <w:tc>
          <w:tcPr>
            <w:tcW w:w="1567" w:type="dxa"/>
            <w:tcBorders>
              <w:top w:val="single" w:sz="4" w:space="0" w:color="444444"/>
              <w:left w:val="single" w:sz="4" w:space="0" w:color="444444"/>
              <w:bottom w:val="single" w:sz="4" w:space="0" w:color="444444"/>
              <w:right w:val="single" w:sz="4" w:space="0" w:color="444444"/>
            </w:tcBorders>
            <w:shd w:val="clear" w:color="auto" w:fill="F0F4FA"/>
            <w:tcMar>
              <w:top w:w="60" w:type="dxa"/>
              <w:left w:w="100" w:type="dxa"/>
              <w:bottom w:w="60" w:type="dxa"/>
              <w:right w:w="100" w:type="dxa"/>
            </w:tcMar>
            <w:vAlign w:val="center"/>
          </w:tcPr>
          <w:p w14:paraId="7683172E" w14:textId="77777777" w:rsidR="00E979A0" w:rsidRDefault="003B03EA">
            <w:pPr>
              <w:jc w:val="center"/>
            </w:pPr>
            <w:r>
              <w:rPr>
                <w:sz w:val="16"/>
                <w:szCs w:val="16"/>
              </w:rPr>
              <w:t>Raw Data (Baseline)</w:t>
            </w:r>
          </w:p>
        </w:tc>
        <w:tc>
          <w:tcPr>
            <w:tcW w:w="464" w:type="dxa"/>
            <w:tcBorders>
              <w:top w:val="single" w:sz="4" w:space="0" w:color="444444"/>
              <w:left w:val="single" w:sz="4" w:space="0" w:color="444444"/>
              <w:bottom w:val="single" w:sz="4" w:space="0" w:color="444444"/>
              <w:right w:val="single" w:sz="4" w:space="0" w:color="444444"/>
            </w:tcBorders>
            <w:shd w:val="clear" w:color="auto" w:fill="F0F4FA"/>
            <w:tcMar>
              <w:top w:w="60" w:type="dxa"/>
              <w:left w:w="100" w:type="dxa"/>
              <w:bottom w:w="60" w:type="dxa"/>
              <w:right w:w="100" w:type="dxa"/>
            </w:tcMar>
            <w:vAlign w:val="center"/>
          </w:tcPr>
          <w:p w14:paraId="1E1D2BE9" w14:textId="77777777" w:rsidR="00E979A0" w:rsidRDefault="003B03EA">
            <w:pPr>
              <w:jc w:val="center"/>
            </w:pPr>
            <w:r>
              <w:rPr>
                <w:sz w:val="16"/>
                <w:szCs w:val="16"/>
              </w:rPr>
              <w:t>0.9142</w:t>
            </w:r>
          </w:p>
        </w:tc>
        <w:tc>
          <w:tcPr>
            <w:tcW w:w="580" w:type="dxa"/>
            <w:tcBorders>
              <w:top w:val="single" w:sz="4" w:space="0" w:color="444444"/>
              <w:left w:val="single" w:sz="4" w:space="0" w:color="444444"/>
              <w:bottom w:val="single" w:sz="4" w:space="0" w:color="444444"/>
              <w:right w:val="single" w:sz="4" w:space="0" w:color="444444"/>
            </w:tcBorders>
            <w:shd w:val="clear" w:color="auto" w:fill="F0F4FA"/>
            <w:tcMar>
              <w:top w:w="60" w:type="dxa"/>
              <w:left w:w="100" w:type="dxa"/>
              <w:bottom w:w="60" w:type="dxa"/>
              <w:right w:w="100" w:type="dxa"/>
            </w:tcMar>
            <w:vAlign w:val="center"/>
          </w:tcPr>
          <w:p w14:paraId="602A4835" w14:textId="77777777" w:rsidR="00E979A0" w:rsidRDefault="003B03EA">
            <w:pPr>
              <w:jc w:val="center"/>
            </w:pPr>
            <w:r>
              <w:rPr>
                <w:sz w:val="16"/>
                <w:szCs w:val="16"/>
              </w:rPr>
              <w:t>131.83</w:t>
            </w:r>
          </w:p>
        </w:tc>
        <w:tc>
          <w:tcPr>
            <w:tcW w:w="580" w:type="dxa"/>
            <w:tcBorders>
              <w:top w:val="single" w:sz="4" w:space="0" w:color="444444"/>
              <w:left w:val="single" w:sz="4" w:space="0" w:color="444444"/>
              <w:bottom w:val="single" w:sz="4" w:space="0" w:color="444444"/>
              <w:right w:val="single" w:sz="4" w:space="0" w:color="444444"/>
            </w:tcBorders>
            <w:shd w:val="clear" w:color="auto" w:fill="F0F4FA"/>
            <w:tcMar>
              <w:top w:w="60" w:type="dxa"/>
              <w:left w:w="100" w:type="dxa"/>
              <w:bottom w:w="60" w:type="dxa"/>
              <w:right w:w="100" w:type="dxa"/>
            </w:tcMar>
            <w:vAlign w:val="center"/>
          </w:tcPr>
          <w:p w14:paraId="51210CCB" w14:textId="77777777" w:rsidR="00E979A0" w:rsidRDefault="003B03EA">
            <w:pPr>
              <w:jc w:val="center"/>
            </w:pPr>
            <w:r>
              <w:rPr>
                <w:sz w:val="16"/>
                <w:szCs w:val="16"/>
              </w:rPr>
              <w:t>144.44</w:t>
            </w:r>
          </w:p>
        </w:tc>
        <w:tc>
          <w:tcPr>
            <w:tcW w:w="479" w:type="dxa"/>
            <w:tcBorders>
              <w:top w:val="single" w:sz="4" w:space="0" w:color="444444"/>
              <w:left w:val="single" w:sz="4" w:space="0" w:color="444444"/>
              <w:bottom w:val="single" w:sz="4" w:space="0" w:color="444444"/>
              <w:right w:val="single" w:sz="4" w:space="0" w:color="444444"/>
            </w:tcBorders>
            <w:shd w:val="clear" w:color="auto" w:fill="F0F4FA"/>
            <w:tcMar>
              <w:top w:w="60" w:type="dxa"/>
              <w:left w:w="100" w:type="dxa"/>
              <w:bottom w:w="60" w:type="dxa"/>
              <w:right w:w="100" w:type="dxa"/>
            </w:tcMar>
            <w:vAlign w:val="center"/>
          </w:tcPr>
          <w:p w14:paraId="7BF4A507" w14:textId="77777777" w:rsidR="00E979A0" w:rsidRDefault="003B03EA">
            <w:pPr>
              <w:jc w:val="center"/>
            </w:pPr>
            <w:r>
              <w:rPr>
                <w:sz w:val="16"/>
                <w:szCs w:val="16"/>
              </w:rPr>
              <w:t>0.2762</w:t>
            </w:r>
          </w:p>
        </w:tc>
      </w:tr>
      <w:tr w:rsidR="00E979A0" w14:paraId="57538269" w14:textId="77777777" w:rsidTr="00FB67AB">
        <w:trPr>
          <w:trHeight w:val="134"/>
        </w:trPr>
        <w:tc>
          <w:tcPr>
            <w:tcW w:w="1567"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11C4309F" w14:textId="77777777" w:rsidR="00E979A0" w:rsidRDefault="003B03EA">
            <w:pPr>
              <w:jc w:val="center"/>
            </w:pPr>
            <w:r>
              <w:rPr>
                <w:sz w:val="16"/>
                <w:szCs w:val="16"/>
              </w:rPr>
              <w:t>Linear PCA</w:t>
            </w:r>
          </w:p>
        </w:tc>
        <w:tc>
          <w:tcPr>
            <w:tcW w:w="464"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2E89FCEF" w14:textId="77777777" w:rsidR="00E979A0" w:rsidRDefault="003B03EA">
            <w:pPr>
              <w:jc w:val="center"/>
            </w:pPr>
            <w:r>
              <w:rPr>
                <w:sz w:val="16"/>
                <w:szCs w:val="16"/>
              </w:rPr>
              <w:t>0.9069</w:t>
            </w:r>
          </w:p>
        </w:tc>
        <w:tc>
          <w:tcPr>
            <w:tcW w:w="58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7EB92700" w14:textId="77777777" w:rsidR="00E979A0" w:rsidRDefault="003B03EA">
            <w:pPr>
              <w:jc w:val="center"/>
            </w:pPr>
            <w:r>
              <w:rPr>
                <w:sz w:val="16"/>
                <w:szCs w:val="16"/>
              </w:rPr>
              <w:t>113.24</w:t>
            </w:r>
          </w:p>
        </w:tc>
        <w:tc>
          <w:tcPr>
            <w:tcW w:w="58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201A2476" w14:textId="77777777" w:rsidR="00E979A0" w:rsidRDefault="003B03EA">
            <w:pPr>
              <w:jc w:val="center"/>
            </w:pPr>
            <w:r>
              <w:rPr>
                <w:sz w:val="16"/>
                <w:szCs w:val="16"/>
              </w:rPr>
              <w:t>150.42</w:t>
            </w:r>
          </w:p>
        </w:tc>
        <w:tc>
          <w:tcPr>
            <w:tcW w:w="479"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25F58747" w14:textId="77777777" w:rsidR="00E979A0" w:rsidRDefault="003B03EA">
            <w:pPr>
              <w:jc w:val="center"/>
            </w:pPr>
            <w:r>
              <w:rPr>
                <w:sz w:val="16"/>
                <w:szCs w:val="16"/>
              </w:rPr>
              <w:t>0.2383</w:t>
            </w:r>
          </w:p>
        </w:tc>
      </w:tr>
      <w:tr w:rsidR="00E979A0" w14:paraId="2CB7FD15" w14:textId="77777777" w:rsidTr="00FB67AB">
        <w:trPr>
          <w:trHeight w:val="134"/>
        </w:trPr>
        <w:tc>
          <w:tcPr>
            <w:tcW w:w="1567" w:type="dxa"/>
            <w:tcBorders>
              <w:top w:val="single" w:sz="4" w:space="0" w:color="444444"/>
              <w:left w:val="single" w:sz="4" w:space="0" w:color="444444"/>
              <w:bottom w:val="single" w:sz="4" w:space="0" w:color="444444"/>
              <w:right w:val="single" w:sz="4" w:space="0" w:color="444444"/>
            </w:tcBorders>
            <w:shd w:val="clear" w:color="auto" w:fill="F0F4FA"/>
            <w:tcMar>
              <w:top w:w="60" w:type="dxa"/>
              <w:left w:w="100" w:type="dxa"/>
              <w:bottom w:w="60" w:type="dxa"/>
              <w:right w:w="100" w:type="dxa"/>
            </w:tcMar>
            <w:vAlign w:val="center"/>
          </w:tcPr>
          <w:p w14:paraId="39BEEB42" w14:textId="77777777" w:rsidR="00E979A0" w:rsidRDefault="003B03EA">
            <w:pPr>
              <w:jc w:val="center"/>
            </w:pPr>
            <w:r>
              <w:rPr>
                <w:sz w:val="16"/>
                <w:szCs w:val="16"/>
              </w:rPr>
              <w:t>Kernel PCA</w:t>
            </w:r>
          </w:p>
        </w:tc>
        <w:tc>
          <w:tcPr>
            <w:tcW w:w="464" w:type="dxa"/>
            <w:tcBorders>
              <w:top w:val="single" w:sz="4" w:space="0" w:color="444444"/>
              <w:left w:val="single" w:sz="4" w:space="0" w:color="444444"/>
              <w:bottom w:val="single" w:sz="4" w:space="0" w:color="444444"/>
              <w:right w:val="single" w:sz="4" w:space="0" w:color="444444"/>
            </w:tcBorders>
            <w:shd w:val="clear" w:color="auto" w:fill="F0F4FA"/>
            <w:tcMar>
              <w:top w:w="60" w:type="dxa"/>
              <w:left w:w="100" w:type="dxa"/>
              <w:bottom w:w="60" w:type="dxa"/>
              <w:right w:w="100" w:type="dxa"/>
            </w:tcMar>
            <w:vAlign w:val="center"/>
          </w:tcPr>
          <w:p w14:paraId="6C541924" w14:textId="77777777" w:rsidR="00E979A0" w:rsidRDefault="003B03EA">
            <w:pPr>
              <w:jc w:val="center"/>
            </w:pPr>
            <w:r>
              <w:rPr>
                <w:sz w:val="16"/>
                <w:szCs w:val="16"/>
              </w:rPr>
              <w:t>0.5183</w:t>
            </w:r>
          </w:p>
        </w:tc>
        <w:tc>
          <w:tcPr>
            <w:tcW w:w="580" w:type="dxa"/>
            <w:tcBorders>
              <w:top w:val="single" w:sz="4" w:space="0" w:color="444444"/>
              <w:left w:val="single" w:sz="4" w:space="0" w:color="444444"/>
              <w:bottom w:val="single" w:sz="4" w:space="0" w:color="444444"/>
              <w:right w:val="single" w:sz="4" w:space="0" w:color="444444"/>
            </w:tcBorders>
            <w:shd w:val="clear" w:color="auto" w:fill="F0F4FA"/>
            <w:tcMar>
              <w:top w:w="60" w:type="dxa"/>
              <w:left w:w="100" w:type="dxa"/>
              <w:bottom w:w="60" w:type="dxa"/>
              <w:right w:w="100" w:type="dxa"/>
            </w:tcMar>
            <w:vAlign w:val="center"/>
          </w:tcPr>
          <w:p w14:paraId="715575EF" w14:textId="77777777" w:rsidR="00E979A0" w:rsidRDefault="003B03EA">
            <w:pPr>
              <w:jc w:val="center"/>
            </w:pPr>
            <w:r>
              <w:rPr>
                <w:sz w:val="16"/>
                <w:szCs w:val="16"/>
              </w:rPr>
              <w:t>251.17</w:t>
            </w:r>
          </w:p>
        </w:tc>
        <w:tc>
          <w:tcPr>
            <w:tcW w:w="580" w:type="dxa"/>
            <w:tcBorders>
              <w:top w:val="single" w:sz="4" w:space="0" w:color="444444"/>
              <w:left w:val="single" w:sz="4" w:space="0" w:color="444444"/>
              <w:bottom w:val="single" w:sz="4" w:space="0" w:color="444444"/>
              <w:right w:val="single" w:sz="4" w:space="0" w:color="444444"/>
            </w:tcBorders>
            <w:shd w:val="clear" w:color="auto" w:fill="F0F4FA"/>
            <w:tcMar>
              <w:top w:w="60" w:type="dxa"/>
              <w:left w:w="100" w:type="dxa"/>
              <w:bottom w:w="60" w:type="dxa"/>
              <w:right w:w="100" w:type="dxa"/>
            </w:tcMar>
            <w:vAlign w:val="center"/>
          </w:tcPr>
          <w:p w14:paraId="769A3567" w14:textId="77777777" w:rsidR="00E979A0" w:rsidRDefault="003B03EA">
            <w:pPr>
              <w:jc w:val="center"/>
            </w:pPr>
            <w:r>
              <w:rPr>
                <w:sz w:val="16"/>
                <w:szCs w:val="16"/>
              </w:rPr>
              <w:t>342.18</w:t>
            </w:r>
          </w:p>
        </w:tc>
        <w:tc>
          <w:tcPr>
            <w:tcW w:w="479" w:type="dxa"/>
            <w:tcBorders>
              <w:top w:val="single" w:sz="4" w:space="0" w:color="444444"/>
              <w:left w:val="single" w:sz="4" w:space="0" w:color="444444"/>
              <w:bottom w:val="single" w:sz="4" w:space="0" w:color="444444"/>
              <w:right w:val="single" w:sz="4" w:space="0" w:color="444444"/>
            </w:tcBorders>
            <w:shd w:val="clear" w:color="auto" w:fill="F0F4FA"/>
            <w:tcMar>
              <w:top w:w="60" w:type="dxa"/>
              <w:left w:w="100" w:type="dxa"/>
              <w:bottom w:w="60" w:type="dxa"/>
              <w:right w:w="100" w:type="dxa"/>
            </w:tcMar>
            <w:vAlign w:val="center"/>
          </w:tcPr>
          <w:p w14:paraId="14FF99B2" w14:textId="77777777" w:rsidR="00E979A0" w:rsidRDefault="003B03EA">
            <w:pPr>
              <w:jc w:val="center"/>
            </w:pPr>
            <w:r>
              <w:rPr>
                <w:sz w:val="16"/>
                <w:szCs w:val="16"/>
              </w:rPr>
              <w:t>0.5281</w:t>
            </w:r>
          </w:p>
        </w:tc>
      </w:tr>
      <w:tr w:rsidR="00E979A0" w14:paraId="0342C923" w14:textId="77777777" w:rsidTr="00FB67AB">
        <w:trPr>
          <w:trHeight w:val="134"/>
        </w:trPr>
        <w:tc>
          <w:tcPr>
            <w:tcW w:w="1567"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2974EA0B" w14:textId="77777777" w:rsidR="00E979A0" w:rsidRDefault="003B03EA">
            <w:pPr>
              <w:jc w:val="center"/>
            </w:pPr>
            <w:r>
              <w:rPr>
                <w:sz w:val="16"/>
                <w:szCs w:val="16"/>
              </w:rPr>
              <w:t>Factor Analysis</w:t>
            </w:r>
          </w:p>
        </w:tc>
        <w:tc>
          <w:tcPr>
            <w:tcW w:w="464"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0543728E" w14:textId="77777777" w:rsidR="00E979A0" w:rsidRDefault="003B03EA">
            <w:pPr>
              <w:jc w:val="center"/>
            </w:pPr>
            <w:r>
              <w:rPr>
                <w:sz w:val="16"/>
                <w:szCs w:val="16"/>
              </w:rPr>
              <w:t>−56.22</w:t>
            </w:r>
          </w:p>
        </w:tc>
        <w:tc>
          <w:tcPr>
            <w:tcW w:w="58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078E5ACD" w14:textId="77777777" w:rsidR="00E979A0" w:rsidRDefault="003B03EA">
            <w:pPr>
              <w:jc w:val="center"/>
            </w:pPr>
            <w:r>
              <w:rPr>
                <w:sz w:val="16"/>
                <w:szCs w:val="16"/>
              </w:rPr>
              <w:t>3717.25</w:t>
            </w:r>
          </w:p>
        </w:tc>
        <w:tc>
          <w:tcPr>
            <w:tcW w:w="58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7B3E1A33" w14:textId="77777777" w:rsidR="00E979A0" w:rsidRDefault="003B03EA">
            <w:pPr>
              <w:jc w:val="center"/>
            </w:pPr>
            <w:r>
              <w:rPr>
                <w:sz w:val="16"/>
                <w:szCs w:val="16"/>
              </w:rPr>
              <w:t>3729.57</w:t>
            </w:r>
          </w:p>
        </w:tc>
        <w:tc>
          <w:tcPr>
            <w:tcW w:w="479"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18800B6B" w14:textId="77777777" w:rsidR="00E979A0" w:rsidRDefault="003B03EA">
            <w:pPr>
              <w:jc w:val="center"/>
            </w:pPr>
            <w:r>
              <w:rPr>
                <w:sz w:val="16"/>
                <w:szCs w:val="16"/>
              </w:rPr>
              <w:t>7.8088</w:t>
            </w:r>
          </w:p>
        </w:tc>
      </w:tr>
    </w:tbl>
    <w:p w14:paraId="342AFF35" w14:textId="77777777" w:rsidR="00E979A0" w:rsidRDefault="003B03EA">
      <w:pPr>
        <w:pStyle w:val="figurecaption"/>
      </w:pPr>
      <w:r>
        <w:rPr>
          <w:i/>
          <w:iCs/>
        </w:rPr>
        <w:t>All error metrics in mV.</w:t>
      </w:r>
    </w:p>
    <w:p w14:paraId="708D76A2" w14:textId="77777777" w:rsidR="00E979A0" w:rsidRDefault="003B03EA">
      <w:pPr>
        <w:pStyle w:val="Heading2"/>
      </w:pPr>
      <w:r>
        <w:t>C. Performance at Window = 80 (Overfitting Regime)</w:t>
      </w:r>
    </w:p>
    <w:p w14:paraId="7E0D28A6" w14:textId="77777777" w:rsidR="00E979A0" w:rsidRDefault="003B03EA">
      <w:pPr>
        <w:pStyle w:val="BodyText"/>
      </w:pPr>
      <w:r>
        <w:t xml:space="preserve">Extending the window to 80 steps (≈ 13 minutes) degrades most methods relative to window = 60. The Raw Baseline recovers to R² = 0.9858, but Enhanced Raw Data drops to R² = 0.9508. The degradation occurs because a very long window causes the LSTM to overfit on micro-fluctuations and short-term battery recovery artefacts—brief voltage rebounds caused by rest phases between duty cycles—that are irrelevant to the macro discharge trend. These artefacts are amplified by the derivative features (ΔV, </w:t>
      </w:r>
      <w:proofErr w:type="spellStart"/>
      <w:r>
        <w:t>dV</w:t>
      </w:r>
      <w:proofErr w:type="spellEnd"/>
      <w:r>
        <w:t>/dt), which are sensitive to short-term oscillations. Kernel PCA improves notably to R² = 0.8464 at this window, suggesting that its non-linear kernel can partially exploit the additional history, but it still lags behind simpler methods. Factor Analysis worsens further to R² = −68.12.</w:t>
      </w:r>
    </w:p>
    <w:p w14:paraId="59DD55A0" w14:textId="77777777" w:rsidR="00E979A0" w:rsidRDefault="003B03EA">
      <w:pPr>
        <w:pStyle w:val="figurecaption"/>
        <w:spacing w:before="40" w:after="120"/>
      </w:pPr>
      <w:r>
        <w:rPr>
          <w:b/>
          <w:bCs/>
        </w:rPr>
        <w:lastRenderedPageBreak/>
        <w:t>TABLE III. Comparative Performance (Window = 80)</w:t>
      </w:r>
    </w:p>
    <w:tbl>
      <w:tblPr>
        <w:tblW w:w="35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8"/>
        <w:gridCol w:w="651"/>
        <w:gridCol w:w="720"/>
        <w:gridCol w:w="720"/>
        <w:gridCol w:w="672"/>
      </w:tblGrid>
      <w:tr w:rsidR="00E979A0" w14:paraId="5ADEF8EC" w14:textId="77777777" w:rsidTr="001E7986">
        <w:trPr>
          <w:trHeight w:val="689"/>
          <w:tblHeader/>
        </w:trPr>
        <w:tc>
          <w:tcPr>
            <w:tcW w:w="842" w:type="dxa"/>
            <w:tcBorders>
              <w:top w:val="single" w:sz="4" w:space="0" w:color="444444"/>
              <w:left w:val="single" w:sz="4" w:space="0" w:color="444444"/>
              <w:bottom w:val="single" w:sz="4" w:space="0" w:color="444444"/>
              <w:right w:val="single" w:sz="4" w:space="0" w:color="444444"/>
            </w:tcBorders>
            <w:shd w:val="clear" w:color="auto" w:fill="D0D8E8"/>
            <w:tcMar>
              <w:top w:w="60" w:type="dxa"/>
              <w:left w:w="100" w:type="dxa"/>
              <w:bottom w:w="60" w:type="dxa"/>
              <w:right w:w="100" w:type="dxa"/>
            </w:tcMar>
            <w:vAlign w:val="center"/>
          </w:tcPr>
          <w:p w14:paraId="1B2AB591" w14:textId="77777777" w:rsidR="00E979A0" w:rsidRDefault="003B03EA">
            <w:pPr>
              <w:jc w:val="center"/>
            </w:pPr>
            <w:r>
              <w:rPr>
                <w:b/>
                <w:bCs/>
                <w:sz w:val="16"/>
                <w:szCs w:val="16"/>
              </w:rPr>
              <w:t>Method (Input Data)</w:t>
            </w:r>
          </w:p>
        </w:tc>
        <w:tc>
          <w:tcPr>
            <w:tcW w:w="638" w:type="dxa"/>
            <w:tcBorders>
              <w:top w:val="single" w:sz="4" w:space="0" w:color="444444"/>
              <w:left w:val="single" w:sz="4" w:space="0" w:color="444444"/>
              <w:bottom w:val="single" w:sz="4" w:space="0" w:color="444444"/>
              <w:right w:val="single" w:sz="4" w:space="0" w:color="444444"/>
            </w:tcBorders>
            <w:shd w:val="clear" w:color="auto" w:fill="D0D8E8"/>
            <w:tcMar>
              <w:top w:w="60" w:type="dxa"/>
              <w:left w:w="100" w:type="dxa"/>
              <w:bottom w:w="60" w:type="dxa"/>
              <w:right w:w="100" w:type="dxa"/>
            </w:tcMar>
            <w:vAlign w:val="center"/>
          </w:tcPr>
          <w:p w14:paraId="5084385E" w14:textId="77777777" w:rsidR="00E979A0" w:rsidRDefault="003B03EA">
            <w:pPr>
              <w:jc w:val="center"/>
            </w:pPr>
            <w:r>
              <w:rPr>
                <w:b/>
                <w:bCs/>
                <w:sz w:val="16"/>
                <w:szCs w:val="16"/>
              </w:rPr>
              <w:t>R²</w:t>
            </w:r>
          </w:p>
        </w:tc>
        <w:tc>
          <w:tcPr>
            <w:tcW w:w="706" w:type="dxa"/>
            <w:tcBorders>
              <w:top w:val="single" w:sz="4" w:space="0" w:color="444444"/>
              <w:left w:val="single" w:sz="4" w:space="0" w:color="444444"/>
              <w:bottom w:val="single" w:sz="4" w:space="0" w:color="444444"/>
              <w:right w:val="single" w:sz="4" w:space="0" w:color="444444"/>
            </w:tcBorders>
            <w:shd w:val="clear" w:color="auto" w:fill="D0D8E8"/>
            <w:tcMar>
              <w:top w:w="60" w:type="dxa"/>
              <w:left w:w="100" w:type="dxa"/>
              <w:bottom w:w="60" w:type="dxa"/>
              <w:right w:w="100" w:type="dxa"/>
            </w:tcMar>
            <w:vAlign w:val="center"/>
          </w:tcPr>
          <w:p w14:paraId="7B734CEE" w14:textId="77777777" w:rsidR="00E979A0" w:rsidRDefault="003B03EA">
            <w:pPr>
              <w:jc w:val="center"/>
            </w:pPr>
            <w:r>
              <w:rPr>
                <w:b/>
                <w:bCs/>
                <w:sz w:val="16"/>
                <w:szCs w:val="16"/>
              </w:rPr>
              <w:t>MAE (mV)</w:t>
            </w:r>
          </w:p>
        </w:tc>
        <w:tc>
          <w:tcPr>
            <w:tcW w:w="706" w:type="dxa"/>
            <w:tcBorders>
              <w:top w:val="single" w:sz="4" w:space="0" w:color="444444"/>
              <w:left w:val="single" w:sz="4" w:space="0" w:color="444444"/>
              <w:bottom w:val="single" w:sz="4" w:space="0" w:color="444444"/>
              <w:right w:val="single" w:sz="4" w:space="0" w:color="444444"/>
            </w:tcBorders>
            <w:shd w:val="clear" w:color="auto" w:fill="D0D8E8"/>
            <w:tcMar>
              <w:top w:w="60" w:type="dxa"/>
              <w:left w:w="100" w:type="dxa"/>
              <w:bottom w:w="60" w:type="dxa"/>
              <w:right w:w="100" w:type="dxa"/>
            </w:tcMar>
            <w:vAlign w:val="center"/>
          </w:tcPr>
          <w:p w14:paraId="115B3E0D" w14:textId="77777777" w:rsidR="00E979A0" w:rsidRDefault="003B03EA">
            <w:pPr>
              <w:jc w:val="center"/>
            </w:pPr>
            <w:r>
              <w:rPr>
                <w:b/>
                <w:bCs/>
                <w:sz w:val="16"/>
                <w:szCs w:val="16"/>
              </w:rPr>
              <w:t>RMSE (mV)</w:t>
            </w:r>
          </w:p>
        </w:tc>
        <w:tc>
          <w:tcPr>
            <w:tcW w:w="659" w:type="dxa"/>
            <w:tcBorders>
              <w:top w:val="single" w:sz="4" w:space="0" w:color="444444"/>
              <w:left w:val="single" w:sz="4" w:space="0" w:color="444444"/>
              <w:bottom w:val="single" w:sz="4" w:space="0" w:color="444444"/>
              <w:right w:val="single" w:sz="4" w:space="0" w:color="444444"/>
            </w:tcBorders>
            <w:shd w:val="clear" w:color="auto" w:fill="D0D8E8"/>
            <w:tcMar>
              <w:top w:w="60" w:type="dxa"/>
              <w:left w:w="100" w:type="dxa"/>
              <w:bottom w:w="60" w:type="dxa"/>
              <w:right w:w="100" w:type="dxa"/>
            </w:tcMar>
            <w:vAlign w:val="center"/>
          </w:tcPr>
          <w:p w14:paraId="7468284D" w14:textId="77777777" w:rsidR="00E979A0" w:rsidRDefault="003B03EA">
            <w:pPr>
              <w:jc w:val="center"/>
            </w:pPr>
            <w:r>
              <w:rPr>
                <w:b/>
                <w:bCs/>
                <w:sz w:val="16"/>
                <w:szCs w:val="16"/>
              </w:rPr>
              <w:t>MAPE (%)</w:t>
            </w:r>
          </w:p>
        </w:tc>
      </w:tr>
      <w:tr w:rsidR="00E979A0" w14:paraId="223CF07A" w14:textId="77777777" w:rsidTr="001E7986">
        <w:trPr>
          <w:trHeight w:val="337"/>
        </w:trPr>
        <w:tc>
          <w:tcPr>
            <w:tcW w:w="842" w:type="dxa"/>
            <w:tcBorders>
              <w:top w:val="single" w:sz="4" w:space="0" w:color="444444"/>
              <w:left w:val="single" w:sz="4" w:space="0" w:color="444444"/>
              <w:bottom w:val="single" w:sz="4" w:space="0" w:color="444444"/>
              <w:right w:val="single" w:sz="4" w:space="0" w:color="444444"/>
            </w:tcBorders>
            <w:shd w:val="clear" w:color="auto" w:fill="F0F4FA"/>
            <w:tcMar>
              <w:top w:w="60" w:type="dxa"/>
              <w:left w:w="100" w:type="dxa"/>
              <w:bottom w:w="60" w:type="dxa"/>
              <w:right w:w="100" w:type="dxa"/>
            </w:tcMar>
            <w:vAlign w:val="center"/>
          </w:tcPr>
          <w:p w14:paraId="370065C1" w14:textId="77777777" w:rsidR="00E979A0" w:rsidRDefault="003B03EA">
            <w:pPr>
              <w:jc w:val="center"/>
            </w:pPr>
            <w:r>
              <w:rPr>
                <w:sz w:val="16"/>
                <w:szCs w:val="16"/>
              </w:rPr>
              <w:t>Raw Data (Baseline)</w:t>
            </w:r>
          </w:p>
        </w:tc>
        <w:tc>
          <w:tcPr>
            <w:tcW w:w="638" w:type="dxa"/>
            <w:tcBorders>
              <w:top w:val="single" w:sz="4" w:space="0" w:color="444444"/>
              <w:left w:val="single" w:sz="4" w:space="0" w:color="444444"/>
              <w:bottom w:val="single" w:sz="4" w:space="0" w:color="444444"/>
              <w:right w:val="single" w:sz="4" w:space="0" w:color="444444"/>
            </w:tcBorders>
            <w:shd w:val="clear" w:color="auto" w:fill="F0F4FA"/>
            <w:tcMar>
              <w:top w:w="60" w:type="dxa"/>
              <w:left w:w="100" w:type="dxa"/>
              <w:bottom w:w="60" w:type="dxa"/>
              <w:right w:w="100" w:type="dxa"/>
            </w:tcMar>
            <w:vAlign w:val="center"/>
          </w:tcPr>
          <w:p w14:paraId="254C65CC" w14:textId="77777777" w:rsidR="00E979A0" w:rsidRDefault="003B03EA">
            <w:pPr>
              <w:jc w:val="center"/>
            </w:pPr>
            <w:r>
              <w:rPr>
                <w:sz w:val="16"/>
                <w:szCs w:val="16"/>
              </w:rPr>
              <w:t>0.9858</w:t>
            </w:r>
          </w:p>
        </w:tc>
        <w:tc>
          <w:tcPr>
            <w:tcW w:w="706" w:type="dxa"/>
            <w:tcBorders>
              <w:top w:val="single" w:sz="4" w:space="0" w:color="444444"/>
              <w:left w:val="single" w:sz="4" w:space="0" w:color="444444"/>
              <w:bottom w:val="single" w:sz="4" w:space="0" w:color="444444"/>
              <w:right w:val="single" w:sz="4" w:space="0" w:color="444444"/>
            </w:tcBorders>
            <w:shd w:val="clear" w:color="auto" w:fill="F0F4FA"/>
            <w:tcMar>
              <w:top w:w="60" w:type="dxa"/>
              <w:left w:w="100" w:type="dxa"/>
              <w:bottom w:w="60" w:type="dxa"/>
              <w:right w:w="100" w:type="dxa"/>
            </w:tcMar>
            <w:vAlign w:val="center"/>
          </w:tcPr>
          <w:p w14:paraId="7EE9FDED" w14:textId="77777777" w:rsidR="00E979A0" w:rsidRDefault="003B03EA">
            <w:pPr>
              <w:jc w:val="center"/>
            </w:pPr>
            <w:r>
              <w:rPr>
                <w:sz w:val="16"/>
                <w:szCs w:val="16"/>
              </w:rPr>
              <w:t>58.63</w:t>
            </w:r>
          </w:p>
        </w:tc>
        <w:tc>
          <w:tcPr>
            <w:tcW w:w="706" w:type="dxa"/>
            <w:tcBorders>
              <w:top w:val="single" w:sz="4" w:space="0" w:color="444444"/>
              <w:left w:val="single" w:sz="4" w:space="0" w:color="444444"/>
              <w:bottom w:val="single" w:sz="4" w:space="0" w:color="444444"/>
              <w:right w:val="single" w:sz="4" w:space="0" w:color="444444"/>
            </w:tcBorders>
            <w:shd w:val="clear" w:color="auto" w:fill="F0F4FA"/>
            <w:tcMar>
              <w:top w:w="60" w:type="dxa"/>
              <w:left w:w="100" w:type="dxa"/>
              <w:bottom w:w="60" w:type="dxa"/>
              <w:right w:w="100" w:type="dxa"/>
            </w:tcMar>
            <w:vAlign w:val="center"/>
          </w:tcPr>
          <w:p w14:paraId="71BF5D7D" w14:textId="77777777" w:rsidR="00E979A0" w:rsidRDefault="003B03EA">
            <w:pPr>
              <w:jc w:val="center"/>
            </w:pPr>
            <w:r>
              <w:rPr>
                <w:sz w:val="16"/>
                <w:szCs w:val="16"/>
              </w:rPr>
              <w:t>61.90</w:t>
            </w:r>
          </w:p>
        </w:tc>
        <w:tc>
          <w:tcPr>
            <w:tcW w:w="659" w:type="dxa"/>
            <w:tcBorders>
              <w:top w:val="single" w:sz="4" w:space="0" w:color="444444"/>
              <w:left w:val="single" w:sz="4" w:space="0" w:color="444444"/>
              <w:bottom w:val="single" w:sz="4" w:space="0" w:color="444444"/>
              <w:right w:val="single" w:sz="4" w:space="0" w:color="444444"/>
            </w:tcBorders>
            <w:shd w:val="clear" w:color="auto" w:fill="F0F4FA"/>
            <w:tcMar>
              <w:top w:w="60" w:type="dxa"/>
              <w:left w:w="100" w:type="dxa"/>
              <w:bottom w:w="60" w:type="dxa"/>
              <w:right w:w="100" w:type="dxa"/>
            </w:tcMar>
            <w:vAlign w:val="center"/>
          </w:tcPr>
          <w:p w14:paraId="55726FEE" w14:textId="77777777" w:rsidR="00E979A0" w:rsidRDefault="003B03EA">
            <w:pPr>
              <w:jc w:val="center"/>
            </w:pPr>
            <w:r>
              <w:rPr>
                <w:sz w:val="16"/>
                <w:szCs w:val="16"/>
              </w:rPr>
              <w:t>0.1234</w:t>
            </w:r>
          </w:p>
        </w:tc>
      </w:tr>
      <w:tr w:rsidR="00E979A0" w14:paraId="38624AF6" w14:textId="77777777" w:rsidTr="001E7986">
        <w:trPr>
          <w:trHeight w:val="324"/>
        </w:trPr>
        <w:tc>
          <w:tcPr>
            <w:tcW w:w="842"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16E24B32" w14:textId="77777777" w:rsidR="00E979A0" w:rsidRDefault="003B03EA">
            <w:pPr>
              <w:jc w:val="center"/>
            </w:pPr>
            <w:r>
              <w:rPr>
                <w:sz w:val="16"/>
                <w:szCs w:val="16"/>
              </w:rPr>
              <w:t>Random Forest Top-5</w:t>
            </w:r>
          </w:p>
        </w:tc>
        <w:tc>
          <w:tcPr>
            <w:tcW w:w="638"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026B6C99" w14:textId="77777777" w:rsidR="00E979A0" w:rsidRDefault="003B03EA">
            <w:pPr>
              <w:jc w:val="center"/>
            </w:pPr>
            <w:r>
              <w:rPr>
                <w:sz w:val="16"/>
                <w:szCs w:val="16"/>
              </w:rPr>
              <w:t>0.9734</w:t>
            </w:r>
          </w:p>
        </w:tc>
        <w:tc>
          <w:tcPr>
            <w:tcW w:w="706"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6E31DC3B" w14:textId="77777777" w:rsidR="00E979A0" w:rsidRDefault="003B03EA">
            <w:pPr>
              <w:jc w:val="center"/>
            </w:pPr>
            <w:r>
              <w:rPr>
                <w:sz w:val="16"/>
                <w:szCs w:val="16"/>
              </w:rPr>
              <w:t>71.31</w:t>
            </w:r>
          </w:p>
        </w:tc>
        <w:tc>
          <w:tcPr>
            <w:tcW w:w="706"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09DABB8D" w14:textId="77777777" w:rsidR="00E979A0" w:rsidRDefault="003B03EA">
            <w:pPr>
              <w:jc w:val="center"/>
            </w:pPr>
            <w:r>
              <w:rPr>
                <w:sz w:val="16"/>
                <w:szCs w:val="16"/>
              </w:rPr>
              <w:t>84.82</w:t>
            </w:r>
          </w:p>
        </w:tc>
        <w:tc>
          <w:tcPr>
            <w:tcW w:w="659"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2759BADC" w14:textId="77777777" w:rsidR="00E979A0" w:rsidRDefault="003B03EA">
            <w:pPr>
              <w:jc w:val="center"/>
            </w:pPr>
            <w:r>
              <w:rPr>
                <w:sz w:val="16"/>
                <w:szCs w:val="16"/>
              </w:rPr>
              <w:t>0.1495</w:t>
            </w:r>
          </w:p>
        </w:tc>
      </w:tr>
      <w:tr w:rsidR="00E979A0" w14:paraId="32F7C32A" w14:textId="77777777" w:rsidTr="001E7986">
        <w:trPr>
          <w:trHeight w:val="337"/>
        </w:trPr>
        <w:tc>
          <w:tcPr>
            <w:tcW w:w="842" w:type="dxa"/>
            <w:tcBorders>
              <w:top w:val="single" w:sz="4" w:space="0" w:color="444444"/>
              <w:left w:val="single" w:sz="4" w:space="0" w:color="444444"/>
              <w:bottom w:val="single" w:sz="4" w:space="0" w:color="444444"/>
              <w:right w:val="single" w:sz="4" w:space="0" w:color="444444"/>
            </w:tcBorders>
            <w:shd w:val="clear" w:color="auto" w:fill="F0F4FA"/>
            <w:tcMar>
              <w:top w:w="60" w:type="dxa"/>
              <w:left w:w="100" w:type="dxa"/>
              <w:bottom w:w="60" w:type="dxa"/>
              <w:right w:w="100" w:type="dxa"/>
            </w:tcMar>
            <w:vAlign w:val="center"/>
          </w:tcPr>
          <w:p w14:paraId="2DE28C52" w14:textId="77777777" w:rsidR="00E979A0" w:rsidRDefault="003B03EA">
            <w:pPr>
              <w:jc w:val="center"/>
            </w:pPr>
            <w:r>
              <w:rPr>
                <w:sz w:val="16"/>
                <w:szCs w:val="16"/>
              </w:rPr>
              <w:t>Enhanced Raw Data (Stage 14)</w:t>
            </w:r>
          </w:p>
        </w:tc>
        <w:tc>
          <w:tcPr>
            <w:tcW w:w="638" w:type="dxa"/>
            <w:tcBorders>
              <w:top w:val="single" w:sz="4" w:space="0" w:color="444444"/>
              <w:left w:val="single" w:sz="4" w:space="0" w:color="444444"/>
              <w:bottom w:val="single" w:sz="4" w:space="0" w:color="444444"/>
              <w:right w:val="single" w:sz="4" w:space="0" w:color="444444"/>
            </w:tcBorders>
            <w:shd w:val="clear" w:color="auto" w:fill="F0F4FA"/>
            <w:tcMar>
              <w:top w:w="60" w:type="dxa"/>
              <w:left w:w="100" w:type="dxa"/>
              <w:bottom w:w="60" w:type="dxa"/>
              <w:right w:w="100" w:type="dxa"/>
            </w:tcMar>
            <w:vAlign w:val="center"/>
          </w:tcPr>
          <w:p w14:paraId="672DEE2B" w14:textId="77777777" w:rsidR="00E979A0" w:rsidRDefault="003B03EA">
            <w:pPr>
              <w:jc w:val="center"/>
            </w:pPr>
            <w:r>
              <w:rPr>
                <w:sz w:val="16"/>
                <w:szCs w:val="16"/>
              </w:rPr>
              <w:t>0.9508</w:t>
            </w:r>
          </w:p>
        </w:tc>
        <w:tc>
          <w:tcPr>
            <w:tcW w:w="706" w:type="dxa"/>
            <w:tcBorders>
              <w:top w:val="single" w:sz="4" w:space="0" w:color="444444"/>
              <w:left w:val="single" w:sz="4" w:space="0" w:color="444444"/>
              <w:bottom w:val="single" w:sz="4" w:space="0" w:color="444444"/>
              <w:right w:val="single" w:sz="4" w:space="0" w:color="444444"/>
            </w:tcBorders>
            <w:shd w:val="clear" w:color="auto" w:fill="F0F4FA"/>
            <w:tcMar>
              <w:top w:w="60" w:type="dxa"/>
              <w:left w:w="100" w:type="dxa"/>
              <w:bottom w:w="60" w:type="dxa"/>
              <w:right w:w="100" w:type="dxa"/>
            </w:tcMar>
            <w:vAlign w:val="center"/>
          </w:tcPr>
          <w:p w14:paraId="6816D34A" w14:textId="77777777" w:rsidR="00E979A0" w:rsidRDefault="003B03EA">
            <w:pPr>
              <w:jc w:val="center"/>
            </w:pPr>
            <w:r>
              <w:rPr>
                <w:sz w:val="16"/>
                <w:szCs w:val="16"/>
              </w:rPr>
              <w:t>105.93</w:t>
            </w:r>
          </w:p>
        </w:tc>
        <w:tc>
          <w:tcPr>
            <w:tcW w:w="706" w:type="dxa"/>
            <w:tcBorders>
              <w:top w:val="single" w:sz="4" w:space="0" w:color="444444"/>
              <w:left w:val="single" w:sz="4" w:space="0" w:color="444444"/>
              <w:bottom w:val="single" w:sz="4" w:space="0" w:color="444444"/>
              <w:right w:val="single" w:sz="4" w:space="0" w:color="444444"/>
            </w:tcBorders>
            <w:shd w:val="clear" w:color="auto" w:fill="F0F4FA"/>
            <w:tcMar>
              <w:top w:w="60" w:type="dxa"/>
              <w:left w:w="100" w:type="dxa"/>
              <w:bottom w:w="60" w:type="dxa"/>
              <w:right w:w="100" w:type="dxa"/>
            </w:tcMar>
            <w:vAlign w:val="center"/>
          </w:tcPr>
          <w:p w14:paraId="4EB4BEC2" w14:textId="77777777" w:rsidR="00E979A0" w:rsidRDefault="003B03EA">
            <w:pPr>
              <w:jc w:val="center"/>
            </w:pPr>
            <w:r>
              <w:rPr>
                <w:sz w:val="16"/>
                <w:szCs w:val="16"/>
              </w:rPr>
              <w:t>115.31</w:t>
            </w:r>
          </w:p>
        </w:tc>
        <w:tc>
          <w:tcPr>
            <w:tcW w:w="659" w:type="dxa"/>
            <w:tcBorders>
              <w:top w:val="single" w:sz="4" w:space="0" w:color="444444"/>
              <w:left w:val="single" w:sz="4" w:space="0" w:color="444444"/>
              <w:bottom w:val="single" w:sz="4" w:space="0" w:color="444444"/>
              <w:right w:val="single" w:sz="4" w:space="0" w:color="444444"/>
            </w:tcBorders>
            <w:shd w:val="clear" w:color="auto" w:fill="F0F4FA"/>
            <w:tcMar>
              <w:top w:w="60" w:type="dxa"/>
              <w:left w:w="100" w:type="dxa"/>
              <w:bottom w:w="60" w:type="dxa"/>
              <w:right w:w="100" w:type="dxa"/>
            </w:tcMar>
            <w:vAlign w:val="center"/>
          </w:tcPr>
          <w:p w14:paraId="07070281" w14:textId="77777777" w:rsidR="00E979A0" w:rsidRDefault="003B03EA">
            <w:pPr>
              <w:jc w:val="center"/>
            </w:pPr>
            <w:r>
              <w:rPr>
                <w:sz w:val="16"/>
                <w:szCs w:val="16"/>
              </w:rPr>
              <w:t>0.2228</w:t>
            </w:r>
          </w:p>
        </w:tc>
      </w:tr>
      <w:tr w:rsidR="00E979A0" w14:paraId="0902F472" w14:textId="77777777" w:rsidTr="001E7986">
        <w:trPr>
          <w:trHeight w:val="337"/>
        </w:trPr>
        <w:tc>
          <w:tcPr>
            <w:tcW w:w="842"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6606F3DA" w14:textId="77777777" w:rsidR="00E979A0" w:rsidRDefault="003B03EA">
            <w:pPr>
              <w:jc w:val="center"/>
            </w:pPr>
            <w:r>
              <w:rPr>
                <w:sz w:val="16"/>
                <w:szCs w:val="16"/>
              </w:rPr>
              <w:t>Kernel PCA</w:t>
            </w:r>
          </w:p>
        </w:tc>
        <w:tc>
          <w:tcPr>
            <w:tcW w:w="638"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33C5EAFB" w14:textId="77777777" w:rsidR="00E979A0" w:rsidRDefault="003B03EA">
            <w:pPr>
              <w:jc w:val="center"/>
            </w:pPr>
            <w:r>
              <w:rPr>
                <w:sz w:val="16"/>
                <w:szCs w:val="16"/>
              </w:rPr>
              <w:t>0.8464</w:t>
            </w:r>
          </w:p>
        </w:tc>
        <w:tc>
          <w:tcPr>
            <w:tcW w:w="706"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4AD47188" w14:textId="77777777" w:rsidR="00E979A0" w:rsidRDefault="003B03EA">
            <w:pPr>
              <w:jc w:val="center"/>
            </w:pPr>
            <w:r>
              <w:rPr>
                <w:sz w:val="16"/>
                <w:szCs w:val="16"/>
              </w:rPr>
              <w:t>146.99</w:t>
            </w:r>
          </w:p>
        </w:tc>
        <w:tc>
          <w:tcPr>
            <w:tcW w:w="706"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531439C9" w14:textId="77777777" w:rsidR="00E979A0" w:rsidRDefault="003B03EA">
            <w:pPr>
              <w:jc w:val="center"/>
            </w:pPr>
            <w:r>
              <w:rPr>
                <w:sz w:val="16"/>
                <w:szCs w:val="16"/>
              </w:rPr>
              <w:t>203.80</w:t>
            </w:r>
          </w:p>
        </w:tc>
        <w:tc>
          <w:tcPr>
            <w:tcW w:w="659"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49F9A385" w14:textId="3097668E" w:rsidR="00E979A0" w:rsidRDefault="00701ABB">
            <w:pPr>
              <w:jc w:val="center"/>
            </w:pPr>
            <w:r>
              <w:rPr>
                <w:sz w:val="16"/>
                <w:szCs w:val="16"/>
                <w:lang w:val="uk-UA"/>
              </w:rPr>
              <w:t xml:space="preserve"> </w:t>
            </w:r>
            <w:r w:rsidR="003B03EA">
              <w:rPr>
                <w:sz w:val="16"/>
                <w:szCs w:val="16"/>
              </w:rPr>
              <w:t>0.3068</w:t>
            </w:r>
          </w:p>
        </w:tc>
      </w:tr>
      <w:tr w:rsidR="00E979A0" w14:paraId="2B9F1D11" w14:textId="77777777" w:rsidTr="001E7986">
        <w:trPr>
          <w:trHeight w:val="337"/>
        </w:trPr>
        <w:tc>
          <w:tcPr>
            <w:tcW w:w="842" w:type="dxa"/>
            <w:tcBorders>
              <w:top w:val="single" w:sz="4" w:space="0" w:color="444444"/>
              <w:left w:val="single" w:sz="4" w:space="0" w:color="444444"/>
              <w:bottom w:val="single" w:sz="4" w:space="0" w:color="444444"/>
              <w:right w:val="single" w:sz="4" w:space="0" w:color="444444"/>
            </w:tcBorders>
            <w:shd w:val="clear" w:color="auto" w:fill="F0F4FA"/>
            <w:tcMar>
              <w:top w:w="60" w:type="dxa"/>
              <w:left w:w="100" w:type="dxa"/>
              <w:bottom w:w="60" w:type="dxa"/>
              <w:right w:w="100" w:type="dxa"/>
            </w:tcMar>
            <w:vAlign w:val="center"/>
          </w:tcPr>
          <w:p w14:paraId="516865B2" w14:textId="77777777" w:rsidR="00E979A0" w:rsidRDefault="003B03EA">
            <w:pPr>
              <w:jc w:val="center"/>
            </w:pPr>
            <w:r>
              <w:rPr>
                <w:sz w:val="16"/>
                <w:szCs w:val="16"/>
              </w:rPr>
              <w:t>Linear PCA</w:t>
            </w:r>
          </w:p>
        </w:tc>
        <w:tc>
          <w:tcPr>
            <w:tcW w:w="638" w:type="dxa"/>
            <w:tcBorders>
              <w:top w:val="single" w:sz="4" w:space="0" w:color="444444"/>
              <w:left w:val="single" w:sz="4" w:space="0" w:color="444444"/>
              <w:bottom w:val="single" w:sz="4" w:space="0" w:color="444444"/>
              <w:right w:val="single" w:sz="4" w:space="0" w:color="444444"/>
            </w:tcBorders>
            <w:shd w:val="clear" w:color="auto" w:fill="F0F4FA"/>
            <w:tcMar>
              <w:top w:w="60" w:type="dxa"/>
              <w:left w:w="100" w:type="dxa"/>
              <w:bottom w:w="60" w:type="dxa"/>
              <w:right w:w="100" w:type="dxa"/>
            </w:tcMar>
            <w:vAlign w:val="center"/>
          </w:tcPr>
          <w:p w14:paraId="2D1244EB" w14:textId="77777777" w:rsidR="00E979A0" w:rsidRDefault="003B03EA">
            <w:pPr>
              <w:jc w:val="center"/>
            </w:pPr>
            <w:r>
              <w:rPr>
                <w:sz w:val="16"/>
                <w:szCs w:val="16"/>
              </w:rPr>
              <w:t>0.7166</w:t>
            </w:r>
          </w:p>
        </w:tc>
        <w:tc>
          <w:tcPr>
            <w:tcW w:w="706" w:type="dxa"/>
            <w:tcBorders>
              <w:top w:val="single" w:sz="4" w:space="0" w:color="444444"/>
              <w:left w:val="single" w:sz="4" w:space="0" w:color="444444"/>
              <w:bottom w:val="single" w:sz="4" w:space="0" w:color="444444"/>
              <w:right w:val="single" w:sz="4" w:space="0" w:color="444444"/>
            </w:tcBorders>
            <w:shd w:val="clear" w:color="auto" w:fill="F0F4FA"/>
            <w:tcMar>
              <w:top w:w="60" w:type="dxa"/>
              <w:left w:w="100" w:type="dxa"/>
              <w:bottom w:w="60" w:type="dxa"/>
              <w:right w:w="100" w:type="dxa"/>
            </w:tcMar>
            <w:vAlign w:val="center"/>
          </w:tcPr>
          <w:p w14:paraId="30EAAA63" w14:textId="77777777" w:rsidR="00E979A0" w:rsidRDefault="003B03EA">
            <w:pPr>
              <w:jc w:val="center"/>
            </w:pPr>
            <w:r>
              <w:rPr>
                <w:sz w:val="16"/>
                <w:szCs w:val="16"/>
              </w:rPr>
              <w:t>206.99</w:t>
            </w:r>
          </w:p>
        </w:tc>
        <w:tc>
          <w:tcPr>
            <w:tcW w:w="706" w:type="dxa"/>
            <w:tcBorders>
              <w:top w:val="single" w:sz="4" w:space="0" w:color="444444"/>
              <w:left w:val="single" w:sz="4" w:space="0" w:color="444444"/>
              <w:bottom w:val="single" w:sz="4" w:space="0" w:color="444444"/>
              <w:right w:val="single" w:sz="4" w:space="0" w:color="444444"/>
            </w:tcBorders>
            <w:shd w:val="clear" w:color="auto" w:fill="F0F4FA"/>
            <w:tcMar>
              <w:top w:w="60" w:type="dxa"/>
              <w:left w:w="100" w:type="dxa"/>
              <w:bottom w:w="60" w:type="dxa"/>
              <w:right w:w="100" w:type="dxa"/>
            </w:tcMar>
            <w:vAlign w:val="center"/>
          </w:tcPr>
          <w:p w14:paraId="35976897" w14:textId="77777777" w:rsidR="00E979A0" w:rsidRDefault="003B03EA">
            <w:pPr>
              <w:jc w:val="center"/>
            </w:pPr>
            <w:r>
              <w:rPr>
                <w:sz w:val="16"/>
                <w:szCs w:val="16"/>
              </w:rPr>
              <w:t>276.88</w:t>
            </w:r>
          </w:p>
        </w:tc>
        <w:tc>
          <w:tcPr>
            <w:tcW w:w="659" w:type="dxa"/>
            <w:tcBorders>
              <w:top w:val="single" w:sz="4" w:space="0" w:color="444444"/>
              <w:left w:val="single" w:sz="4" w:space="0" w:color="444444"/>
              <w:bottom w:val="single" w:sz="4" w:space="0" w:color="444444"/>
              <w:right w:val="single" w:sz="4" w:space="0" w:color="444444"/>
            </w:tcBorders>
            <w:shd w:val="clear" w:color="auto" w:fill="F0F4FA"/>
            <w:tcMar>
              <w:top w:w="60" w:type="dxa"/>
              <w:left w:w="100" w:type="dxa"/>
              <w:bottom w:w="60" w:type="dxa"/>
              <w:right w:w="100" w:type="dxa"/>
            </w:tcMar>
            <w:vAlign w:val="center"/>
          </w:tcPr>
          <w:p w14:paraId="0C942D6B" w14:textId="77777777" w:rsidR="00E979A0" w:rsidRDefault="003B03EA">
            <w:pPr>
              <w:jc w:val="center"/>
            </w:pPr>
            <w:r>
              <w:rPr>
                <w:sz w:val="16"/>
                <w:szCs w:val="16"/>
              </w:rPr>
              <w:t>0.4360</w:t>
            </w:r>
          </w:p>
        </w:tc>
      </w:tr>
      <w:tr w:rsidR="00E979A0" w14:paraId="384ABDD9" w14:textId="77777777" w:rsidTr="001E7986">
        <w:trPr>
          <w:trHeight w:val="337"/>
        </w:trPr>
        <w:tc>
          <w:tcPr>
            <w:tcW w:w="842"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122ADBB0" w14:textId="77777777" w:rsidR="00E979A0" w:rsidRDefault="003B03EA">
            <w:pPr>
              <w:jc w:val="center"/>
            </w:pPr>
            <w:r>
              <w:rPr>
                <w:sz w:val="16"/>
                <w:szCs w:val="16"/>
              </w:rPr>
              <w:t>Factor Analysis</w:t>
            </w:r>
          </w:p>
        </w:tc>
        <w:tc>
          <w:tcPr>
            <w:tcW w:w="638"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113A9F7F" w14:textId="77777777" w:rsidR="00E979A0" w:rsidRDefault="003B03EA">
            <w:pPr>
              <w:jc w:val="center"/>
            </w:pPr>
            <w:r>
              <w:rPr>
                <w:sz w:val="16"/>
                <w:szCs w:val="16"/>
              </w:rPr>
              <w:t>−68.12</w:t>
            </w:r>
          </w:p>
        </w:tc>
        <w:tc>
          <w:tcPr>
            <w:tcW w:w="706"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1105733A" w14:textId="77777777" w:rsidR="00E979A0" w:rsidRDefault="003B03EA">
            <w:pPr>
              <w:jc w:val="center"/>
            </w:pPr>
            <w:r>
              <w:rPr>
                <w:sz w:val="16"/>
                <w:szCs w:val="16"/>
              </w:rPr>
              <w:t>4302.56</w:t>
            </w:r>
          </w:p>
        </w:tc>
        <w:tc>
          <w:tcPr>
            <w:tcW w:w="706"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1922325E" w14:textId="77777777" w:rsidR="00E979A0" w:rsidRDefault="003B03EA">
            <w:pPr>
              <w:jc w:val="center"/>
            </w:pPr>
            <w:r>
              <w:rPr>
                <w:sz w:val="16"/>
                <w:szCs w:val="16"/>
              </w:rPr>
              <w:t>4323.87</w:t>
            </w:r>
          </w:p>
        </w:tc>
        <w:tc>
          <w:tcPr>
            <w:tcW w:w="659"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4FF2FFC3" w14:textId="77777777" w:rsidR="00E979A0" w:rsidRDefault="003B03EA">
            <w:pPr>
              <w:jc w:val="center"/>
            </w:pPr>
            <w:r>
              <w:rPr>
                <w:sz w:val="16"/>
                <w:szCs w:val="16"/>
              </w:rPr>
              <w:t>9.0232</w:t>
            </w:r>
          </w:p>
        </w:tc>
      </w:tr>
    </w:tbl>
    <w:p w14:paraId="2661F7CA" w14:textId="77777777" w:rsidR="00E979A0" w:rsidRDefault="003B03EA">
      <w:pPr>
        <w:pStyle w:val="figurecaption"/>
      </w:pPr>
      <w:r>
        <w:rPr>
          <w:i/>
          <w:iCs/>
        </w:rPr>
        <w:t>All error metrics in mV.</w:t>
      </w:r>
    </w:p>
    <w:p w14:paraId="176BBE93" w14:textId="77777777" w:rsidR="00E979A0" w:rsidRDefault="003B03EA">
      <w:pPr>
        <w:pStyle w:val="Heading1"/>
      </w:pPr>
      <w:r>
        <w:t>IV. Discussion</w:t>
      </w:r>
    </w:p>
    <w:p w14:paraId="1B7ADE1A" w14:textId="77777777" w:rsidR="00E979A0" w:rsidRDefault="003B03EA">
      <w:pPr>
        <w:pStyle w:val="Heading2"/>
      </w:pPr>
      <w:r>
        <w:t>A. Multicollinearity Is Not a Problem for LSTM</w:t>
      </w:r>
    </w:p>
    <w:p w14:paraId="53A756F9" w14:textId="77777777" w:rsidR="00E979A0" w:rsidRDefault="003B03EA">
      <w:pPr>
        <w:pStyle w:val="BodyText"/>
      </w:pPr>
      <w:r>
        <w:t>A central result of this study is that multicollinearity among sensor features does not degrade, and in fact benefits, LSTM-based voltage forecasting. Classical regression theory prescribes removing correlated predictors because multicollinearity inflates coefficient variance. LSTMs, however, are non-parametric and exploit temporal co-variation: correlated features provide the gated memory cells with shifted and scaled versions of the same underlying physical signal, effectively giving the model multiple “views” of the same electrochemical event. Random Forest importance scores confirm this empirically—every feature in the 16-dimensional set, including those with VIF &gt; 10, receives non-zero importance weight, indicating that none are truly redundant in the LSTM sense.</w:t>
      </w:r>
    </w:p>
    <w:p w14:paraId="55C06BE4" w14:textId="77777777" w:rsidR="00E979A0" w:rsidRDefault="003B03EA">
      <w:pPr>
        <w:pStyle w:val="Heading2"/>
      </w:pPr>
      <w:r>
        <w:t>B. PCA as the Best Engineering Trade-off</w:t>
      </w:r>
    </w:p>
    <w:p w14:paraId="51F7F713" w14:textId="77777777" w:rsidR="00E979A0" w:rsidRDefault="003B03EA">
      <w:pPr>
        <w:pStyle w:val="BodyText"/>
      </w:pPr>
      <w:r>
        <w:t>Linear PCA at 88 % explained variance achieves a 2.5× dimensionality compression—from 16 to 6 features—with only a modest accuracy penalty. At the optimal window of 60, Linear PCA reaches R² = 0.9069 versus R² = 0.9142 for the Raw Baseline: a difference of 0.73 percentage points in R² for a 62.5 % reduction in feature count. For resource-constrained embedded AGV controllers where inference latency and model memory are limited, this is an attractive trade-off. Importantly, Linear PCA also resolves multicollinearity by construction, which simplifies downstream model interpretation.</w:t>
      </w:r>
    </w:p>
    <w:p w14:paraId="30CE674C" w14:textId="77777777" w:rsidR="00E979A0" w:rsidRDefault="003B03EA">
      <w:pPr>
        <w:pStyle w:val="Heading2"/>
      </w:pPr>
      <w:r>
        <w:t>C. Factor Analysis: Fundamental Mismatch</w:t>
      </w:r>
    </w:p>
    <w:p w14:paraId="795DAED0" w14:textId="77777777" w:rsidR="00E979A0" w:rsidRDefault="003B03EA">
      <w:pPr>
        <w:pStyle w:val="BodyText"/>
      </w:pPr>
      <w:r>
        <w:t xml:space="preserve">Factor Analysis fails catastrophically across all conditions (R² ranging from −56 to −68). The root cause is a fundamental methodological mismatch. FA models the covariance matrix as a sum of shared latent factors and unique variances, assuming that observations are drawn from a stationary distribution. Battery discharge, however, is a non-stationary monotone process: </w:t>
      </w:r>
      <w:r>
        <w:t xml:space="preserve">the voltage decreases quasi-linearly from approximately 48 000 mV to 47 000 mV across the measurement window. FA interprets this dominant trend as a unique variance component (noise) rather than as a shared signal, effectively discarding the most informative feature of the data before the LSTM ever sees it. This finding </w:t>
      </w:r>
      <w:proofErr w:type="spellStart"/>
      <w:r>
        <w:t>generalises</w:t>
      </w:r>
      <w:proofErr w:type="spellEnd"/>
      <w:r>
        <w:t>: FA should never be used as a preprocessing step for time-series with strong deterministic trends.</w:t>
      </w:r>
    </w:p>
    <w:p w14:paraId="1A086A76" w14:textId="77777777" w:rsidR="00E979A0" w:rsidRDefault="003B03EA">
      <w:pPr>
        <w:pStyle w:val="Heading2"/>
      </w:pPr>
      <w:r>
        <w:t>D. Window Size and Method Synergy</w:t>
      </w:r>
    </w:p>
    <w:p w14:paraId="4FE8DEF3" w14:textId="77777777" w:rsidR="00E979A0" w:rsidRDefault="003B03EA">
      <w:pPr>
        <w:pStyle w:val="BodyText"/>
      </w:pPr>
      <w:r>
        <w:t>The window-size analysis reveals a clear three-regime pattern. In the under-context regime (w = 40), raw features dominate because derivative features have not yet converged. In the optimal regime (w = 60), feature engineering reaches peak performance as the LSTM fully exploits physics-informed temporal context. In the overfitting regime (w = 80), micro-fluctuations in the derivative features cause the model to overfit on irrelevant battery recovery artefacts, degrading the engineered representation relative to raw features. The implication for deployment is that window size and feature representation are co-dependent hyperparameters and must be tuned jointly.</w:t>
      </w:r>
    </w:p>
    <w:p w14:paraId="33BDDEF4" w14:textId="77777777" w:rsidR="00E979A0" w:rsidRDefault="003B03EA">
      <w:pPr>
        <w:pStyle w:val="Heading1"/>
      </w:pPr>
      <w:r>
        <w:t>V. Conclusions</w:t>
      </w:r>
    </w:p>
    <w:p w14:paraId="161F05D8" w14:textId="77777777" w:rsidR="00E979A0" w:rsidRDefault="003B03EA">
      <w:pPr>
        <w:pStyle w:val="BodyText"/>
      </w:pPr>
      <w:r>
        <w:t>This paper delivered five empirically grounded conclusions:</w:t>
      </w:r>
    </w:p>
    <w:p w14:paraId="3F2FE2B8" w14:textId="77777777" w:rsidR="00E979A0" w:rsidRDefault="003B03EA">
      <w:pPr>
        <w:pStyle w:val="ListParagraph"/>
        <w:numPr>
          <w:ilvl w:val="0"/>
          <w:numId w:val="2"/>
        </w:numPr>
      </w:pPr>
      <w:r>
        <w:t>Feature engineering with physics-informed derivatives (</w:t>
      </w:r>
      <w:proofErr w:type="spellStart"/>
      <w:r>
        <w:t>dV</w:t>
      </w:r>
      <w:proofErr w:type="spellEnd"/>
      <w:r>
        <w:t>/dt, ΔV) and a moving average smoother achieves the highest accuracy (R² = 0.9967) at window = 60 and is recommended when forecast accuracy is the primary objective.</w:t>
      </w:r>
    </w:p>
    <w:p w14:paraId="2B198FFA" w14:textId="77777777" w:rsidR="00E979A0" w:rsidRDefault="003B03EA">
      <w:pPr>
        <w:pStyle w:val="ListParagraph"/>
        <w:numPr>
          <w:ilvl w:val="0"/>
          <w:numId w:val="2"/>
        </w:numPr>
      </w:pPr>
      <w:r>
        <w:t>Linear PCA (88 % variance, 2.5× compression) provides the best engineering trade-off: R² = 0.9069 at window = 60, suitable for embedded deployment with strict resource constraints.</w:t>
      </w:r>
    </w:p>
    <w:p w14:paraId="0EB52937" w14:textId="77777777" w:rsidR="00E979A0" w:rsidRDefault="003B03EA">
      <w:pPr>
        <w:pStyle w:val="ListParagraph"/>
        <w:numPr>
          <w:ilvl w:val="0"/>
          <w:numId w:val="2"/>
        </w:numPr>
      </w:pPr>
      <w:r>
        <w:t>Multicollinearity among AGV sensor features is not a problem for LSTM networks; correlated features supply complementary temporal context and should be retained when accuracy matters.</w:t>
      </w:r>
    </w:p>
    <w:p w14:paraId="56FAC9B8" w14:textId="77777777" w:rsidR="00E979A0" w:rsidRDefault="003B03EA">
      <w:pPr>
        <w:pStyle w:val="ListParagraph"/>
        <w:numPr>
          <w:ilvl w:val="0"/>
          <w:numId w:val="2"/>
        </w:numPr>
      </w:pPr>
      <w:r>
        <w:t>Kernel PCA and Factor Analysis are unsuitable for quasi-linear battery discharge forecasting. Kernel PCA introduces artificial non-linearity; Factor Analysis discards the monotone trend as noise.</w:t>
      </w:r>
    </w:p>
    <w:p w14:paraId="6E196E29" w14:textId="77777777" w:rsidR="00E979A0" w:rsidRDefault="003B03EA">
      <w:pPr>
        <w:pStyle w:val="ListParagraph"/>
        <w:numPr>
          <w:ilvl w:val="0"/>
          <w:numId w:val="2"/>
        </w:numPr>
      </w:pPr>
      <w:r>
        <w:t>Window size and feature representation are co-dependent: the optimal window is w = 60 for feature-engineered inputs, while raw features perform better at the extremes (w = 40 and w = 80).</w:t>
      </w:r>
    </w:p>
    <w:p w14:paraId="60A3FE53" w14:textId="77777777" w:rsidR="00E979A0" w:rsidRDefault="003B03EA">
      <w:pPr>
        <w:pStyle w:val="BodyText"/>
      </w:pPr>
      <w:r>
        <w:t>Future work will investigate multi-step probabilistic forecasting, attention-augmented LSTM variants, and transfer of the trained pipeline across AGV fleets with heterogeneous battery chemistries.</w:t>
      </w:r>
    </w:p>
    <w:p w14:paraId="0E60917E" w14:textId="77777777" w:rsidR="00E979A0" w:rsidRDefault="003B03EA">
      <w:pPr>
        <w:pStyle w:val="Heading1"/>
      </w:pPr>
      <w:r>
        <w:t>Acknowledgment</w:t>
      </w:r>
    </w:p>
    <w:p w14:paraId="29BA525C" w14:textId="5777CA4C" w:rsidR="00E979A0" w:rsidRDefault="003B03EA">
      <w:pPr>
        <w:pStyle w:val="BodyText"/>
      </w:pPr>
      <w:r>
        <w:t xml:space="preserve">The authors thank the Institute of Computer Science and Information Technologies of </w:t>
      </w:r>
      <w:proofErr w:type="spellStart"/>
      <w:r>
        <w:t>Lviv</w:t>
      </w:r>
      <w:proofErr w:type="spellEnd"/>
      <w:r>
        <w:t xml:space="preserve"> Polytechnic National University for access to AGV telemetry infrastructure and computational resources used in this research.</w:t>
      </w:r>
    </w:p>
    <w:p w14:paraId="2998B93A" w14:textId="77777777" w:rsidR="00677FCE" w:rsidRDefault="00677FCE">
      <w:pPr>
        <w:pStyle w:val="BodyText"/>
      </w:pPr>
    </w:p>
    <w:p w14:paraId="6BF6671D" w14:textId="77777777" w:rsidR="00E979A0" w:rsidRDefault="003B03EA">
      <w:pPr>
        <w:pStyle w:val="Heading1"/>
      </w:pPr>
      <w:r>
        <w:lastRenderedPageBreak/>
        <w:t>References</w:t>
      </w:r>
    </w:p>
    <w:p w14:paraId="66DEBF9D" w14:textId="77777777" w:rsidR="00E979A0" w:rsidRDefault="003B03EA">
      <w:pPr>
        <w:pStyle w:val="references"/>
      </w:pPr>
      <w:r>
        <w:t xml:space="preserve">[1] I. Goodfellow, Y. </w:t>
      </w:r>
      <w:proofErr w:type="spellStart"/>
      <w:r>
        <w:t>Bengio</w:t>
      </w:r>
      <w:proofErr w:type="spellEnd"/>
      <w:r>
        <w:t>, and A. Courville, Deep Learning. Cambridge, MA: MIT Press, 2016.</w:t>
      </w:r>
    </w:p>
    <w:p w14:paraId="0A69E273" w14:textId="77777777" w:rsidR="00E979A0" w:rsidRDefault="003B03EA">
      <w:pPr>
        <w:pStyle w:val="references"/>
      </w:pPr>
      <w:r>
        <w:t xml:space="preserve">[2] S. </w:t>
      </w:r>
      <w:proofErr w:type="spellStart"/>
      <w:r>
        <w:t>Hochreiter</w:t>
      </w:r>
      <w:proofErr w:type="spellEnd"/>
      <w:r>
        <w:t xml:space="preserve"> and J. </w:t>
      </w:r>
      <w:proofErr w:type="spellStart"/>
      <w:r>
        <w:t>Schmidhuber</w:t>
      </w:r>
      <w:proofErr w:type="spellEnd"/>
      <w:r>
        <w:t>, “Long short-term memory,” Neural Computation, vol. 9, no. 8, pp. 1735–1780, 1997.</w:t>
      </w:r>
    </w:p>
    <w:p w14:paraId="1B210549" w14:textId="77777777" w:rsidR="00E979A0" w:rsidRDefault="003B03EA">
      <w:pPr>
        <w:pStyle w:val="references"/>
      </w:pPr>
      <w:r>
        <w:t>[3] I. T. Jolliffe, Principal Component Analysis, 2nd ed. New York: Springer, 2002.</w:t>
      </w:r>
    </w:p>
    <w:p w14:paraId="5CD47B23" w14:textId="77777777" w:rsidR="00E979A0" w:rsidRDefault="003B03EA">
      <w:pPr>
        <w:pStyle w:val="references"/>
      </w:pPr>
      <w:r>
        <w:t xml:space="preserve">[4] L. </w:t>
      </w:r>
      <w:proofErr w:type="spellStart"/>
      <w:r>
        <w:t>Breiman</w:t>
      </w:r>
      <w:proofErr w:type="spellEnd"/>
      <w:r>
        <w:t>, “Random forests,” Machine Learning, vol. 45, no. 1, pp. 5–32, 2001.</w:t>
      </w:r>
    </w:p>
    <w:p w14:paraId="5E84E1B4" w14:textId="77777777" w:rsidR="00E979A0" w:rsidRDefault="003B03EA">
      <w:pPr>
        <w:pStyle w:val="references"/>
      </w:pPr>
      <w:r>
        <w:t xml:space="preserve">[5] R. </w:t>
      </w:r>
      <w:proofErr w:type="spellStart"/>
      <w:r>
        <w:t>Tibshirani</w:t>
      </w:r>
      <w:proofErr w:type="spellEnd"/>
      <w:r>
        <w:t>, “Regression shrinkage and selection via the lasso,” J. Roy. Stat. Soc. B, vol. 58, no. 1, pp. 267–288, 1996.</w:t>
      </w:r>
    </w:p>
    <w:p w14:paraId="2AD39720" w14:textId="77777777" w:rsidR="00E979A0" w:rsidRDefault="003B03EA">
      <w:pPr>
        <w:pStyle w:val="references"/>
      </w:pPr>
      <w:r>
        <w:t xml:space="preserve">[6] B. </w:t>
      </w:r>
      <w:proofErr w:type="spellStart"/>
      <w:r>
        <w:t>Schölkopf</w:t>
      </w:r>
      <w:proofErr w:type="spellEnd"/>
      <w:r>
        <w:t xml:space="preserve">, A. </w:t>
      </w:r>
      <w:proofErr w:type="spellStart"/>
      <w:r>
        <w:t>Smola</w:t>
      </w:r>
      <w:proofErr w:type="spellEnd"/>
      <w:r>
        <w:t>, and K.-R. Müller, “Kernel principal component analysis,” in Proc. ICANN, 1997, pp. 583–588.</w:t>
      </w:r>
    </w:p>
    <w:p w14:paraId="12596D36" w14:textId="77777777" w:rsidR="00E979A0" w:rsidRDefault="003B03EA">
      <w:pPr>
        <w:pStyle w:val="references"/>
      </w:pPr>
      <w:r>
        <w:t xml:space="preserve">[7] Z. Chen, M. Wu, R. Zhao, F. </w:t>
      </w:r>
      <w:proofErr w:type="spellStart"/>
      <w:r>
        <w:t>Guretno</w:t>
      </w:r>
      <w:proofErr w:type="spellEnd"/>
      <w:r>
        <w:t>, and X. Yan, “Machine remaining useful life prediction via an attention-based deep learning approach,” IEEE Trans. Ind. Electron., vol. 68, no. 3, pp. 2521–2531, 2021.</w:t>
      </w:r>
    </w:p>
    <w:sectPr w:rsidR="00E979A0">
      <w:type w:val="continuous"/>
      <w:pgSz w:w="11906" w:h="16838"/>
      <w:pgMar w:top="1440" w:right="1921" w:bottom="1440" w:left="1921"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E401A1"/>
    <w:multiLevelType w:val="hybridMultilevel"/>
    <w:tmpl w:val="3BD821AA"/>
    <w:lvl w:ilvl="0" w:tplc="F11415EC">
      <w:start w:val="1"/>
      <w:numFmt w:val="bullet"/>
      <w:lvlText w:val="●"/>
      <w:lvlJc w:val="left"/>
      <w:pPr>
        <w:ind w:left="720" w:hanging="360"/>
      </w:pPr>
    </w:lvl>
    <w:lvl w:ilvl="1" w:tplc="70A4CB08">
      <w:start w:val="1"/>
      <w:numFmt w:val="bullet"/>
      <w:lvlText w:val="○"/>
      <w:lvlJc w:val="left"/>
      <w:pPr>
        <w:ind w:left="1440" w:hanging="360"/>
      </w:pPr>
    </w:lvl>
    <w:lvl w:ilvl="2" w:tplc="8ADCADFC">
      <w:start w:val="1"/>
      <w:numFmt w:val="bullet"/>
      <w:lvlText w:val="■"/>
      <w:lvlJc w:val="left"/>
      <w:pPr>
        <w:ind w:left="2160" w:hanging="360"/>
      </w:pPr>
    </w:lvl>
    <w:lvl w:ilvl="3" w:tplc="310A9B30">
      <w:start w:val="1"/>
      <w:numFmt w:val="bullet"/>
      <w:lvlText w:val="●"/>
      <w:lvlJc w:val="left"/>
      <w:pPr>
        <w:ind w:left="2880" w:hanging="360"/>
      </w:pPr>
    </w:lvl>
    <w:lvl w:ilvl="4" w:tplc="09F431CC">
      <w:start w:val="1"/>
      <w:numFmt w:val="bullet"/>
      <w:lvlText w:val="○"/>
      <w:lvlJc w:val="left"/>
      <w:pPr>
        <w:ind w:left="3600" w:hanging="360"/>
      </w:pPr>
    </w:lvl>
    <w:lvl w:ilvl="5" w:tplc="BFC454EC">
      <w:start w:val="1"/>
      <w:numFmt w:val="bullet"/>
      <w:lvlText w:val="■"/>
      <w:lvlJc w:val="left"/>
      <w:pPr>
        <w:ind w:left="4320" w:hanging="360"/>
      </w:pPr>
    </w:lvl>
    <w:lvl w:ilvl="6" w:tplc="67128F8C">
      <w:start w:val="1"/>
      <w:numFmt w:val="bullet"/>
      <w:lvlText w:val="●"/>
      <w:lvlJc w:val="left"/>
      <w:pPr>
        <w:ind w:left="5040" w:hanging="360"/>
      </w:pPr>
    </w:lvl>
    <w:lvl w:ilvl="7" w:tplc="6E6CC540">
      <w:start w:val="1"/>
      <w:numFmt w:val="bullet"/>
      <w:lvlText w:val="●"/>
      <w:lvlJc w:val="left"/>
      <w:pPr>
        <w:ind w:left="5760" w:hanging="360"/>
      </w:pPr>
    </w:lvl>
    <w:lvl w:ilvl="8" w:tplc="BFB05760">
      <w:start w:val="1"/>
      <w:numFmt w:val="bullet"/>
      <w:lvlText w:val="●"/>
      <w:lvlJc w:val="left"/>
      <w:pPr>
        <w:ind w:left="6480" w:hanging="360"/>
      </w:pPr>
    </w:lvl>
  </w:abstractNum>
  <w:abstractNum w:abstractNumId="1" w15:restartNumberingAfterBreak="0">
    <w:nsid w:val="2FA92C61"/>
    <w:multiLevelType w:val="hybridMultilevel"/>
    <w:tmpl w:val="827C6C00"/>
    <w:lvl w:ilvl="0" w:tplc="9C7E280E">
      <w:start w:val="1"/>
      <w:numFmt w:val="bullet"/>
      <w:lvlText w:val="•"/>
      <w:lvlJc w:val="left"/>
      <w:pPr>
        <w:ind w:left="540" w:hanging="180"/>
      </w:pPr>
    </w:lvl>
    <w:lvl w:ilvl="1" w:tplc="05E2F856">
      <w:numFmt w:val="decimal"/>
      <w:lvlText w:val=""/>
      <w:lvlJc w:val="left"/>
    </w:lvl>
    <w:lvl w:ilvl="2" w:tplc="8A349816">
      <w:numFmt w:val="decimal"/>
      <w:lvlText w:val=""/>
      <w:lvlJc w:val="left"/>
    </w:lvl>
    <w:lvl w:ilvl="3" w:tplc="E7F42D82">
      <w:numFmt w:val="decimal"/>
      <w:lvlText w:val=""/>
      <w:lvlJc w:val="left"/>
    </w:lvl>
    <w:lvl w:ilvl="4" w:tplc="5F92BECA">
      <w:numFmt w:val="decimal"/>
      <w:lvlText w:val=""/>
      <w:lvlJc w:val="left"/>
    </w:lvl>
    <w:lvl w:ilvl="5" w:tplc="CAA00158">
      <w:numFmt w:val="decimal"/>
      <w:lvlText w:val=""/>
      <w:lvlJc w:val="left"/>
    </w:lvl>
    <w:lvl w:ilvl="6" w:tplc="F0B6293E">
      <w:numFmt w:val="decimal"/>
      <w:lvlText w:val=""/>
      <w:lvlJc w:val="left"/>
    </w:lvl>
    <w:lvl w:ilvl="7" w:tplc="8EB8BF40">
      <w:numFmt w:val="decimal"/>
      <w:lvlText w:val=""/>
      <w:lvlJc w:val="left"/>
    </w:lvl>
    <w:lvl w:ilvl="8" w:tplc="8D406A5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9A0"/>
    <w:rsid w:val="001E7986"/>
    <w:rsid w:val="0039765E"/>
    <w:rsid w:val="003B03EA"/>
    <w:rsid w:val="00677FCE"/>
    <w:rsid w:val="00701ABB"/>
    <w:rsid w:val="008D5017"/>
    <w:rsid w:val="00C30859"/>
    <w:rsid w:val="00E979A0"/>
    <w:rsid w:val="00FB67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AF768"/>
  <w15:docId w15:val="{A6C2272F-0280-4248-9CF5-672D4AB54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BodyText"/>
    <w:uiPriority w:val="9"/>
    <w:qFormat/>
    <w:pPr>
      <w:spacing w:before="120" w:after="60"/>
      <w:jc w:val="center"/>
      <w:outlineLvl w:val="0"/>
    </w:pPr>
    <w:rPr>
      <w:caps/>
    </w:rPr>
  </w:style>
  <w:style w:type="paragraph" w:styleId="Heading2">
    <w:name w:val="heading 2"/>
    <w:next w:val="BodyText"/>
    <w:uiPriority w:val="9"/>
    <w:unhideWhenUsed/>
    <w:qFormat/>
    <w:pPr>
      <w:spacing w:before="100" w:after="40"/>
      <w:outlineLvl w:val="1"/>
    </w:pPr>
    <w:rPr>
      <w:i/>
      <w:i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PaperTitle">
    <w:name w:val="Paper Title"/>
    <w:pPr>
      <w:spacing w:after="120"/>
      <w:jc w:val="center"/>
    </w:pPr>
    <w:rPr>
      <w:sz w:val="48"/>
      <w:szCs w:val="48"/>
    </w:rPr>
  </w:style>
  <w:style w:type="paragraph" w:customStyle="1" w:styleId="Author">
    <w:name w:val="Author"/>
    <w:pPr>
      <w:jc w:val="center"/>
    </w:pPr>
  </w:style>
  <w:style w:type="paragraph" w:customStyle="1" w:styleId="Abstract">
    <w:name w:val="Abstract"/>
    <w:pPr>
      <w:spacing w:before="60" w:after="80"/>
    </w:pPr>
  </w:style>
  <w:style w:type="paragraph" w:customStyle="1" w:styleId="Keywords">
    <w:name w:val="Keywords"/>
    <w:pPr>
      <w:spacing w:after="120"/>
    </w:pPr>
  </w:style>
  <w:style w:type="paragraph" w:styleId="BodyText">
    <w:name w:val="Body Text"/>
    <w:pPr>
      <w:spacing w:line="220" w:lineRule="auto"/>
      <w:ind w:firstLine="360"/>
    </w:pPr>
  </w:style>
  <w:style w:type="paragraph" w:customStyle="1" w:styleId="references">
    <w:name w:val="references"/>
    <w:pPr>
      <w:ind w:left="252" w:hanging="252"/>
    </w:pPr>
    <w:rPr>
      <w:sz w:val="16"/>
      <w:szCs w:val="16"/>
    </w:rPr>
  </w:style>
  <w:style w:type="paragraph" w:customStyle="1" w:styleId="tablehead">
    <w:name w:val="tablehead"/>
    <w:pPr>
      <w:jc w:val="center"/>
    </w:pPr>
    <w:rPr>
      <w:b/>
      <w:bCs/>
      <w:caps/>
      <w:sz w:val="16"/>
      <w:szCs w:val="16"/>
    </w:rPr>
  </w:style>
  <w:style w:type="paragraph" w:customStyle="1" w:styleId="figurecaption">
    <w:name w:val="figurecaption"/>
    <w:pPr>
      <w:jc w:val="center"/>
    </w:pPr>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2313</Words>
  <Characters>13186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Морква Нікіта Сергійович</cp:lastModifiedBy>
  <cp:revision>2</cp:revision>
  <dcterms:created xsi:type="dcterms:W3CDTF">2026-04-26T15:57:00Z</dcterms:created>
  <dcterms:modified xsi:type="dcterms:W3CDTF">2026-04-26T15:57:00Z</dcterms:modified>
</cp:coreProperties>
</file>