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Greenhouse Sentinel</w:t>
      </w:r>
    </w:p>
    <w:p>
      <w:pPr>
        <w:jc w:val="left"/>
      </w:pPr>
      <w:r>
        <w:rPr>
          <w:color w:val="B45309"/>
          <w:sz w:val="30"/>
        </w:rPr>
        <w:t>Product Handbook and Docs-as-Code Portfolio Demonstration</w:t>
      </w:r>
    </w:p>
    <w:p>
      <w:r>
        <w:t>Fictional product · Real documentation workflow · Katie Kearns · 2026</w:t>
      </w:r>
    </w:p>
    <w:p>
      <w:r>
        <w:t>This public sample contains no customer, proprietary, export-controlled, or classified information.</w:t>
      </w:r>
    </w:p>
    <w:p>
      <w:pPr>
        <w:pStyle w:val="Heading1"/>
      </w:pPr>
      <w:r>
        <w:t>Greenhouse Sentinel Documentation Demo</w:t>
      </w:r>
    </w:p>
    <w:p>
      <w:r>
        <w:rPr>
          <w:b/>
        </w:rPr>
        <w:t>A fictional product with real documentation engineering behind it.</w:t>
      </w:r>
    </w:p>
    <w:p>
      <w:r>
        <w:t xml:space="preserve">This is a public, self-documenting portfolio sample by </w:t>
      </w:r>
      <w:r>
        <w:rPr>
          <w:color w:val="075E54"/>
          <w:u w:val="single"/>
        </w:rPr>
        <w:t>Katie Kearns</w:t>
      </w:r>
      <w:r>
        <w:t>. Greenhouse Sentinel is a small fictional controller that watches three environmental signals and recommends a response before plants are stressed. Its limited scope makes the product documentation quick to understand while leaving enough structure to demonstrate a production-minded docs-as-code workflow.</w:t>
      </w:r>
    </w:p>
    <w:p>
      <w:r>
        <w:rPr>
          <w:color w:val="075E54"/>
          <w:u w:val="single"/>
        </w:rPr>
        <w:t>Start the product tour</w:t>
      </w:r>
    </w:p>
    <w:p>
      <w:r>
        <w:rPr>
          <w:color w:val="075E54"/>
          <w:u w:val="single"/>
        </w:rPr>
        <w:t>See how the repo works</w:t>
      </w:r>
    </w:p>
    <w:p>
      <w:pPr>
        <w:pStyle w:val="Heading2"/>
      </w:pPr>
      <w:r>
        <w:t>Why This Demo Exists</w:t>
      </w:r>
    </w:p>
    <w:p>
      <w:r>
        <w:t>This site is both a technical-writing sample and a reusable reference implementation. It shows how a documentation team can keep content reviewable in Git, publish a searchable site, customize presentation without rewriting source, detect broken navigation and cross-references, and generate portable Word and PDF deliverables.</w:t>
      </w:r>
    </w:p>
    <w:p>
      <w:r>
        <w:t xml:space="preserve">Everything needed to evaluate the sample is documented on this site. The public </w:t>
      </w:r>
      <w:r>
        <w:rPr>
          <w:color w:val="075E54"/>
          <w:u w:val="single"/>
        </w:rPr>
        <w:t>GitHub repository</w:t>
      </w:r>
      <w:r>
        <w:t xml:space="preserve"> provides the source and commit history for reviewers who want to inspect the implementation.</w:t>
      </w:r>
    </w:p>
    <w:p>
      <w:pPr>
        <w:pStyle w:val="Heading2"/>
      </w:pPr>
      <w:r>
        <w:t>One Source, Several Useful Outputs</w:t>
      </w:r>
    </w:p>
    <w:p>
      <w:r>
        <w:t>Authors maintain one set of accessible Markdown files. Automated checks verify navigation, internal links, anchors, and basic authoring rules. The publishing workflow then generates three outputs from that same reviewed source:</w:t>
      </w:r>
    </w:p>
    <w:p>
      <w:pPr>
        <w:pStyle w:val="ListNumber"/>
        <w:numPr>
          <w:ilvl w:val="0"/>
          <w:numId w:val="10"/>
        </w:numPr>
        <w:ind w:left="576" w:hanging="360"/>
      </w:pPr>
      <w:r>
        <w:t>this searchable Zensical site</w:t>
      </w:r>
    </w:p>
    <w:p>
      <w:pPr>
        <w:pStyle w:val="ListNumber"/>
        <w:ind w:left="576" w:hanging="360"/>
      </w:pPr>
      <w:r>
        <w:t>a Microsoft Word handbook</w:t>
      </w:r>
    </w:p>
    <w:p>
      <w:pPr>
        <w:pStyle w:val="ListNumber"/>
        <w:ind w:left="576" w:hanging="360"/>
      </w:pPr>
      <w:r>
        <w:t>a PDF handbook</w:t>
      </w:r>
    </w:p>
    <w:p>
      <w:r>
        <w:t>The Word and PDF files are not separately maintained copies. When an approved Markdown change is merged, automation rebuilds all three outputs together.</w:t>
      </w:r>
    </w:p>
    <w:p>
      <w:r>
        <w:rPr>
          <w:color w:val="075E54"/>
          <w:u w:val="single"/>
        </w:rPr>
        <w:t>Download the Word handbook</w:t>
      </w:r>
    </w:p>
    <w:p>
      <w:r>
        <w:rPr>
          <w:color w:val="075E54"/>
          <w:u w:val="single"/>
        </w:rPr>
        <w:t>Download the PDF handbook</w:t>
      </w:r>
    </w:p>
    <w:p>
      <w:pPr>
        <w:pStyle w:val="Heading2"/>
      </w:pPr>
      <w:r>
        <w:t>What This Repository Demonstrates</w:t>
      </w:r>
    </w:p>
    <w:p>
      <w:pPr>
        <w:pStyle w:val="ListBullet"/>
      </w:pPr>
      <w:r>
        <w:rPr>
          <w:b/>
        </w:rPr>
        <w:t>Single-source authoring:</w:t>
      </w:r>
      <w:r>
        <w:t xml:space="preserve"> maintain content once in Markdown and generate the website, Word handbook, and PDF handbook together.</w:t>
      </w:r>
    </w:p>
    <w:p>
      <w:pPr>
        <w:pStyle w:val="ListBullet"/>
      </w:pPr>
      <w:r>
        <w:rPr>
          <w:b/>
        </w:rPr>
        <w:t>Explicit navigation:</w:t>
      </w:r>
      <w:r>
        <w:t xml:space="preserve"> control page order and grouping in </w:t>
      </w:r>
      <w:r>
        <w:rPr>
          <w:rFonts w:ascii="DejaVu Sans Mono" w:hAnsi="DejaVu Sans Mono" w:eastAsia="DejaVu Sans Mono"/>
        </w:rPr>
        <w:t>zensical.toml</w:t>
      </w:r>
      <w:r>
        <w:t xml:space="preserve"> instead of relying on filenames.</w:t>
      </w:r>
    </w:p>
    <w:p>
      <w:pPr>
        <w:pStyle w:val="ListBullet"/>
      </w:pPr>
      <w:r>
        <w:rPr>
          <w:b/>
        </w:rPr>
        <w:t>Stable cross-references:</w:t>
      </w:r>
      <w:r>
        <w:t xml:space="preserve"> use deliberate anchors for important targets, as shown by </w:t>
      </w:r>
      <w:r>
        <w:rPr>
          <w:color w:val="075E54"/>
          <w:u w:val="single"/>
        </w:rPr>
        <w:t>Decision states</w:t>
      </w:r>
      <w:r>
        <w:t>.</w:t>
      </w:r>
    </w:p>
    <w:p>
      <w:pPr>
        <w:pStyle w:val="ListBullet"/>
      </w:pPr>
      <w:r>
        <w:rPr>
          <w:b/>
        </w:rPr>
        <w:t>Automated validation:</w:t>
      </w:r>
      <w:r>
        <w:t xml:space="preserve"> detect missing navigation entries, files, internal links, anchors, headings, and image text before publication.</w:t>
      </w:r>
    </w:p>
    <w:p>
      <w:pPr>
        <w:pStyle w:val="ListBullet"/>
      </w:pPr>
      <w:r>
        <w:rPr>
          <w:b/>
        </w:rPr>
        <w:t>Continuous integration and publishing:</w:t>
      </w:r>
      <w:r>
        <w:t xml:space="preserve"> run the same checks and builds for pull requests, then deploy approved changes through GitHub Actions.</w:t>
      </w:r>
    </w:p>
    <w:p>
      <w:pPr>
        <w:pStyle w:val="ListBullet"/>
      </w:pPr>
      <w:r>
        <w:rPr>
          <w:b/>
        </w:rPr>
        <w:t>Accessible authoring:</w:t>
      </w:r>
      <w:r>
        <w:t xml:space="preserve"> apply standards for headings, descriptive links, alternative text, tables, keyboard focus, readable sizing, zoom, and reduced motion.</w:t>
      </w:r>
    </w:p>
    <w:p>
      <w:pPr>
        <w:pStyle w:val="ListBullet"/>
      </w:pPr>
      <w:r>
        <w:rPr>
          <w:b/>
        </w:rPr>
        <w:t>Replaceable branding:</w:t>
      </w:r>
      <w:r>
        <w:t xml:space="preserve"> change logos, colors, typography, and presentation rules without rewriting the Markdown source.</w:t>
      </w:r>
    </w:p>
    <w:p>
      <w:pPr>
        <w:pStyle w:val="ListBullet"/>
      </w:pPr>
      <w:r>
        <w:rPr>
          <w:b/>
        </w:rPr>
        <w:t>Multi-format delivery:</w:t>
      </w:r>
      <w:r>
        <w:t xml:space="preserve"> publish searchable HTML plus downloadable Word and PDF files for different reading needs.</w:t>
      </w:r>
    </w:p>
    <w:p>
      <w:pPr>
        <w:pStyle w:val="ListBullet"/>
      </w:pPr>
      <w:r>
        <w:rPr>
          <w:b/>
        </w:rPr>
        <w:t>Self-documentation:</w:t>
      </w:r>
      <w:r>
        <w:t xml:space="preserve"> explain the architecture, authoring process, automation, construction steps, and release checks inside the artifact itself.</w:t>
      </w:r>
    </w:p>
    <w:p>
      <w:r>
        <w:t xml:space="preserve">See </w:t>
      </w:r>
      <w:r>
        <w:rPr>
          <w:color w:val="075E54"/>
          <w:u w:val="single"/>
        </w:rPr>
        <w:t>How this repository works</w:t>
      </w:r>
      <w:r>
        <w:t xml:space="preserve"> for an inspectable example of each feature.</w:t>
      </w:r>
    </w:p>
    <w:p>
      <w:pPr>
        <w:pStyle w:val="Heading2"/>
      </w:pPr>
      <w:r>
        <w:t>Architecture at a Glance</w:t>
      </w:r>
    </w:p>
    <w:p>
      <w:pPr>
        <w:pStyle w:val="Code"/>
      </w:pPr>
      <w:r>
        <w:t>One reviewed Markdown source</w:t>
      </w:r>
    </w:p>
    <w:p>
      <w:pPr>
        <w:pStyle w:val="Code"/>
      </w:pPr>
      <w:r>
        <w:t xml:space="preserve">          |</w:t>
      </w:r>
    </w:p>
    <w:p>
      <w:pPr>
        <w:pStyle w:val="Code"/>
      </w:pPr>
      <w:r>
        <w:t xml:space="preserve">          +--&gt; validation --&gt; pull-request and release gates</w:t>
      </w:r>
    </w:p>
    <w:p>
      <w:pPr>
        <w:pStyle w:val="Code"/>
      </w:pPr>
      <w:r>
        <w:t xml:space="preserve">          |</w:t>
      </w:r>
    </w:p>
    <w:p>
      <w:pPr>
        <w:pStyle w:val="Code"/>
      </w:pPr>
      <w:r>
        <w:t xml:space="preserve">          +--&gt; Zensical --&gt; searchable HTML site</w:t>
      </w:r>
    </w:p>
    <w:p>
      <w:pPr>
        <w:pStyle w:val="Code"/>
      </w:pPr>
      <w:r>
        <w:t xml:space="preserve">          |</w:t>
      </w:r>
    </w:p>
    <w:p>
      <w:pPr>
        <w:pStyle w:val="Code"/>
      </w:pPr>
      <w:r>
        <w:t xml:space="preserve">          +--&gt; export script --&gt; Word handbook --&gt; PDF handbook</w:t>
      </w:r>
    </w:p>
    <w:p>
      <w:pPr>
        <w:pStyle w:val="Code"/>
      </w:pPr>
      <w:r/>
    </w:p>
    <w:p>
      <w:pPr>
        <w:pStyle w:val="Code"/>
      </w:pPr>
      <w:r>
        <w:t>Brand tokens change presentation without changing source meaning.</w:t>
      </w:r>
    </w:p>
    <w:p>
      <w:r>
        <w:t>The renderer can change while the release requirements remain stable. Explicit navigation, valid links and anchors, accessible structure, reproducible builds, and reviewable changes remain required.</w:t>
      </w:r>
    </w:p>
    <w:p>
      <w:pPr>
        <w:pStyle w:val="Heading2"/>
      </w:pPr>
      <w:r>
        <w:t>The Fictional Product in 30 Seconds</w:t>
      </w:r>
    </w:p>
    <w:p>
      <w:r>
        <w:t xml:space="preserve">Greenhouse Sentinel samples temperature, humidity, and soil moisture every 60 seconds. A rule engine assigns the greenhouse a state: </w:t>
      </w:r>
      <w:r>
        <w:rPr>
          <w:b/>
        </w:rPr>
        <w:t>normal</w:t>
      </w:r>
      <w:r>
        <w:t xml:space="preserve">, </w:t>
      </w:r>
      <w:r>
        <w:rPr>
          <w:b/>
        </w:rPr>
        <w:t>watch</w:t>
      </w:r>
      <w:r>
        <w:t xml:space="preserve">, or </w:t>
      </w:r>
      <w:r>
        <w:rPr>
          <w:b/>
        </w:rPr>
        <w:t>act</w:t>
      </w:r>
      <w:r>
        <w:t>. The operator dashboard explains the reading and links each alert to a documented response.</w:t>
      </w:r>
    </w:p>
    <w:p>
      <w:r>
        <w:t>Greenhouse Sentinel does not exist. Its behavior, data, and interface are intentionally simple and invented. The repository exists to demonstrate documentation architecture, authoring, validation, CI, publishing, and multi-format delivery without confidential information.</w:t>
      </w:r>
    </w:p>
    <w:p>
      <w:pPr>
        <w:pStyle w:val="Heading2"/>
      </w:pPr>
      <w:r>
        <w:t>What Is Included</w:t>
      </w:r>
    </w:p>
    <w:p>
      <w:pPr>
        <w:pStyle w:val="ListBullet"/>
      </w:pPr>
      <w:r>
        <w:rPr>
          <w:b/>
        </w:rPr>
        <w:t>Product documentation</w:t>
      </w:r>
      <w:r>
        <w:t xml:space="preserve"> proves the workflow can support task-based technical content. Start with the </w:t>
      </w:r>
      <w:r>
        <w:rPr>
          <w:color w:val="075E54"/>
          <w:u w:val="single"/>
        </w:rPr>
        <w:t>quick start</w:t>
      </w:r>
      <w:r>
        <w:t xml:space="preserve">, </w:t>
      </w:r>
      <w:r>
        <w:rPr>
          <w:color w:val="075E54"/>
          <w:u w:val="single"/>
        </w:rPr>
        <w:t>operating guide</w:t>
      </w:r>
      <w:r>
        <w:t xml:space="preserve">, and </w:t>
      </w:r>
      <w:r>
        <w:rPr>
          <w:color w:val="075E54"/>
          <w:u w:val="single"/>
        </w:rPr>
        <w:t>architecture</w:t>
      </w:r>
      <w:r>
        <w:t>.</w:t>
      </w:r>
    </w:p>
    <w:p>
      <w:pPr>
        <w:pStyle w:val="ListBullet"/>
      </w:pPr>
      <w:r>
        <w:rPr>
          <w:b/>
        </w:rPr>
        <w:t>Repository documentation</w:t>
      </w:r>
      <w:r>
        <w:t xml:space="preserve"> reveals how the example is assembled and governed. Read </w:t>
      </w:r>
      <w:r>
        <w:rPr>
          <w:color w:val="075E54"/>
          <w:u w:val="single"/>
        </w:rPr>
        <w:t>How this repository works</w:t>
      </w:r>
      <w:r>
        <w:t xml:space="preserve"> and </w:t>
      </w:r>
      <w:r>
        <w:rPr>
          <w:color w:val="075E54"/>
          <w:u w:val="single"/>
        </w:rPr>
        <w:t>Build it from scratch</w:t>
      </w:r>
      <w:r>
        <w:t>.</w:t>
      </w:r>
    </w:p>
    <w:p>
      <w:pPr>
        <w:pStyle w:val="ListBullet"/>
      </w:pPr>
      <w:r>
        <w:rPr>
          <w:b/>
        </w:rPr>
        <w:t>Contributor guidance</w:t>
      </w:r>
      <w:r>
        <w:t xml:space="preserve"> makes quality expectations explicit and repeatable. Review the </w:t>
      </w:r>
      <w:r>
        <w:rPr>
          <w:color w:val="075E54"/>
          <w:u w:val="single"/>
        </w:rPr>
        <w:t>writing guide</w:t>
      </w:r>
      <w:r>
        <w:t xml:space="preserve">, </w:t>
      </w:r>
      <w:r>
        <w:rPr>
          <w:color w:val="075E54"/>
          <w:u w:val="single"/>
        </w:rPr>
        <w:t>accessibility standard</w:t>
      </w:r>
      <w:r>
        <w:t xml:space="preserve">, and </w:t>
      </w:r>
      <w:r>
        <w:rPr>
          <w:color w:val="075E54"/>
          <w:u w:val="single"/>
        </w:rPr>
        <w:t>release checklist</w:t>
      </w:r>
      <w:r>
        <w:t>.</w:t>
      </w:r>
    </w:p>
    <w:p>
      <w:pPr>
        <w:pStyle w:val="ListBullet"/>
      </w:pPr>
      <w:r>
        <w:rPr>
          <w:b/>
        </w:rPr>
        <w:t>Generated deliverables</w:t>
      </w:r>
      <w:r>
        <w:t xml:space="preserve"> prove that one reviewed source can support several channels. Use the Word and PDF download buttons above to inspect the portable versions.</w:t>
      </w:r>
    </w:p>
    <w:p>
      <w:pPr>
        <w:pStyle w:val="Heading2"/>
      </w:pPr>
      <w:r>
        <w:t>Public Portfolio Scope</w:t>
      </w:r>
    </w:p>
    <w:p>
      <w:r>
        <w:t>All product names, specifications, incidents, commands, and workflows in this demonstration are invented. The repository contains no Peraton-specific, customer, proprietary, export-controlled, or classified information. “ThreatBoard-style” describes the general docs-as-code pattern demonstrated by this sample, not copied content or branding.</w:t>
      </w:r>
    </w:p>
    <w:p>
      <w:r>
        <w:t xml:space="preserve">Katie Kearns created this sample as a technical-writing and documentation-systems portfolio project. The code and documentation are available under the </w:t>
      </w:r>
      <w:r>
        <w:rPr>
          <w:color w:val="075E54"/>
          <w:u w:val="single"/>
        </w:rPr>
        <w:t>MIT License</w:t>
      </w:r>
      <w:r>
        <w:t>.</w:t>
      </w:r>
    </w:p>
    <w:p>
      <w:r>
        <w:br w:type="page"/>
      </w:r>
    </w:p>
    <w:p>
      <w:pPr>
        <w:pStyle w:val="Heading1"/>
      </w:pPr>
      <w:r>
        <w:t>Quick Start</w:t>
      </w:r>
    </w:p>
    <w:p>
      <w:r>
        <w:t>This walkthrough connects a fictional Sentinel hub and confirms that its three sensors are reporting. No hardware is required. The commands are illustrative.</w:t>
      </w:r>
    </w:p>
    <w:p>
      <w:pPr>
        <w:pStyle w:val="Heading2"/>
      </w:pPr>
      <w:r>
        <w:t>Before You Begin</w:t>
      </w:r>
    </w:p>
    <w:p>
      <w:r>
        <w:t>You need a Sentinel hub, one temperature and humidity probe, one soil probe, and access to the greenhouse Wi-Fi network.</w:t>
      </w:r>
    </w:p>
    <w:p>
      <w:pPr>
        <w:pStyle w:val="Heading2"/>
      </w:pPr>
      <w:r>
        <w:t>Connect and Verify</w:t>
      </w:r>
    </w:p>
    <w:p>
      <w:pPr>
        <w:pStyle w:val="ListNumber"/>
        <w:numPr>
          <w:ilvl w:val="0"/>
          <w:numId w:val="11"/>
        </w:numPr>
        <w:ind w:left="576" w:hanging="360"/>
      </w:pPr>
      <w:r>
        <w:t>Place the hub above the irrigation line and away from direct spray.</w:t>
      </w:r>
    </w:p>
    <w:p>
      <w:pPr>
        <w:pStyle w:val="ListNumber"/>
        <w:ind w:left="576" w:hanging="360"/>
      </w:pPr>
      <w:r>
        <w:t>Connect both probes before applying power.</w:t>
      </w:r>
    </w:p>
    <w:p>
      <w:pPr>
        <w:pStyle w:val="ListNumber"/>
        <w:ind w:left="576" w:hanging="360"/>
      </w:pPr>
      <w:r>
        <w:t xml:space="preserve">Join the temporary network named </w:t>
      </w:r>
      <w:r>
        <w:rPr>
          <w:rFonts w:ascii="DejaVu Sans Mono" w:hAnsi="DejaVu Sans Mono" w:eastAsia="DejaVu Sans Mono"/>
        </w:rPr>
        <w:t>sentinel-setup</w:t>
      </w:r>
      <w:r>
        <w:t>.</w:t>
      </w:r>
    </w:p>
    <w:p>
      <w:pPr>
        <w:pStyle w:val="ListNumber"/>
        <w:ind w:left="576" w:hanging="360"/>
      </w:pPr>
      <w:r>
        <w:t xml:space="preserve">Open </w:t>
      </w:r>
      <w:r>
        <w:rPr>
          <w:rFonts w:ascii="DejaVu Sans Mono" w:hAnsi="DejaVu Sans Mono" w:eastAsia="DejaVu Sans Mono"/>
        </w:rPr>
        <w:t>http://sentinel.local</w:t>
      </w:r>
      <w:r>
        <w:t xml:space="preserve"> and choose the greenhouse network.</w:t>
      </w:r>
    </w:p>
    <w:p>
      <w:pPr>
        <w:pStyle w:val="ListNumber"/>
        <w:ind w:left="576" w:hanging="360"/>
      </w:pPr>
      <w:r>
        <w:t xml:space="preserve">Select </w:t>
      </w:r>
      <w:r>
        <w:rPr>
          <w:b/>
        </w:rPr>
        <w:t>Run sensor check</w:t>
      </w:r>
      <w:r>
        <w:t>.</w:t>
      </w:r>
    </w:p>
    <w:p>
      <w:r>
        <w:t>A successful check reports all three readings and changes the hub indicator from amber to green.</w:t>
      </w:r>
    </w:p>
    <w:p>
      <w:pPr>
        <w:pStyle w:val="Code"/>
      </w:pPr>
      <w:r>
        <w:t>temperature   24.1 C   ready</w:t>
      </w:r>
    </w:p>
    <w:p>
      <w:pPr>
        <w:pStyle w:val="Code"/>
      </w:pPr>
      <w:r>
        <w:t>humidity      58 %     ready</w:t>
      </w:r>
    </w:p>
    <w:p>
      <w:pPr>
        <w:pStyle w:val="Code"/>
      </w:pPr>
      <w:r>
        <w:t>soil          41 %     ready</w:t>
      </w:r>
    </w:p>
    <w:p>
      <w:pPr>
        <w:pStyle w:val="Heading2"/>
      </w:pPr>
      <w:r>
        <w:t>Understand the First Result</w:t>
      </w:r>
    </w:p>
    <w:p>
      <w:r>
        <w:t xml:space="preserve">The initial state should be </w:t>
      </w:r>
      <w:r>
        <w:rPr>
          <w:b/>
        </w:rPr>
        <w:t>normal</w:t>
      </w:r>
      <w:r>
        <w:t xml:space="preserve">. The controller waits for three consecutive samples before changing state, which prevents a single noisy reading from creating an alert. See </w:t>
      </w:r>
      <w:r>
        <w:rPr>
          <w:color w:val="075E54"/>
          <w:u w:val="single"/>
        </w:rPr>
        <w:t>Decision states</w:t>
      </w:r>
      <w:r>
        <w:t xml:space="preserve"> for the complete rule.</w:t>
      </w:r>
    </w:p>
    <w:p>
      <w:r>
        <w:t xml:space="preserve">If a sensor remains unavailable, follow </w:t>
      </w:r>
      <w:r>
        <w:rPr>
          <w:color w:val="075E54"/>
          <w:u w:val="single"/>
        </w:rPr>
        <w:t>A sensor reports no data</w:t>
      </w:r>
      <w:r>
        <w:t>.</w:t>
      </w:r>
    </w:p>
    <w:p>
      <w:r>
        <w:t>The link text names the reader's problem instead of saying “click here.” The validator rejects common context-free labels and verifies the stable troubleshooting anchor. This makes the reference clearer in the page, a screen reader's links list, Word, and PDF.</w:t>
      </w:r>
    </w:p>
    <w:p>
      <w:pPr>
        <w:pStyle w:val="Heading2"/>
      </w:pPr>
      <w:r>
        <w:t>Next Step</w:t>
      </w:r>
    </w:p>
    <w:p>
      <w:r>
        <w:t xml:space="preserve">Continue to the </w:t>
      </w:r>
      <w:r>
        <w:rPr>
          <w:color w:val="075E54"/>
          <w:u w:val="single"/>
        </w:rPr>
        <w:t>daily operating routine</w:t>
      </w:r>
      <w:r>
        <w:t>.</w:t>
      </w:r>
    </w:p>
    <w:p>
      <w:r>
        <w:br w:type="page"/>
      </w:r>
    </w:p>
    <w:p>
      <w:pPr>
        <w:pStyle w:val="Heading1"/>
      </w:pPr>
      <w:r>
        <w:t>Operating Guide</w:t>
      </w:r>
    </w:p>
    <w:p>
      <w:r>
        <w:t>The operating routine is designed for a volunteer who checks the greenhouse at opening and closing.</w:t>
      </w:r>
    </w:p>
    <w:p>
      <w:pPr>
        <w:pStyle w:val="Heading2"/>
      </w:pPr>
      <w:r>
        <w:t>Daily Check</w:t>
      </w:r>
    </w:p>
    <w:p>
      <w:pPr>
        <w:pStyle w:val="ListNumber"/>
        <w:numPr>
          <w:ilvl w:val="0"/>
          <w:numId w:val="12"/>
        </w:numPr>
        <w:ind w:left="576" w:hanging="360"/>
      </w:pPr>
      <w:r>
        <w:t>Confirm the dashboard timestamp is less than two minutes old.</w:t>
      </w:r>
    </w:p>
    <w:p>
      <w:pPr>
        <w:pStyle w:val="ListNumber"/>
        <w:ind w:left="576" w:hanging="360"/>
      </w:pPr>
      <w:r>
        <w:t>Review the current state and its explanation.</w:t>
      </w:r>
    </w:p>
    <w:p>
      <w:pPr>
        <w:pStyle w:val="ListNumber"/>
        <w:ind w:left="576" w:hanging="360"/>
      </w:pPr>
      <w:r>
        <w:t>Compare soil moisture across the three most recent samples.</w:t>
      </w:r>
    </w:p>
    <w:p>
      <w:pPr>
        <w:pStyle w:val="ListNumber"/>
        <w:ind w:left="576" w:hanging="360"/>
      </w:pPr>
      <w:r>
        <w:t>Acknowledge any completed response.</w:t>
      </w:r>
    </w:p>
    <w:p>
      <w:pPr>
        <w:pStyle w:val="ListNumber"/>
        <w:ind w:left="576" w:hanging="360"/>
      </w:pPr>
      <w:r>
        <w:t>Record an observation only when local conditions differ from the sensor data.</w:t>
      </w:r>
    </w:p>
    <w:p>
      <w:pPr>
        <w:pStyle w:val="Heading2"/>
      </w:pPr>
      <w:r>
        <w:t>Respond to a State</w:t>
      </w:r>
    </w:p>
    <w:p>
      <w:pPr>
        <w:pStyle w:val="Heading3"/>
      </w:pPr>
      <w:r>
        <w:t>Normal</w:t>
      </w:r>
    </w:p>
    <w:p>
      <w:r>
        <w:t>No intervention is required. Continue the scheduled check.</w:t>
      </w:r>
    </w:p>
    <w:p>
      <w:pPr>
        <w:pStyle w:val="Heading3"/>
      </w:pPr>
      <w:r>
        <w:t>Watch</w:t>
      </w:r>
    </w:p>
    <w:p>
      <w:r>
        <w:t>Inspect the greenhouse within 30 minutes. Confirm the sensor is unobstructed and compare the reading with a handheld instrument when one is available.</w:t>
      </w:r>
    </w:p>
    <w:p>
      <w:pPr>
        <w:pStyle w:val="Heading3"/>
      </w:pPr>
      <w:r>
        <w:t>Act</w:t>
      </w:r>
    </w:p>
    <w:p>
      <w:r>
        <w:t>Follow the response displayed with the alert. Ventilate for high temperature, inspect irrigation for low soil moisture, or check airflow for sustained high humidity. Never bypass a physical safety control.</w:t>
      </w:r>
    </w:p>
    <w:p>
      <w:pPr>
        <w:pStyle w:val="Heading2"/>
      </w:pPr>
      <w:r>
        <w:t>Acknowledge an Alert</w:t>
      </w:r>
    </w:p>
    <w:p>
      <w:r>
        <w:t>Acknowledgement records that a person saw the alert. It does not change the sensor reading or decision state. Add a short note that states what you observed and what you did.</w:t>
      </w:r>
    </w:p>
    <w:p>
      <w:r>
        <w:t xml:space="preserve">Good: </w:t>
      </w:r>
      <w:r>
        <w:rPr>
          <w:rFonts w:ascii="DejaVu Sans Mono" w:hAnsi="DejaVu Sans Mono" w:eastAsia="DejaVu Sans Mono"/>
        </w:rPr>
        <w:t>Opened roof vent; temperature fell to 27 C within 12 minutes.</w:t>
      </w:r>
    </w:p>
    <w:p>
      <w:r>
        <w:t xml:space="preserve">Avoid: </w:t>
      </w:r>
      <w:r>
        <w:rPr>
          <w:rFonts w:ascii="DejaVu Sans Mono" w:hAnsi="DejaVu Sans Mono" w:eastAsia="DejaVu Sans Mono"/>
        </w:rPr>
        <w:t>Fixed.</w:t>
      </w:r>
    </w:p>
    <w:p>
      <w:r>
        <w:t xml:space="preserve">For the system behavior behind these states, see </w:t>
      </w:r>
      <w:r>
        <w:rPr>
          <w:color w:val="075E54"/>
          <w:u w:val="single"/>
        </w:rPr>
        <w:t>Decision states</w:t>
      </w:r>
      <w:r>
        <w:t>.</w:t>
      </w:r>
    </w:p>
    <w:p>
      <w:r>
        <w:t xml:space="preserve">This source link points to </w:t>
      </w:r>
      <w:r>
        <w:rPr>
          <w:rFonts w:ascii="DejaVu Sans Mono" w:hAnsi="DejaVu Sans Mono" w:eastAsia="DejaVu Sans Mono"/>
        </w:rPr>
        <w:t>architecture.md#decision-states</w:t>
      </w:r>
      <w:r>
        <w:t xml:space="preserve">. The file path keeps the link useful in GitHub and other Markdown tools. Zensical rewrites it for the published site. The destination has an explicit </w:t>
      </w:r>
      <w:r>
        <w:rPr>
          <w:rFonts w:ascii="DejaVu Sans Mono" w:hAnsi="DejaVu Sans Mono" w:eastAsia="DejaVu Sans Mono"/>
        </w:rPr>
        <w:t>decision-states</w:t>
      </w:r>
      <w:r>
        <w:t xml:space="preserve"> anchor, so minor heading edits do not break the reference. The independent validator confirms that both the file and anchor exist before publication.</w:t>
      </w:r>
    </w:p>
    <w:p>
      <w:r>
        <w:br w:type="page"/>
      </w:r>
    </w:p>
    <w:p>
      <w:pPr>
        <w:pStyle w:val="Heading1"/>
      </w:pPr>
      <w:r>
        <w:t>Architecture</w:t>
      </w:r>
    </w:p>
    <w:p>
      <w:r>
        <w:t>Greenhouse Sentinel separates measurement, evaluation, presentation, and response guidance so each part can be tested and explained independently.</w:t>
      </w:r>
    </w:p>
    <w:p>
      <w:pPr>
        <w:pStyle w:val="Heading2"/>
      </w:pPr>
      <w:r>
        <w:t>System Boundary</w:t>
      </w:r>
    </w:p>
    <w:p>
      <w:r>
        <w:t>The hub receives local sensor readings and produces a recommendation. It does not operate pumps, vents, heaters, locks, or other physical equipment. A person remains responsible for any physical action.</w:t>
      </w:r>
    </w:p>
    <w:p>
      <w:pPr>
        <w:pStyle w:val="Code"/>
      </w:pPr>
      <w:r>
        <w:t>Sensors -&gt; sample normalizer -&gt; rule engine -&gt; local event store -&gt; dashboard</w:t>
      </w:r>
    </w:p>
    <w:p>
      <w:pPr>
        <w:pStyle w:val="Code"/>
      </w:pPr>
      <w:r>
        <w:t xml:space="preserve">                                  |</w:t>
      </w:r>
    </w:p>
    <w:p>
      <w:pPr>
        <w:pStyle w:val="Code"/>
      </w:pPr>
      <w:r>
        <w:t xml:space="preserve">                                  +-&gt; response guidance</w:t>
      </w:r>
    </w:p>
    <w:p>
      <w:pPr>
        <w:pStyle w:val="Heading2"/>
      </w:pPr>
      <w:r>
        <w:t>Components</w:t>
      </w:r>
    </w:p>
    <w:p>
      <w:pPr>
        <w:pStyle w:val="ListBullet"/>
      </w:pPr>
      <w:r>
        <w:rPr>
          <w:b/>
        </w:rPr>
        <w:t>Sample normalizer:</w:t>
      </w:r>
      <w:r>
        <w:t xml:space="preserve"> converts each supported sensor value to a consistent unit and marks stale data.</w:t>
      </w:r>
    </w:p>
    <w:p>
      <w:pPr>
        <w:pStyle w:val="ListBullet"/>
      </w:pPr>
      <w:r>
        <w:rPr>
          <w:b/>
        </w:rPr>
        <w:t>Rule engine:</w:t>
      </w:r>
      <w:r>
        <w:t xml:space="preserve"> evaluates the most recent valid samples against versioned thresholds.</w:t>
      </w:r>
    </w:p>
    <w:p>
      <w:pPr>
        <w:pStyle w:val="ListBullet"/>
      </w:pPr>
      <w:r>
        <w:rPr>
          <w:b/>
        </w:rPr>
        <w:t>Event store:</w:t>
      </w:r>
      <w:r>
        <w:t xml:space="preserve"> retains 30 days of readings, state changes, and acknowledgements on the hub.</w:t>
      </w:r>
    </w:p>
    <w:p>
      <w:pPr>
        <w:pStyle w:val="ListBullet"/>
      </w:pPr>
      <w:r>
        <w:rPr>
          <w:b/>
        </w:rPr>
        <w:t>Dashboard:</w:t>
      </w:r>
      <w:r>
        <w:t xml:space="preserve"> presents current conditions, recent trends, and the reason for the current state.</w:t>
      </w:r>
    </w:p>
    <w:p>
      <w:pPr>
        <w:pStyle w:val="Heading2"/>
      </w:pPr>
      <w:r>
        <w:t>Decision States</w:t>
      </w:r>
    </w:p>
    <w:p>
      <w:r>
        <w:t>The engine assigns one of three states after three consecutive samples meet the same condition.</w:t>
      </w:r>
    </w:p>
    <w:tbl>
      <w:tblPr>
        <w:tblW w:type="auto" w:w="0"/>
        <w:tblLayout w:type="fixed"/>
        <w:tblLook w:firstColumn="1" w:firstRow="1" w:lastColumn="0" w:lastRow="0" w:noHBand="0" w:noVBand="1" w:val="04A0"/>
      </w:tblPr>
      <w:tblGrid>
        <w:gridCol w:w="3216"/>
        <w:gridCol w:w="3216"/>
        <w:gridCol w:w="3216"/>
      </w:tblGrid>
      <w:tr>
        <w:trPr>
          <w:tblHeader w:val="true"/>
        </w:trPr>
        <w:tc>
          <w:tcPr>
            <w:tcW w:type="dxa" w:w="3120"/>
            <w:shd w:fill="075E54"/>
          </w:tcPr>
          <w:p>
            <w:pPr>
              <w:spacing w:line="276" w:lineRule="auto" w:after="40"/>
            </w:pPr>
            <w:r>
              <w:rPr>
                <w:b/>
                <w:color w:val="FFFFFF"/>
              </w:rPr>
              <w:t>State</w:t>
            </w:r>
          </w:p>
        </w:tc>
        <w:tc>
          <w:tcPr>
            <w:tcW w:type="dxa" w:w="3120"/>
            <w:shd w:fill="075E54"/>
          </w:tcPr>
          <w:p>
            <w:pPr>
              <w:spacing w:line="276" w:lineRule="auto" w:after="40"/>
            </w:pPr>
            <w:r>
              <w:rPr>
                <w:b/>
                <w:color w:val="FFFFFF"/>
              </w:rPr>
              <w:t>Example condition</w:t>
            </w:r>
          </w:p>
        </w:tc>
        <w:tc>
          <w:tcPr>
            <w:tcW w:type="dxa" w:w="3120"/>
            <w:shd w:fill="075E54"/>
          </w:tcPr>
          <w:p>
            <w:pPr>
              <w:spacing w:line="276" w:lineRule="auto" w:after="40"/>
            </w:pPr>
            <w:r>
              <w:rPr>
                <w:b/>
                <w:color w:val="FFFFFF"/>
              </w:rPr>
              <w:t>Operator expectation</w:t>
            </w:r>
          </w:p>
        </w:tc>
      </w:tr>
      <w:tr>
        <w:tc>
          <w:tcPr>
            <w:tcW w:type="dxa" w:w="3120"/>
          </w:tcPr>
          <w:p>
            <w:pPr>
              <w:spacing w:line="276" w:lineRule="auto" w:after="40"/>
            </w:pPr>
            <w:r>
              <w:t>Normal</w:t>
            </w:r>
          </w:p>
        </w:tc>
        <w:tc>
          <w:tcPr>
            <w:tcW w:type="dxa" w:w="3120"/>
          </w:tcPr>
          <w:p>
            <w:pPr>
              <w:spacing w:line="276" w:lineRule="auto" w:after="40"/>
            </w:pPr>
            <w:r>
              <w:t>All readings are inside target ranges</w:t>
            </w:r>
          </w:p>
        </w:tc>
        <w:tc>
          <w:tcPr>
            <w:tcW w:type="dxa" w:w="3120"/>
          </w:tcPr>
          <w:p>
            <w:pPr>
              <w:spacing w:line="276" w:lineRule="auto" w:after="40"/>
            </w:pPr>
            <w:r>
              <w:t>Continue scheduled checks</w:t>
            </w:r>
          </w:p>
        </w:tc>
      </w:tr>
      <w:tr>
        <w:tc>
          <w:tcPr>
            <w:tcW w:type="dxa" w:w="3120"/>
          </w:tcPr>
          <w:p>
            <w:pPr>
              <w:spacing w:line="276" w:lineRule="auto" w:after="40"/>
            </w:pPr>
            <w:r>
              <w:t>Watch</w:t>
            </w:r>
          </w:p>
        </w:tc>
        <w:tc>
          <w:tcPr>
            <w:tcW w:type="dxa" w:w="3120"/>
          </w:tcPr>
          <w:p>
            <w:pPr>
              <w:spacing w:line="276" w:lineRule="auto" w:after="40"/>
            </w:pPr>
            <w:r>
              <w:t>One reading is near a threshold</w:t>
            </w:r>
          </w:p>
        </w:tc>
        <w:tc>
          <w:tcPr>
            <w:tcW w:type="dxa" w:w="3120"/>
          </w:tcPr>
          <w:p>
            <w:pPr>
              <w:spacing w:line="276" w:lineRule="auto" w:after="40"/>
            </w:pPr>
            <w:r>
              <w:t>Inspect within 30 minutes</w:t>
            </w:r>
          </w:p>
        </w:tc>
      </w:tr>
      <w:tr>
        <w:tc>
          <w:tcPr>
            <w:tcW w:type="dxa" w:w="3120"/>
          </w:tcPr>
          <w:p>
            <w:pPr>
              <w:spacing w:line="276" w:lineRule="auto" w:after="40"/>
            </w:pPr>
            <w:r>
              <w:t>Act</w:t>
            </w:r>
          </w:p>
        </w:tc>
        <w:tc>
          <w:tcPr>
            <w:tcW w:type="dxa" w:w="3120"/>
          </w:tcPr>
          <w:p>
            <w:pPr>
              <w:spacing w:line="276" w:lineRule="auto" w:after="40"/>
            </w:pPr>
            <w:r>
              <w:t>One reading exceeds a threshold</w:t>
            </w:r>
          </w:p>
        </w:tc>
        <w:tc>
          <w:tcPr>
            <w:tcW w:type="dxa" w:w="3120"/>
          </w:tcPr>
          <w:p>
            <w:pPr>
              <w:spacing w:line="276" w:lineRule="auto" w:after="40"/>
            </w:pPr>
            <w:r>
              <w:t>Follow the displayed response</w:t>
            </w:r>
          </w:p>
        </w:tc>
      </w:tr>
    </w:tbl>
    <w:p>
      <w:r>
        <w:t>This is a semantic Markdown table because the content has repeated, comparable fields. Zensical renders it responsively. The export script maps it to a real Word table with a header row. Ordinary explanatory prose remains outside tables for readability and accessibility.</w:t>
      </w:r>
    </w:p>
    <w:p>
      <w:r>
        <w:t>The three-sample rule reduces noise without hiding sustained change. Thresholds in this demo are illustrative, not horticultural advice.</w:t>
      </w:r>
    </w:p>
    <w:p>
      <w:pPr>
        <w:pStyle w:val="Heading2"/>
      </w:pPr>
      <w:r>
        <w:t>Data Retention</w:t>
      </w:r>
    </w:p>
    <w:p>
      <w:r>
        <w:t>The hub stores 30 days of samples and event history. An export contains timestamps, normalized readings, state transitions, acknowledgements, and the rule-set version. It does not contain names unless an operator voluntarily enters one in a note.</w:t>
      </w:r>
    </w:p>
    <w:p>
      <w:pPr>
        <w:pStyle w:val="Heading2"/>
      </w:pPr>
      <w:r>
        <w:t>Failure Behavior</w:t>
      </w:r>
    </w:p>
    <w:p>
      <w:r>
        <w:t xml:space="preserve">If one sensor becomes stale, the dashboard reports </w:t>
      </w:r>
      <w:r>
        <w:rPr>
          <w:b/>
        </w:rPr>
        <w:t>sensor unavailable</w:t>
      </w:r>
      <w:r>
        <w:t xml:space="preserve"> and does not infer a replacement value. The last valid measurement remains visible with its timestamp. See </w:t>
      </w:r>
      <w:r>
        <w:rPr>
          <w:color w:val="075E54"/>
          <w:u w:val="single"/>
        </w:rPr>
        <w:t>Troubleshooting</w:t>
      </w:r>
      <w:r>
        <w:t>.</w:t>
      </w:r>
    </w:p>
    <w:p>
      <w:r>
        <w:br w:type="page"/>
      </w:r>
    </w:p>
    <w:p>
      <w:pPr>
        <w:pStyle w:val="Heading1"/>
      </w:pPr>
      <w:r>
        <w:t>Troubleshooting</w:t>
      </w:r>
    </w:p>
    <w:p>
      <w:r>
        <w:t>Start with the visible symptom. Preserve timestamps and exact messages when escalating a problem.</w:t>
      </w:r>
    </w:p>
    <w:p>
      <w:pPr>
        <w:pStyle w:val="Heading2"/>
      </w:pPr>
      <w:r>
        <w:t>A Sensor Reports No Data</w:t>
      </w:r>
    </w:p>
    <w:p>
      <w:pPr>
        <w:pStyle w:val="ListNumber"/>
        <w:numPr>
          <w:ilvl w:val="0"/>
          <w:numId w:val="13"/>
        </w:numPr>
        <w:ind w:left="576" w:hanging="360"/>
      </w:pPr>
      <w:r>
        <w:t>Confirm the cable is fully seated and dry.</w:t>
      </w:r>
    </w:p>
    <w:p>
      <w:pPr>
        <w:pStyle w:val="ListNumber"/>
        <w:ind w:left="576" w:hanging="360"/>
      </w:pPr>
      <w:r>
        <w:t>Check whether the dashboard timestamp continues to advance for other sensors.</w:t>
      </w:r>
    </w:p>
    <w:p>
      <w:pPr>
        <w:pStyle w:val="ListNumber"/>
        <w:ind w:left="576" w:hanging="360"/>
      </w:pPr>
      <w:r>
        <w:t>Disconnect power, reconnect the sensor, and restore power.</w:t>
      </w:r>
    </w:p>
    <w:p>
      <w:pPr>
        <w:pStyle w:val="ListNumber"/>
        <w:ind w:left="576" w:hanging="360"/>
      </w:pPr>
      <w:r>
        <w:t>Wait three sampling intervals.</w:t>
      </w:r>
    </w:p>
    <w:p>
      <w:r>
        <w:t>If the sensor is still unavailable, record its port, the last valid timestamp, and the hub status indicator.</w:t>
      </w:r>
    </w:p>
    <w:p>
      <w:pPr>
        <w:pStyle w:val="Heading2"/>
      </w:pPr>
      <w:r>
        <w:t>The Dashboard Is Unavailable</w:t>
      </w:r>
    </w:p>
    <w:p>
      <w:r>
        <w:t xml:space="preserve">Confirm that your device and the hub are on the same network. Then open </w:t>
      </w:r>
      <w:r>
        <w:rPr>
          <w:rFonts w:ascii="DejaVu Sans Mono" w:hAnsi="DejaVu Sans Mono" w:eastAsia="DejaVu Sans Mono"/>
        </w:rPr>
        <w:t>http://sentinel.local</w:t>
      </w:r>
      <w:r>
        <w:t xml:space="preserve"> in a new browser window. If the page still does not load, restart the hub once and wait two minutes.</w:t>
      </w:r>
    </w:p>
    <w:p>
      <w:pPr>
        <w:pStyle w:val="Heading2"/>
      </w:pPr>
      <w:r>
        <w:t>A State Seems Incorrect</w:t>
      </w:r>
    </w:p>
    <w:p>
      <w:r>
        <w:t xml:space="preserve">Review the three most recent samples and compare them with the </w:t>
      </w:r>
      <w:r>
        <w:rPr>
          <w:color w:val="075E54"/>
          <w:u w:val="single"/>
        </w:rPr>
        <w:t>decision-state rule</w:t>
      </w:r>
      <w:r>
        <w:t>. A state can lag a single new reading because Sentinel requires three consecutive samples.</w:t>
      </w:r>
    </w:p>
    <w:p>
      <w:r>
        <w:t>Troubleshooting the fictional dashboard never overrides physical greenhouse safety procedures.</w:t>
      </w:r>
    </w:p>
    <w:p>
      <w:r>
        <w:br w:type="page"/>
      </w:r>
    </w:p>
    <w:p>
      <w:pPr>
        <w:pStyle w:val="Heading1"/>
      </w:pPr>
      <w:r>
        <w:t>How This Repository Works</w:t>
      </w:r>
    </w:p>
    <w:p>
      <w:r>
        <w:t>This page is the guided tour of the artifact you are reading. Every feature points to a real, inspectable implementation in the repository.</w:t>
      </w:r>
    </w:p>
    <w:p>
      <w:r>
        <w:t xml:space="preserve">For the complete construction sequence, continue with </w:t>
      </w:r>
      <w:r>
        <w:rPr>
          <w:color w:val="075E54"/>
          <w:u w:val="single"/>
        </w:rPr>
        <w:t>Build it from scratch</w:t>
      </w:r>
      <w:r>
        <w:t>.</w:t>
      </w:r>
    </w:p>
    <w:p>
      <w:pPr>
        <w:pStyle w:val="Heading2"/>
      </w:pPr>
      <w:r>
        <w:t>Author Once in Markdown</w:t>
      </w:r>
    </w:p>
    <w:p>
      <w:r>
        <w:t xml:space="preserve">All maintained content lives under </w:t>
      </w:r>
      <w:r>
        <w:rPr>
          <w:rFonts w:ascii="DejaVu Sans Mono" w:hAnsi="DejaVu Sans Mono" w:eastAsia="DejaVu Sans Mono"/>
        </w:rPr>
        <w:t>docs/</w:t>
      </w:r>
      <w:r>
        <w:t>. Product guides and repository guidance use the same lightweight syntax, review process, and validation rules. Each page has one level-one heading. Sections follow a logical hierarchy. Relative links keep the content portable between source review and rendered output.</w:t>
      </w:r>
    </w:p>
    <w:p>
      <w:pPr>
        <w:pStyle w:val="Heading2"/>
      </w:pPr>
      <w:r>
        <w:t>Follow One Authoring Process</w:t>
      </w:r>
    </w:p>
    <w:p>
      <w:r>
        <w:t>An author works with the Markdown source rather than editing the generated site, Word file, or PDF.</w:t>
      </w:r>
    </w:p>
    <w:p>
      <w:pPr>
        <w:pStyle w:val="ListNumber"/>
        <w:numPr>
          <w:ilvl w:val="0"/>
          <w:numId w:val="14"/>
        </w:numPr>
        <w:ind w:left="576" w:hanging="360"/>
      </w:pPr>
      <w:r>
        <w:rPr>
          <w:b/>
        </w:rPr>
        <w:t>Start with a reader need.</w:t>
      </w:r>
      <w:r>
        <w:t xml:space="preserve"> Identify the task, question, or decision the page must support.</w:t>
      </w:r>
    </w:p>
    <w:p>
      <w:pPr>
        <w:pStyle w:val="ListNumber"/>
        <w:ind w:left="576" w:hanging="360"/>
      </w:pPr>
      <w:r>
        <w:rPr>
          <w:b/>
        </w:rPr>
        <w:t>Find the maintained source.</w:t>
      </w:r>
      <w:r>
        <w:t xml:space="preserve"> Edit the existing Markdown page or create a focused new page under </w:t>
      </w:r>
      <w:r>
        <w:rPr>
          <w:rFonts w:ascii="DejaVu Sans Mono" w:hAnsi="DejaVu Sans Mono" w:eastAsia="DejaVu Sans Mono"/>
        </w:rPr>
        <w:t>docs/</w:t>
      </w:r>
      <w:r>
        <w:t>.</w:t>
      </w:r>
    </w:p>
    <w:p>
      <w:pPr>
        <w:pStyle w:val="ListNumber"/>
        <w:ind w:left="576" w:hanging="360"/>
      </w:pPr>
      <w:r>
        <w:rPr>
          <w:b/>
        </w:rPr>
        <w:t>Write and connect the content.</w:t>
      </w:r>
      <w:r>
        <w:t xml:space="preserve"> Use headings, descriptive relative links, stable anchors when needed, accessible tables, and verified examples.</w:t>
      </w:r>
    </w:p>
    <w:p>
      <w:pPr>
        <w:pStyle w:val="ListNumber"/>
        <w:ind w:left="576" w:hanging="360"/>
      </w:pPr>
      <w:r>
        <w:rPr>
          <w:b/>
        </w:rPr>
        <w:t>Run the local checks.</w:t>
      </w:r>
      <w:r>
        <w:t xml:space="preserve"> The validator checks navigation, files, anchors, headings, image text, and link wording. Zensical builds a local preview from the same source.</w:t>
      </w:r>
    </w:p>
    <w:p>
      <w:pPr>
        <w:pStyle w:val="ListNumber"/>
        <w:ind w:left="576" w:hanging="360"/>
      </w:pPr>
      <w:r>
        <w:rPr>
          <w:b/>
        </w:rPr>
        <w:t>Review the rendered result.</w:t>
      </w:r>
      <w:r>
        <w:t xml:space="preserve"> The author checks the page as a reader would, including navigation, responsive layout, keyboard behavior, and any generated Word or PDF pages affected by the change.</w:t>
      </w:r>
    </w:p>
    <w:p>
      <w:pPr>
        <w:pStyle w:val="ListNumber"/>
        <w:ind w:left="576" w:hanging="360"/>
      </w:pPr>
      <w:r>
        <w:rPr>
          <w:b/>
        </w:rPr>
        <w:t>Open a pull request.</w:t>
      </w:r>
      <w:r>
        <w:t xml:space="preserve"> Reviewers see the exact source diff, the automated results, and the generated artifacts. They do not edit a separate Word copy.</w:t>
      </w:r>
    </w:p>
    <w:p>
      <w:pPr>
        <w:pStyle w:val="ListNumber"/>
        <w:ind w:left="576" w:hanging="360"/>
      </w:pPr>
      <w:r>
        <w:rPr>
          <w:b/>
        </w:rPr>
        <w:t>Merge the approved change.</w:t>
      </w:r>
      <w:r>
        <w:t xml:space="preserve"> GitHub Actions repeats the checks, rebuilds every output, and publishes the live site from the accepted source.</w:t>
      </w:r>
    </w:p>
    <w:p>
      <w:r>
        <w:t>The Markdown commit is the maintained record. The website, Word handbook, and PDF are outputs of that record.</w:t>
      </w:r>
    </w:p>
    <w:p>
      <w:pPr>
        <w:pStyle w:val="Heading2"/>
      </w:pPr>
      <w:r>
        <w:t>Divide Human and Automated Work</w:t>
      </w:r>
    </w:p>
    <w:tbl>
      <w:tblPr>
        <w:tblW w:type="auto" w:w="0"/>
        <w:tblLayout w:type="fixed"/>
        <w:tblLook w:firstColumn="1" w:firstRow="1" w:lastColumn="0" w:lastRow="0" w:noHBand="0" w:noVBand="1" w:val="04A0"/>
      </w:tblPr>
      <w:tblGrid>
        <w:gridCol w:w="4824"/>
        <w:gridCol w:w="4824"/>
      </w:tblGrid>
      <w:tr>
        <w:trPr>
          <w:tblHeader w:val="true"/>
        </w:trPr>
        <w:tc>
          <w:tcPr>
            <w:tcW w:type="dxa" w:w="4680"/>
            <w:shd w:fill="075E54"/>
          </w:tcPr>
          <w:p>
            <w:pPr>
              <w:spacing w:line="276" w:lineRule="auto" w:after="40"/>
            </w:pPr>
            <w:r>
              <w:rPr>
                <w:b/>
                <w:color w:val="FFFFFF"/>
              </w:rPr>
              <w:t>Human judgment</w:t>
            </w:r>
          </w:p>
        </w:tc>
        <w:tc>
          <w:tcPr>
            <w:tcW w:type="dxa" w:w="4680"/>
            <w:shd w:fill="075E54"/>
          </w:tcPr>
          <w:p>
            <w:pPr>
              <w:spacing w:line="276" w:lineRule="auto" w:after="40"/>
            </w:pPr>
            <w:r>
              <w:rPr>
                <w:b/>
                <w:color w:val="FFFFFF"/>
              </w:rPr>
              <w:t>Automated work</w:t>
            </w:r>
          </w:p>
        </w:tc>
      </w:tr>
      <w:tr>
        <w:tc>
          <w:tcPr>
            <w:tcW w:type="dxa" w:w="4680"/>
          </w:tcPr>
          <w:p>
            <w:pPr>
              <w:spacing w:line="276" w:lineRule="auto" w:after="40"/>
            </w:pPr>
            <w:r>
              <w:t>Decide what readers need and what belongs in scope</w:t>
            </w:r>
          </w:p>
        </w:tc>
        <w:tc>
          <w:tcPr>
            <w:tcW w:type="dxa" w:w="4680"/>
          </w:tcPr>
          <w:p>
            <w:pPr>
              <w:spacing w:line="276" w:lineRule="auto" w:after="40"/>
            </w:pPr>
            <w:r>
              <w:t>Confirm every configured navigation file exists</w:t>
            </w:r>
          </w:p>
        </w:tc>
      </w:tr>
      <w:tr>
        <w:tc>
          <w:tcPr>
            <w:tcW w:type="dxa" w:w="4680"/>
          </w:tcPr>
          <w:p>
            <w:pPr>
              <w:spacing w:line="276" w:lineRule="auto" w:after="40"/>
            </w:pPr>
            <w:r>
              <w:t>Verify technical meaning and release accuracy</w:t>
            </w:r>
          </w:p>
        </w:tc>
        <w:tc>
          <w:tcPr>
            <w:tcW w:type="dxa" w:w="4680"/>
          </w:tcPr>
          <w:p>
            <w:pPr>
              <w:spacing w:line="276" w:lineRule="auto" w:after="40"/>
            </w:pPr>
            <w:r>
              <w:t>Detect missing pages, files, links, and anchors</w:t>
            </w:r>
          </w:p>
        </w:tc>
      </w:tr>
      <w:tr>
        <w:tc>
          <w:tcPr>
            <w:tcW w:type="dxa" w:w="4680"/>
          </w:tcPr>
          <w:p>
            <w:pPr>
              <w:spacing w:line="276" w:lineRule="auto" w:after="40"/>
            </w:pPr>
            <w:r>
              <w:t>Write procedures, explanations, warnings, and troubleshooting guidance</w:t>
            </w:r>
          </w:p>
        </w:tc>
        <w:tc>
          <w:tcPr>
            <w:tcW w:type="dxa" w:w="4680"/>
          </w:tcPr>
          <w:p>
            <w:pPr>
              <w:spacing w:line="276" w:lineRule="auto" w:after="40"/>
            </w:pPr>
            <w:r>
              <w:t>Enforce basic heading, image-text, and link-label rules</w:t>
            </w:r>
          </w:p>
        </w:tc>
      </w:tr>
      <w:tr>
        <w:tc>
          <w:tcPr>
            <w:tcW w:type="dxa" w:w="4680"/>
          </w:tcPr>
          <w:p>
            <w:pPr>
              <w:spacing w:line="276" w:lineRule="auto" w:after="40"/>
            </w:pPr>
            <w:r>
              <w:t>Decide whether a table, note, example, or cross-reference helps</w:t>
            </w:r>
          </w:p>
        </w:tc>
        <w:tc>
          <w:tcPr>
            <w:tcW w:type="dxa" w:w="4680"/>
          </w:tcPr>
          <w:p>
            <w:pPr>
              <w:spacing w:line="276" w:lineRule="auto" w:after="40"/>
            </w:pPr>
            <w:r>
              <w:t>Build the Zensical HTML site from Markdown</w:t>
            </w:r>
          </w:p>
        </w:tc>
      </w:tr>
      <w:tr>
        <w:tc>
          <w:tcPr>
            <w:tcW w:type="dxa" w:w="4680"/>
          </w:tcPr>
          <w:p>
            <w:pPr>
              <w:spacing w:line="276" w:lineRule="auto" w:after="40"/>
            </w:pPr>
            <w:r>
              <w:t>Review accessibility, usability, and visual quality</w:t>
            </w:r>
          </w:p>
        </w:tc>
        <w:tc>
          <w:tcPr>
            <w:tcW w:type="dxa" w:w="4680"/>
          </w:tcPr>
          <w:p>
            <w:pPr>
              <w:spacing w:line="276" w:lineRule="auto" w:after="40"/>
            </w:pPr>
            <w:r>
              <w:t>Generate the Word handbook and convert it to PDF</w:t>
            </w:r>
          </w:p>
        </w:tc>
      </w:tr>
      <w:tr>
        <w:tc>
          <w:tcPr>
            <w:tcW w:type="dxa" w:w="4680"/>
          </w:tcPr>
          <w:p>
            <w:pPr>
              <w:spacing w:line="276" w:lineRule="auto" w:after="40"/>
            </w:pPr>
            <w:r>
              <w:t>Approve the change</w:t>
            </w:r>
          </w:p>
        </w:tc>
        <w:tc>
          <w:tcPr>
            <w:tcW w:type="dxa" w:w="4680"/>
          </w:tcPr>
          <w:p>
            <w:pPr>
              <w:spacing w:line="276" w:lineRule="auto" w:after="40"/>
            </w:pPr>
            <w:r>
              <w:t>Check that expected artifacts exist and deploy the site</w:t>
            </w:r>
          </w:p>
        </w:tc>
      </w:tr>
    </w:tbl>
    <w:p>
      <w:r>
        <w:t>Automation handles repeatable questions with objective answers. Authors and reviewers remain responsible for accuracy, usefulness, safety, and clarity.</w:t>
      </w:r>
    </w:p>
    <w:p>
      <w:pPr>
        <w:pStyle w:val="Heading2"/>
      </w:pPr>
      <w:r>
        <w:t>Control the Information Architecture</w:t>
      </w:r>
    </w:p>
    <w:p>
      <w:r>
        <w:rPr>
          <w:rFonts w:ascii="DejaVu Sans Mono" w:hAnsi="DejaVu Sans Mono" w:eastAsia="DejaVu Sans Mono"/>
        </w:rPr>
        <w:t>zensical.toml</w:t>
      </w:r>
      <w:r>
        <w:t xml:space="preserve"> contains an explicit </w:t>
      </w:r>
      <w:r>
        <w:rPr>
          <w:rFonts w:ascii="DejaVu Sans Mono" w:hAnsi="DejaVu Sans Mono" w:eastAsia="DejaVu Sans Mono"/>
        </w:rPr>
        <w:t>nav</w:t>
      </w:r>
      <w:r>
        <w:t xml:space="preserve"> list. This makes the intended order and grouping reviewable instead of relying on a renderer to infer structure from filenames. The validation script also fails when a Markdown page is missing from navigation.</w:t>
      </w:r>
    </w:p>
    <w:p>
      <w:pPr>
        <w:pStyle w:val="Heading2"/>
      </w:pPr>
      <w:r>
        <w:t>Keep Cross-References Stable</w:t>
      </w:r>
    </w:p>
    <w:p>
      <w:r>
        <w:t xml:space="preserve">High-value targets use deliberate HTML anchors such as </w:t>
      </w:r>
      <w:r>
        <w:rPr>
          <w:rFonts w:ascii="DejaVu Sans Mono" w:hAnsi="DejaVu Sans Mono" w:eastAsia="DejaVu Sans Mono"/>
        </w:rPr>
        <w:t>decision-states</w:t>
      </w:r>
      <w:r>
        <w:t xml:space="preserve"> in the </w:t>
      </w:r>
      <w:r>
        <w:rPr>
          <w:color w:val="075E54"/>
          <w:u w:val="single"/>
        </w:rPr>
        <w:t>architecture guide</w:t>
      </w:r>
      <w:r>
        <w:t xml:space="preserve">. </w:t>
      </w:r>
      <w:r>
        <w:rPr>
          <w:rFonts w:ascii="DejaVu Sans Mono" w:hAnsi="DejaVu Sans Mono" w:eastAsia="DejaVu Sans Mono"/>
        </w:rPr>
        <w:t>scripts/validate_docs.py</w:t>
      </w:r>
      <w:r>
        <w:t xml:space="preserve"> resolves every internal Markdown link and fragment before publication. Changing a heading can no longer silently strand an important link.</w:t>
      </w:r>
    </w:p>
    <w:p>
      <w:r>
        <w:t xml:space="preserve">The product pages include labeled </w:t>
      </w:r>
      <w:r>
        <w:rPr>
          <w:b/>
        </w:rPr>
        <w:t>Feature in action</w:t>
      </w:r>
      <w:r>
        <w:t xml:space="preserve"> notes beside representative examples. These notes expose the implementation without interrupting the primary task for readers who only need the fictional product instructions.</w:t>
      </w:r>
    </w:p>
    <w:p>
      <w:pPr>
        <w:pStyle w:val="Heading2"/>
      </w:pPr>
      <w:r>
        <w:t>See Each Authoring Feature Work</w:t>
      </w:r>
    </w:p>
    <w:p>
      <w:pPr>
        <w:pStyle w:val="ListBullet"/>
      </w:pPr>
      <w:r>
        <w:rPr>
          <w:b/>
        </w:rPr>
        <w:t>Cross-reference:</w:t>
      </w:r>
      <w:r>
        <w:t xml:space="preserve"> the operating guide links to </w:t>
      </w:r>
      <w:r>
        <w:rPr>
          <w:rFonts w:ascii="DejaVu Sans Mono" w:hAnsi="DejaVu Sans Mono" w:eastAsia="DejaVu Sans Mono"/>
        </w:rPr>
        <w:t>architecture.md#decision-states</w:t>
      </w:r>
      <w:r>
        <w:t>. The explicit anchor is stable and validated.</w:t>
      </w:r>
    </w:p>
    <w:p>
      <w:pPr>
        <w:pStyle w:val="ListBullet"/>
      </w:pPr>
      <w:r>
        <w:rPr>
          <w:b/>
        </w:rPr>
        <w:t>Descriptive link:</w:t>
      </w:r>
      <w:r>
        <w:t xml:space="preserve"> the quick start names the troubleshooting symptom, which stays meaningful outside its surrounding sentence.</w:t>
      </w:r>
    </w:p>
    <w:p>
      <w:pPr>
        <w:pStyle w:val="ListBullet"/>
      </w:pPr>
      <w:r>
        <w:rPr>
          <w:b/>
        </w:rPr>
        <w:t>Semantic table:</w:t>
      </w:r>
      <w:r>
        <w:t xml:space="preserve"> the architecture page uses a table only for repeated state, condition, and expectation fields. Exports preserve the header relationship.</w:t>
      </w:r>
    </w:p>
    <w:p>
      <w:pPr>
        <w:pStyle w:val="ListBullet"/>
      </w:pPr>
      <w:r>
        <w:rPr>
          <w:b/>
        </w:rPr>
        <w:t>Admonition:</w:t>
      </w:r>
      <w:r>
        <w:t xml:space="preserve"> </w:t>
      </w:r>
      <w:r>
        <w:rPr>
          <w:rFonts w:ascii="DejaVu Sans Mono" w:hAnsi="DejaVu Sans Mono" w:eastAsia="DejaVu Sans Mono"/>
        </w:rPr>
        <w:t>!!! info</w:t>
      </w:r>
      <w:r>
        <w:t xml:space="preserve"> creates a visually distinct note while retaining a text label and readable source.</w:t>
      </w:r>
    </w:p>
    <w:p>
      <w:pPr>
        <w:pStyle w:val="ListBullet"/>
      </w:pPr>
      <w:r>
        <w:rPr>
          <w:b/>
        </w:rPr>
        <w:t>Code block:</w:t>
      </w:r>
      <w:r>
        <w:t xml:space="preserve"> fenced blocks preserve commands and sample output. The site adds copy support, and the Word export applies a monospaced style.</w:t>
      </w:r>
    </w:p>
    <w:p>
      <w:pPr>
        <w:pStyle w:val="ListBullet"/>
      </w:pPr>
      <w:r>
        <w:rPr>
          <w:b/>
        </w:rPr>
        <w:t>Explicit navigation:</w:t>
      </w:r>
      <w:r>
        <w:t xml:space="preserve"> </w:t>
      </w:r>
      <w:r>
        <w:rPr>
          <w:rFonts w:ascii="DejaVu Sans Mono" w:hAnsi="DejaVu Sans Mono" w:eastAsia="DejaVu Sans Mono"/>
        </w:rPr>
        <w:t>zensical.toml</w:t>
      </w:r>
      <w:r>
        <w:t xml:space="preserve"> controls order and labels. The validator detects both missing targets and unlisted pages.</w:t>
      </w:r>
    </w:p>
    <w:p>
      <w:pPr>
        <w:pStyle w:val="ListBullet"/>
      </w:pPr>
      <w:r>
        <w:rPr>
          <w:b/>
        </w:rPr>
        <w:t>Brand tokens:</w:t>
      </w:r>
      <w:r>
        <w:t xml:space="preserve"> CSS variables change presentation globally while Markdown meaning and portable outputs remain intact.</w:t>
      </w:r>
    </w:p>
    <w:p>
      <w:pPr>
        <w:pStyle w:val="ListBullet"/>
      </w:pPr>
      <w:r>
        <w:rPr>
          <w:b/>
        </w:rPr>
        <w:t>Multi-format publishing:</w:t>
      </w:r>
      <w:r>
        <w:t xml:space="preserve"> the export script reads the same navigation order as the site, so the handbook is not a separately maintained copy.</w:t>
      </w:r>
    </w:p>
    <w:p>
      <w:pPr>
        <w:pStyle w:val="Heading2"/>
      </w:pPr>
      <w:r>
        <w:t>Separate Content from Presentation</w:t>
      </w:r>
    </w:p>
    <w:p>
      <w:r>
        <w:rPr>
          <w:rFonts w:ascii="DejaVu Sans Mono" w:hAnsi="DejaVu Sans Mono" w:eastAsia="DejaVu Sans Mono"/>
        </w:rPr>
        <w:t>docs/assets/stylesheets/brand-2026.css</w:t>
      </w:r>
      <w:r>
        <w:t xml:space="preserve"> defines brand tokens and a small set of presentation rules. </w:t>
      </w:r>
      <w:r>
        <w:rPr>
          <w:rFonts w:ascii="DejaVu Sans Mono" w:hAnsi="DejaVu Sans Mono" w:eastAsia="DejaVu Sans Mono"/>
        </w:rPr>
        <w:t>docs/assets/images/mark.svg</w:t>
      </w:r>
      <w:r>
        <w:t xml:space="preserve"> contains the fictional mark. A new organization can replace the visual layer without editing product meaning. Try the </w:t>
      </w:r>
      <w:r>
        <w:rPr>
          <w:color w:val="075E54"/>
          <w:u w:val="single"/>
        </w:rPr>
        <w:t>branding exercise</w:t>
      </w:r>
      <w:r>
        <w:t>.</w:t>
      </w:r>
    </w:p>
    <w:p>
      <w:pPr>
        <w:pStyle w:val="Heading2"/>
      </w:pPr>
      <w:r>
        <w:t>Validate Before Rendering</w:t>
      </w:r>
    </w:p>
    <w:p>
      <w:r>
        <w:rPr>
          <w:rFonts w:ascii="DejaVu Sans Mono" w:hAnsi="DejaVu Sans Mono" w:eastAsia="DejaVu Sans Mono"/>
        </w:rPr>
        <w:t>scripts/validate_docs.py</w:t>
      </w:r>
      <w:r>
        <w:t xml:space="preserve"> checks:</w:t>
      </w:r>
    </w:p>
    <w:p>
      <w:pPr>
        <w:pStyle w:val="ListBullet"/>
      </w:pPr>
      <w:r>
        <w:t>every configured navigation target exists</w:t>
      </w:r>
    </w:p>
    <w:p>
      <w:pPr>
        <w:pStyle w:val="ListBullet"/>
      </w:pPr>
      <w:r>
        <w:t>every maintained Markdown page appears in navigation</w:t>
      </w:r>
    </w:p>
    <w:p>
      <w:pPr>
        <w:pStyle w:val="ListBullet"/>
      </w:pPr>
      <w:r>
        <w:t>internal files and anchors resolve</w:t>
      </w:r>
    </w:p>
    <w:p>
      <w:pPr>
        <w:pStyle w:val="ListBullet"/>
      </w:pPr>
      <w:r>
        <w:t>each page has exactly one level-one heading</w:t>
      </w:r>
    </w:p>
    <w:p>
      <w:pPr>
        <w:pStyle w:val="ListBullet"/>
      </w:pPr>
      <w:r>
        <w:t>images have useful alternative text</w:t>
      </w:r>
    </w:p>
    <w:p>
      <w:pPr>
        <w:pStyle w:val="ListBullet"/>
      </w:pPr>
      <w:r>
        <w:t>common inaccessible link labels are rejected.</w:t>
      </w:r>
    </w:p>
    <w:p>
      <w:r>
        <w:rPr>
          <w:rFonts w:ascii="DejaVu Sans Mono" w:hAnsi="DejaVu Sans Mono" w:eastAsia="DejaVu Sans Mono"/>
        </w:rPr>
        <w:t>zensical build --strict</w:t>
      </w:r>
      <w:r>
        <w:t xml:space="preserve"> requests the renderer's strict behavior. Zensical 0.0.23 currently reports that strict mode is unsupported, so the custom validator is the enforceable gate today. It is deliberately independent of the renderer so core quality checks remain if the publishing engine changes.</w:t>
      </w:r>
    </w:p>
    <w:p>
      <w:pPr>
        <w:pStyle w:val="Heading2"/>
      </w:pPr>
      <w:r>
        <w:t>Build and Review Automatically</w:t>
      </w:r>
    </w:p>
    <w:p>
      <w:r>
        <w:rPr>
          <w:rFonts w:ascii="DejaVu Sans Mono" w:hAnsi="DejaVu Sans Mono" w:eastAsia="DejaVu Sans Mono"/>
        </w:rPr>
        <w:t>.github/workflows/docs.yml</w:t>
      </w:r>
      <w:r>
        <w:t xml:space="preserve"> runs validation, builds the Zensical site in strict mode, generates Word output, converts it to PDF, performs basic artifact checks, and uploads the results for review. Pull requests get the same gates as the default branch.</w:t>
      </w:r>
    </w:p>
    <w:p>
      <w:pPr>
        <w:pStyle w:val="Heading2"/>
      </w:pPr>
      <w:r>
        <w:t>Publish Several Channels</w:t>
      </w:r>
    </w:p>
    <w:p>
      <w:r>
        <w:t xml:space="preserve">Zensical creates the searchable HTML experience. </w:t>
      </w:r>
      <w:r>
        <w:rPr>
          <w:rFonts w:ascii="DejaVu Sans Mono" w:hAnsi="DejaVu Sans Mono" w:eastAsia="DejaVu Sans Mono"/>
        </w:rPr>
        <w:t>scripts/export_handbook.py</w:t>
      </w:r>
      <w:r>
        <w:t xml:space="preserve"> assembles the same maintained Markdown into a styled Word handbook with a </w:t>
      </w:r>
      <w:r>
        <w:rPr>
          <w:b/>
        </w:rPr>
        <w:t>Page X of Y</w:t>
      </w:r>
      <w:r>
        <w:t xml:space="preserve"> footer. CI converts that Word file to PDF and preserves the footer numbers. These are publishing transformations, not separate authoring silos.</w:t>
      </w:r>
    </w:p>
    <w:p>
      <w:pPr>
        <w:pStyle w:val="Heading2"/>
      </w:pPr>
      <w:r>
        <w:t>Treat Accessibility as an Authoring Constraint</w:t>
      </w:r>
    </w:p>
    <w:p>
      <w:r>
        <w:t xml:space="preserve">The </w:t>
      </w:r>
      <w:r>
        <w:rPr>
          <w:color w:val="075E54"/>
          <w:u w:val="single"/>
        </w:rPr>
        <w:t>accessibility standard</w:t>
      </w:r>
      <w:r>
        <w:t xml:space="preserve"> covers heading order, descriptive links, alternative text, tables, keyboard focus, zoom, contrast, and reduced motion. CSS enhances focus visibility and avoids essential animation.</w:t>
      </w:r>
    </w:p>
    <w:p>
      <w:pPr>
        <w:pStyle w:val="Heading2"/>
      </w:pPr>
      <w:r>
        <w:t>Release with Evidence</w:t>
      </w:r>
    </w:p>
    <w:p>
      <w:r>
        <w:t xml:space="preserve">The </w:t>
      </w:r>
      <w:r>
        <w:rPr>
          <w:color w:val="075E54"/>
          <w:u w:val="single"/>
        </w:rPr>
        <w:t>release checklist</w:t>
      </w:r>
      <w:r>
        <w:t xml:space="preserve"> joins automated checks with human review: wording, task completeness, responsive behavior, keyboard use, zoom, and generated-file inspection.</w:t>
      </w:r>
    </w:p>
    <w:p>
      <w:r>
        <w:br w:type="page"/>
      </w:r>
    </w:p>
    <w:p>
      <w:pPr>
        <w:pStyle w:val="Heading1"/>
      </w:pPr>
      <w:r>
        <w:t>Build It from Scratch</w:t>
      </w:r>
    </w:p>
    <w:p>
      <w:r>
        <w:t>This chapter records every step used to construct this repository. Follow it to reproduce the demo or adapt the workflow for another small documentation set.</w:t>
      </w:r>
    </w:p>
    <w:p>
      <w:pPr>
        <w:pStyle w:val="Heading2"/>
      </w:pPr>
      <w:r>
        <w:t>1. Define the Public Boundary</w:t>
      </w:r>
    </w:p>
    <w:p>
      <w:r>
        <w:t>Choose a fictional product with enough behavior for procedures, concepts, reference material, troubleshooting, and cross-references. Record the release rule before drafting: no employer, customer, proprietary, export-controlled, or classified information. Greenhouse Sentinel is intentionally fictional and recommends—but never performs—physical actions.</w:t>
      </w:r>
    </w:p>
    <w:p>
      <w:pPr>
        <w:pStyle w:val="Heading2"/>
      </w:pPr>
      <w:r>
        <w:t>2. Create an Independent Repository</w:t>
      </w:r>
    </w:p>
    <w:p>
      <w:r>
        <w:t>Use a dedicated repository so its dependencies and automation run only when this project changes.</w:t>
      </w:r>
    </w:p>
    <w:p>
      <w:pPr>
        <w:pStyle w:val="Code"/>
      </w:pPr>
      <w:r>
        <w:t>.</w:t>
      </w:r>
    </w:p>
    <w:p>
      <w:pPr>
        <w:pStyle w:val="Code"/>
      </w:pPr>
      <w:r>
        <w:t>├── .github/workflows/docs.yml</w:t>
      </w:r>
    </w:p>
    <w:p>
      <w:pPr>
        <w:pStyle w:val="Code"/>
      </w:pPr>
      <w:r>
        <w:t>├── deliverables/</w:t>
      </w:r>
    </w:p>
    <w:p>
      <w:pPr>
        <w:pStyle w:val="Code"/>
      </w:pPr>
      <w:r>
        <w:t>├── docs/</w:t>
      </w:r>
    </w:p>
    <w:p>
      <w:pPr>
        <w:pStyle w:val="Code"/>
      </w:pPr>
      <w:r>
        <w:t>│   ├── about/</w:t>
      </w:r>
    </w:p>
    <w:p>
      <w:pPr>
        <w:pStyle w:val="Code"/>
      </w:pPr>
      <w:r>
        <w:t>│   ├── assets/</w:t>
      </w:r>
    </w:p>
    <w:p>
      <w:pPr>
        <w:pStyle w:val="Code"/>
      </w:pPr>
      <w:r>
        <w:t>│   ├── contributing/</w:t>
      </w:r>
    </w:p>
    <w:p>
      <w:pPr>
        <w:pStyle w:val="Code"/>
      </w:pPr>
      <w:r>
        <w:t>│   └── product/</w:t>
      </w:r>
    </w:p>
    <w:p>
      <w:pPr>
        <w:pStyle w:val="Code"/>
      </w:pPr>
      <w:r>
        <w:t>├── scripts/</w:t>
      </w:r>
    </w:p>
    <w:p>
      <w:pPr>
        <w:pStyle w:val="Code"/>
      </w:pPr>
      <w:r>
        <w:t>├── README.md</w:t>
      </w:r>
    </w:p>
    <w:p>
      <w:pPr>
        <w:pStyle w:val="Code"/>
      </w:pPr>
      <w:r>
        <w:t>├── requirements.txt</w:t>
      </w:r>
    </w:p>
    <w:p>
      <w:pPr>
        <w:pStyle w:val="Code"/>
      </w:pPr>
      <w:r>
        <w:t>└── zensical.toml</w:t>
      </w:r>
    </w:p>
    <w:p>
      <w:r>
        <w:t xml:space="preserve">Ignore </w:t>
      </w:r>
      <w:r>
        <w:rPr>
          <w:rFonts w:ascii="DejaVu Sans Mono" w:hAnsi="DejaVu Sans Mono" w:eastAsia="DejaVu Sans Mono"/>
        </w:rPr>
        <w:t>site/</w:t>
      </w:r>
      <w:r>
        <w:t xml:space="preserve">, virtual environments, caches, and local QA files. Keep portfolio-ready files in </w:t>
      </w:r>
      <w:r>
        <w:rPr>
          <w:rFonts w:ascii="DejaVu Sans Mono" w:hAnsi="DejaVu Sans Mono" w:eastAsia="DejaVu Sans Mono"/>
        </w:rPr>
        <w:t>deliverables/</w:t>
      </w:r>
      <w:r>
        <w:t>.</w:t>
      </w:r>
    </w:p>
    <w:p>
      <w:pPr>
        <w:pStyle w:val="Heading2"/>
      </w:pPr>
      <w:r>
        <w:t>3. Design the Information Architecture</w:t>
      </w:r>
    </w:p>
    <w:p>
      <w:r>
        <w:t xml:space="preserve">Create three reader journeys: </w:t>
      </w:r>
      <w:r>
        <w:rPr>
          <w:b/>
        </w:rPr>
        <w:t>Product guide</w:t>
      </w:r>
      <w:r>
        <w:t xml:space="preserve"> for realistic technical content, </w:t>
      </w:r>
      <w:r>
        <w:rPr>
          <w:b/>
        </w:rPr>
        <w:t>How this repository works</w:t>
      </w:r>
      <w:r>
        <w:t xml:space="preserve"> for implementation details, and </w:t>
      </w:r>
      <w:r>
        <w:rPr>
          <w:b/>
        </w:rPr>
        <w:t>Contribute</w:t>
      </w:r>
      <w:r>
        <w:t xml:space="preserve"> for authoring and quality standards. Write their order and labels explicitly in the </w:t>
      </w:r>
      <w:r>
        <w:rPr>
          <w:rFonts w:ascii="DejaVu Sans Mono" w:hAnsi="DejaVu Sans Mono" w:eastAsia="DejaVu Sans Mono"/>
        </w:rPr>
        <w:t>nav</w:t>
      </w:r>
      <w:r>
        <w:t xml:space="preserve"> array in </w:t>
      </w:r>
      <w:r>
        <w:rPr>
          <w:rFonts w:ascii="DejaVu Sans Mono" w:hAnsi="DejaVu Sans Mono" w:eastAsia="DejaVu Sans Mono"/>
        </w:rPr>
        <w:t>zensical.toml</w:t>
      </w:r>
      <w:r>
        <w:t>.</w:t>
      </w:r>
    </w:p>
    <w:p>
      <w:pPr>
        <w:pStyle w:val="Heading2"/>
      </w:pPr>
      <w:r>
        <w:t>4. Configure the Renderer</w:t>
      </w:r>
    </w:p>
    <w:p>
      <w:r>
        <w:t xml:space="preserve">Pin Zensical in </w:t>
      </w:r>
      <w:r>
        <w:rPr>
          <w:rFonts w:ascii="DejaVu Sans Mono" w:hAnsi="DejaVu Sans Mono" w:eastAsia="DejaVu Sans Mono"/>
        </w:rPr>
        <w:t>requirements.txt</w:t>
      </w:r>
      <w:r>
        <w:t xml:space="preserve">. Set the site identity, public and repository URLs, navigation, theme features, light and dark palettes, Markdown extensions, and custom stylesheet in </w:t>
      </w:r>
      <w:r>
        <w:rPr>
          <w:rFonts w:ascii="DejaVu Sans Mono" w:hAnsi="DejaVu Sans Mono" w:eastAsia="DejaVu Sans Mono"/>
        </w:rPr>
        <w:t>zensical.toml</w:t>
      </w:r>
      <w:r>
        <w:t>. Use links to Markdown files so source previews and renderers can both resolve them.</w:t>
      </w:r>
    </w:p>
    <w:p>
      <w:pPr>
        <w:pStyle w:val="Heading2"/>
      </w:pPr>
      <w:r>
        <w:t>5. Write a Thin but Complete Product Set</w:t>
      </w:r>
    </w:p>
    <w:p>
      <w:r>
        <w:t>Create the product pages in reader order:</w:t>
      </w:r>
    </w:p>
    <w:p>
      <w:pPr>
        <w:pStyle w:val="ListNumber"/>
        <w:numPr>
          <w:ilvl w:val="0"/>
          <w:numId w:val="15"/>
        </w:numPr>
        <w:ind w:left="576" w:hanging="360"/>
      </w:pPr>
      <w:r>
        <w:rPr>
          <w:rFonts w:ascii="DejaVu Sans Mono" w:hAnsi="DejaVu Sans Mono" w:eastAsia="DejaVu Sans Mono"/>
        </w:rPr>
        <w:t>quickstart.md</w:t>
      </w:r>
      <w:r>
        <w:t xml:space="preserve"> establishes the first successful outcome.</w:t>
      </w:r>
    </w:p>
    <w:p>
      <w:pPr>
        <w:pStyle w:val="ListNumber"/>
        <w:ind w:left="576" w:hanging="360"/>
      </w:pPr>
      <w:r>
        <w:rPr>
          <w:rFonts w:ascii="DejaVu Sans Mono" w:hAnsi="DejaVu Sans Mono" w:eastAsia="DejaVu Sans Mono"/>
        </w:rPr>
        <w:t>operations.md</w:t>
      </w:r>
      <w:r>
        <w:t xml:space="preserve"> documents a repeatable task.</w:t>
      </w:r>
    </w:p>
    <w:p>
      <w:pPr>
        <w:pStyle w:val="ListNumber"/>
        <w:ind w:left="576" w:hanging="360"/>
      </w:pPr>
      <w:r>
        <w:rPr>
          <w:rFonts w:ascii="DejaVu Sans Mono" w:hAnsi="DejaVu Sans Mono" w:eastAsia="DejaVu Sans Mono"/>
        </w:rPr>
        <w:t>architecture.md</w:t>
      </w:r>
      <w:r>
        <w:t xml:space="preserve"> explains boundaries, components, rules, and retention.</w:t>
      </w:r>
    </w:p>
    <w:p>
      <w:pPr>
        <w:pStyle w:val="ListNumber"/>
        <w:ind w:left="576" w:hanging="360"/>
      </w:pPr>
      <w:r>
        <w:rPr>
          <w:rFonts w:ascii="DejaVu Sans Mono" w:hAnsi="DejaVu Sans Mono" w:eastAsia="DejaVu Sans Mono"/>
        </w:rPr>
        <w:t>troubleshooting.md</w:t>
      </w:r>
      <w:r>
        <w:t xml:space="preserve"> begins with observable symptoms and preserves escalation evidence.</w:t>
      </w:r>
    </w:p>
    <w:p>
      <w:r>
        <w:t>Use one level-one heading per page, sequential subheadings, direct instructions, expected results, and honest fictional-product limitations.</w:t>
      </w:r>
    </w:p>
    <w:p>
      <w:pPr>
        <w:pStyle w:val="Heading2"/>
      </w:pPr>
      <w:r>
        <w:t>6. Add Stable Cross-References</w:t>
      </w:r>
    </w:p>
    <w:p>
      <w:r>
        <w:t>Add deliberate lowercase anchors before high-value targets:</w:t>
      </w:r>
    </w:p>
    <w:p>
      <w:pPr>
        <w:pStyle w:val="Code"/>
      </w:pPr>
      <w:r>
        <w:t>&lt;a id="decision-states"&gt;&lt;/a&gt;</w:t>
      </w:r>
    </w:p>
    <w:p>
      <w:pPr>
        <w:pStyle w:val="Code"/>
      </w:pPr>
      <w:r>
        <w:t>## Decision States</w:t>
      </w:r>
    </w:p>
    <w:p>
      <w:r>
        <w:t>Link with a relative source path and stable fragment:</w:t>
      </w:r>
    </w:p>
    <w:p>
      <w:pPr>
        <w:pStyle w:val="Code"/>
      </w:pPr>
      <w:r>
        <w:t>[Decision states](architecture.md#decision-states)</w:t>
      </w:r>
    </w:p>
    <w:p>
      <w:r>
        <w:t>This decouples important links from incidental heading punctuation.</w:t>
      </w:r>
    </w:p>
    <w:p>
      <w:r>
        <w:t xml:space="preserve">Explain the feature where readers encounter it. This demo uses a labeled </w:t>
      </w:r>
      <w:r>
        <w:rPr>
          <w:rFonts w:ascii="DejaVu Sans Mono" w:hAnsi="DejaVu Sans Mono" w:eastAsia="DejaVu Sans Mono"/>
        </w:rPr>
        <w:t>!!! info</w:t>
      </w:r>
      <w:r>
        <w:t xml:space="preserve"> note after the representative cross-reference. The note identifies the source syntax, published behavior, accessibility benefit, and validation rule. Apply the same pattern selectively to tables, code blocks, admonitions, navigation, branding, and exports so the repository demonstrates rather than merely claims each capability.</w:t>
      </w:r>
    </w:p>
    <w:p>
      <w:pPr>
        <w:pStyle w:val="Heading2"/>
      </w:pPr>
      <w:r>
        <w:t>7. Build Independent Validation</w:t>
      </w:r>
    </w:p>
    <w:p>
      <w:r>
        <w:t xml:space="preserve">Create </w:t>
      </w:r>
      <w:r>
        <w:rPr>
          <w:rFonts w:ascii="DejaVu Sans Mono" w:hAnsi="DejaVu Sans Mono" w:eastAsia="DejaVu Sans Mono"/>
        </w:rPr>
        <w:t>scripts/validate_docs.py</w:t>
      </w:r>
      <w:r>
        <w:t xml:space="preserve"> with Python standard-library dependencies. Read </w:t>
      </w:r>
      <w:r>
        <w:rPr>
          <w:rFonts w:ascii="DejaVu Sans Mono" w:hAnsi="DejaVu Sans Mono" w:eastAsia="DejaVu Sans Mono"/>
        </w:rPr>
        <w:t>zensical.toml</w:t>
      </w:r>
      <w:r>
        <w:t>, flatten navigation, discover maintained Markdown, extract headings and anchors, and resolve every local link relative to its source.</w:t>
      </w:r>
    </w:p>
    <w:p>
      <w:r>
        <w:t>Fail when navigation names a missing file, a maintained page is omitted, a file or anchor does not resolve, a page lacks exactly one level-one heading, heading levels skip, an informative image has no alternative text, or a link uses context-free wording such as “click here.” Keep this separate from Zensical so renderer changes do not weaken the release gate.</w:t>
      </w:r>
    </w:p>
    <w:p>
      <w:pPr>
        <w:pStyle w:val="Heading2"/>
      </w:pPr>
      <w:r>
        <w:t>8. Add Replaceable Branding</w:t>
      </w:r>
    </w:p>
    <w:p>
      <w:r>
        <w:t xml:space="preserve">Create </w:t>
      </w:r>
      <w:r>
        <w:rPr>
          <w:rFonts w:ascii="DejaVu Sans Mono" w:hAnsi="DejaVu Sans Mono" w:eastAsia="DejaVu Sans Mono"/>
        </w:rPr>
        <w:t>docs/assets/stylesheets/brand-2026.css</w:t>
      </w:r>
      <w:r>
        <w:t xml:space="preserve"> with purpose-based tokens for primary, accent, surface, text, focus, and radius values. Add a compact accessible SVG mark. Use the tokens for visible focus, mobile button stacking, readable line lengths, and reduced-motion behavior. Do not place brand decisions in Markdown.</w:t>
      </w:r>
    </w:p>
    <w:p>
      <w:pPr>
        <w:pStyle w:val="Heading2"/>
      </w:pPr>
      <w:r>
        <w:t>9. Generate Word from Reviewed Source</w:t>
      </w:r>
    </w:p>
    <w:p>
      <w:r>
        <w:t xml:space="preserve">Create </w:t>
      </w:r>
      <w:r>
        <w:rPr>
          <w:rFonts w:ascii="DejaVu Sans Mono" w:hAnsi="DejaVu Sans Mono" w:eastAsia="DejaVu Sans Mono"/>
        </w:rPr>
        <w:t>scripts/export_handbook.py</w:t>
      </w:r>
      <w:r>
        <w:t xml:space="preserve">. Read the same navigation list as the site and process pages in that order. Map Markdown headings to real Word heading styles, sequences and bullets to list styles, code to a monospaced style, and Markdown tables to Word tables. Apply explicit page geometry, typography, spacing, colors, public document properties, and dynamic </w:t>
      </w:r>
      <w:r>
        <w:rPr>
          <w:rFonts w:ascii="DejaVu Sans Mono" w:hAnsi="DejaVu Sans Mono" w:eastAsia="DejaVu Sans Mono"/>
        </w:rPr>
        <w:t>PAGE</w:t>
      </w:r>
      <w:r>
        <w:t xml:space="preserve"> and </w:t>
      </w:r>
      <w:r>
        <w:rPr>
          <w:rFonts w:ascii="DejaVu Sans Mono" w:hAnsi="DejaVu Sans Mono" w:eastAsia="DejaVu Sans Mono"/>
        </w:rPr>
        <w:t>NUMPAGES</w:t>
      </w:r>
      <w:r>
        <w:t xml:space="preserve"> footer fields so every page displays </w:t>
      </w:r>
      <w:r>
        <w:rPr>
          <w:b/>
        </w:rPr>
        <w:t>Page X of Y</w:t>
      </w:r>
      <w:r>
        <w:t>.</w:t>
      </w:r>
    </w:p>
    <w:p>
      <w:pPr>
        <w:pStyle w:val="Heading2"/>
      </w:pPr>
      <w:r>
        <w:t>10. Generate PDF</w:t>
      </w:r>
    </w:p>
    <w:p>
      <w:r>
        <w:t>In CI, convert the Word handbook with headless LibreOffice. Check that Word and PDF files exist and are non-empty. Render every page to images for visual review. Inspect the pages for clipping, overlap, broken tables, awkward breaks, missing glyphs, misplaced page furniture, and correct footer page numbers.</w:t>
      </w:r>
    </w:p>
    <w:p>
      <w:pPr>
        <w:pStyle w:val="Heading2"/>
      </w:pPr>
      <w:r>
        <w:t>11. Automate the Workflow</w:t>
      </w:r>
    </w:p>
    <w:p>
      <w:r>
        <w:t xml:space="preserve">Create </w:t>
      </w:r>
      <w:r>
        <w:rPr>
          <w:rFonts w:ascii="DejaVu Sans Mono" w:hAnsi="DejaVu Sans Mono" w:eastAsia="DejaVu Sans Mono"/>
        </w:rPr>
        <w:t>.github/workflows/docs.yml</w:t>
      </w:r>
      <w:r>
        <w:t xml:space="preserve"> for pushes, pull requests, and manual runs. The workflow automates the mechanical publishing sequence:</w:t>
      </w:r>
    </w:p>
    <w:p>
      <w:pPr>
        <w:pStyle w:val="ListNumber"/>
        <w:numPr>
          <w:ilvl w:val="0"/>
          <w:numId w:val="16"/>
        </w:numPr>
        <w:ind w:left="576" w:hanging="360"/>
      </w:pPr>
      <w:r>
        <w:t>Check out the exact Git commit under review.</w:t>
      </w:r>
    </w:p>
    <w:p>
      <w:pPr>
        <w:pStyle w:val="ListNumber"/>
        <w:ind w:left="576" w:hanging="360"/>
      </w:pPr>
      <w:r>
        <w:t>Install the dependency versions pinned by the repository.</w:t>
      </w:r>
    </w:p>
    <w:p>
      <w:pPr>
        <w:pStyle w:val="ListNumber"/>
        <w:ind w:left="576" w:hanging="360"/>
      </w:pPr>
      <w:r>
        <w:t xml:space="preserve">Run </w:t>
      </w:r>
      <w:r>
        <w:rPr>
          <w:rFonts w:ascii="DejaVu Sans Mono" w:hAnsi="DejaVu Sans Mono" w:eastAsia="DejaVu Sans Mono"/>
        </w:rPr>
        <w:t>scripts/validate_docs.py</w:t>
      </w:r>
      <w:r>
        <w:t xml:space="preserve"> against the Markdown and navigation configuration.</w:t>
      </w:r>
    </w:p>
    <w:p>
      <w:pPr>
        <w:pStyle w:val="ListNumber"/>
        <w:ind w:left="576" w:hanging="360"/>
      </w:pPr>
      <w:r>
        <w:t>Build the complete Zensical site from the reviewed source.</w:t>
      </w:r>
    </w:p>
    <w:p>
      <w:pPr>
        <w:pStyle w:val="ListNumber"/>
        <w:ind w:left="576" w:hanging="360"/>
      </w:pPr>
      <w:r>
        <w:t xml:space="preserve">Run </w:t>
      </w:r>
      <w:r>
        <w:rPr>
          <w:rFonts w:ascii="DejaVu Sans Mono" w:hAnsi="DejaVu Sans Mono" w:eastAsia="DejaVu Sans Mono"/>
        </w:rPr>
        <w:t>scripts/export_handbook.py</w:t>
      </w:r>
      <w:r>
        <w:t xml:space="preserve"> to assemble the Markdown pages in explicit navigation order.</w:t>
      </w:r>
    </w:p>
    <w:p>
      <w:pPr>
        <w:pStyle w:val="ListNumber"/>
        <w:ind w:left="576" w:hanging="360"/>
      </w:pPr>
      <w:r>
        <w:t>Create the Word handbook with real heading, list, table, and document styles.</w:t>
      </w:r>
    </w:p>
    <w:p>
      <w:pPr>
        <w:pStyle w:val="ListNumber"/>
        <w:ind w:left="576" w:hanging="360"/>
      </w:pPr>
      <w:r>
        <w:t>Convert the Word handbook to PDF with headless LibreOffice.</w:t>
      </w:r>
    </w:p>
    <w:p>
      <w:pPr>
        <w:pStyle w:val="ListNumber"/>
        <w:ind w:left="576" w:hanging="360"/>
      </w:pPr>
      <w:r>
        <w:t>Confirm that the site, Word file, and PDF exist and are non-empty.</w:t>
      </w:r>
    </w:p>
    <w:p>
      <w:pPr>
        <w:pStyle w:val="ListNumber"/>
        <w:ind w:left="576" w:hanging="360"/>
      </w:pPr>
      <w:r>
        <w:t>Upload the site and portable files as reviewable build artifacts.</w:t>
      </w:r>
    </w:p>
    <w:p>
      <w:pPr>
        <w:pStyle w:val="ListNumber"/>
        <w:ind w:left="576" w:hanging="360"/>
      </w:pPr>
      <w:r>
        <w:t xml:space="preserve">On the </w:t>
      </w:r>
      <w:r>
        <w:rPr>
          <w:rFonts w:ascii="DejaVu Sans Mono" w:hAnsi="DejaVu Sans Mono" w:eastAsia="DejaVu Sans Mono"/>
        </w:rPr>
        <w:t>main</w:t>
      </w:r>
      <w:r>
        <w:t xml:space="preserve"> branch, upload the site to GitHub Pages and deploy the live URL.</w:t>
      </w:r>
    </w:p>
    <w:p>
      <w:r>
        <w:t>The workflow does not decide whether an explanation is correct or whether a procedure is useful. Those decisions remain with the author and reviewers. Automation answers repeatable questions such as whether a target exists, whether the build succeeds, and whether all expected outputs were produced.</w:t>
      </w:r>
    </w:p>
    <w:p>
      <w:r>
        <w:t>Zensical 0.0.23 currently warns that strict mode is unsupported. Retain the flag for forward compatibility, but make the independent validator the enforceable gate.</w:t>
      </w:r>
    </w:p>
    <w:p>
      <w:pPr>
        <w:pStyle w:val="Heading2"/>
      </w:pPr>
      <w:r>
        <w:t>12. Test the Site</w:t>
      </w:r>
    </w:p>
    <w:p>
      <w:r>
        <w:t xml:space="preserve">Build and serve </w:t>
      </w:r>
      <w:r>
        <w:rPr>
          <w:rFonts w:ascii="DejaVu Sans Mono" w:hAnsi="DejaVu Sans Mono" w:eastAsia="DejaVu Sans Mono"/>
        </w:rPr>
        <w:t>site/</w:t>
      </w:r>
      <w:r>
        <w:t xml:space="preserve">. Test at 320, 360, 390, 768, 1024, and 1440 CSS pixels. At every width, verify </w:t>
      </w:r>
      <w:r>
        <w:rPr>
          <w:rFonts w:ascii="DejaVu Sans Mono" w:hAnsi="DejaVu Sans Mono" w:eastAsia="DejaVu Sans Mono"/>
        </w:rPr>
        <w:t>scrollWidth &lt;= clientWidth</w:t>
      </w:r>
      <w:r>
        <w:t>. Test the skip link, navigation, search, theme control, links, buttons, visible focus, heading order, descriptive links, 200% zoom, long-label wrapping, touch targets, light and dark contrast, and reduced motion.</w:t>
      </w:r>
    </w:p>
    <w:p>
      <w:pPr>
        <w:pStyle w:val="Heading2"/>
      </w:pPr>
      <w:r>
        <w:t>13. Review for Public Release</w:t>
      </w:r>
    </w:p>
    <w:p>
      <w:r>
        <w:t>Complete the release checklist. Inspect source history, rendered pages, generated files, document properties, repository description, and README for sensitive or employer-specific material. Confirm every limitation is stated plainly.</w:t>
      </w:r>
    </w:p>
    <w:p>
      <w:pPr>
        <w:pStyle w:val="Heading2"/>
      </w:pPr>
      <w:r>
        <w:t>14. Publish the GitHub Repository</w:t>
      </w:r>
    </w:p>
    <w:p>
      <w:r>
        <w:t xml:space="preserve">Initialize Git in this folder, set </w:t>
      </w:r>
      <w:r>
        <w:rPr>
          <w:rFonts w:ascii="DejaVu Sans Mono" w:hAnsi="DejaVu Sans Mono" w:eastAsia="DejaVu Sans Mono"/>
        </w:rPr>
        <w:t>main</w:t>
      </w:r>
      <w:r>
        <w:t xml:space="preserve"> as the default branch, commit the verified files, create a public repository named </w:t>
      </w:r>
      <w:r>
        <w:rPr>
          <w:rFonts w:ascii="DejaVu Sans Mono" w:hAnsi="DejaVu Sans Mono" w:eastAsia="DejaVu Sans Mono"/>
        </w:rPr>
        <w:t>greenhouse-sentinel-docs</w:t>
      </w:r>
      <w:r>
        <w:t xml:space="preserve">, and push only this folder. Require the documentation workflow before merge when account settings allow it. Optionally deploy </w:t>
      </w:r>
      <w:r>
        <w:rPr>
          <w:rFonts w:ascii="DejaVu Sans Mono" w:hAnsi="DejaVu Sans Mono" w:eastAsia="DejaVu Sans Mono"/>
        </w:rPr>
        <w:t>site/</w:t>
      </w:r>
      <w:r>
        <w:t xml:space="preserve"> with GitHub Pages.</w:t>
      </w:r>
    </w:p>
    <w:p>
      <w:pPr>
        <w:pStyle w:val="Heading2"/>
      </w:pPr>
      <w:r>
        <w:t>15. Link from the Portfolio</w:t>
      </w:r>
    </w:p>
    <w:p>
      <w:r>
        <w:t>After publication, add a small portfolio entry that links to this repository and optionally its live site. Describe the reader problem and demonstrated capabilities. Do not embed this repository's build into the portfolio build.</w:t>
      </w:r>
    </w:p>
    <w:p>
      <w:pPr>
        <w:pStyle w:val="Heading2"/>
      </w:pPr>
      <w:r>
        <w:t>16. Update and Release</w:t>
      </w:r>
    </w:p>
    <w:p>
      <w:r>
        <w:t>The normal authoring cycle is smaller than the initial repository setup.</w:t>
      </w:r>
    </w:p>
    <w:p>
      <w:pPr>
        <w:pStyle w:val="Heading3"/>
      </w:pPr>
      <w:r>
        <w:t>Author the Change</w:t>
      </w:r>
    </w:p>
    <w:p>
      <w:pPr>
        <w:pStyle w:val="ListNumber"/>
        <w:numPr>
          <w:ilvl w:val="0"/>
          <w:numId w:val="17"/>
        </w:numPr>
        <w:ind w:left="576" w:hanging="360"/>
      </w:pPr>
      <w:r>
        <w:t>Start with a reader problem or a verified product change.</w:t>
      </w:r>
    </w:p>
    <w:p>
      <w:pPr>
        <w:pStyle w:val="ListNumber"/>
        <w:ind w:left="576" w:hanging="360"/>
      </w:pPr>
      <w:r>
        <w:t xml:space="preserve">Edit the relevant Markdown under </w:t>
      </w:r>
      <w:r>
        <w:rPr>
          <w:rFonts w:ascii="DejaVu Sans Mono" w:hAnsi="DejaVu Sans Mono" w:eastAsia="DejaVu Sans Mono"/>
        </w:rPr>
        <w:t>docs/</w:t>
      </w:r>
      <w:r>
        <w:t xml:space="preserve">. Do not edit </w:t>
      </w:r>
      <w:r>
        <w:rPr>
          <w:rFonts w:ascii="DejaVu Sans Mono" w:hAnsi="DejaVu Sans Mono" w:eastAsia="DejaVu Sans Mono"/>
        </w:rPr>
        <w:t>site/</w:t>
      </w:r>
      <w:r>
        <w:t>, Word, or PDF because those files are generated outputs.</w:t>
      </w:r>
    </w:p>
    <w:p>
      <w:pPr>
        <w:pStyle w:val="ListNumber"/>
        <w:ind w:left="576" w:hanging="360"/>
      </w:pPr>
      <w:r>
        <w:t xml:space="preserve">Add a new page to </w:t>
      </w:r>
      <w:r>
        <w:rPr>
          <w:rFonts w:ascii="DejaVu Sans Mono" w:hAnsi="DejaVu Sans Mono" w:eastAsia="DejaVu Sans Mono"/>
        </w:rPr>
        <w:t>zensical.toml</w:t>
      </w:r>
      <w:r>
        <w:t xml:space="preserve"> when the change introduces a new topic.</w:t>
      </w:r>
    </w:p>
    <w:p>
      <w:pPr>
        <w:pStyle w:val="ListNumber"/>
        <w:ind w:left="576" w:hanging="360"/>
      </w:pPr>
      <w:r>
        <w:t>Add or update relative links and stable anchors when other pages depend on the content.</w:t>
      </w:r>
    </w:p>
    <w:p>
      <w:pPr>
        <w:pStyle w:val="ListNumber"/>
        <w:ind w:left="576" w:hanging="360"/>
      </w:pPr>
      <w:r>
        <w:t>Keep branding changes in the stylesheet, logo asset, or publishing configuration.</w:t>
      </w:r>
    </w:p>
    <w:p>
      <w:pPr>
        <w:pStyle w:val="Heading3"/>
      </w:pPr>
      <w:r>
        <w:t>Check the Change Locally</w:t>
      </w:r>
    </w:p>
    <w:p>
      <w:pPr>
        <w:pStyle w:val="ListNumber"/>
        <w:numPr>
          <w:ilvl w:val="0"/>
          <w:numId w:val="18"/>
        </w:numPr>
        <w:ind w:left="576" w:hanging="360"/>
      </w:pPr>
      <w:r>
        <w:t xml:space="preserve">Run </w:t>
      </w:r>
      <w:r>
        <w:rPr>
          <w:rFonts w:ascii="DejaVu Sans Mono" w:hAnsi="DejaVu Sans Mono" w:eastAsia="DejaVu Sans Mono"/>
        </w:rPr>
        <w:t>python scripts/validate_docs.py</w:t>
      </w:r>
      <w:r>
        <w:t>.</w:t>
      </w:r>
    </w:p>
    <w:p>
      <w:pPr>
        <w:pStyle w:val="ListNumber"/>
        <w:ind w:left="576" w:hanging="360"/>
      </w:pPr>
      <w:r>
        <w:t>Build or serve the Zensical site.</w:t>
      </w:r>
    </w:p>
    <w:p>
      <w:pPr>
        <w:pStyle w:val="ListNumber"/>
        <w:ind w:left="576" w:hanging="360"/>
      </w:pPr>
      <w:r>
        <w:t>Read the rendered page in context, not only the source diff.</w:t>
      </w:r>
    </w:p>
    <w:p>
      <w:pPr>
        <w:pStyle w:val="ListNumber"/>
        <w:ind w:left="576" w:hanging="360"/>
      </w:pPr>
      <w:r>
        <w:t>Regenerate Word and PDF when the change affects portable output.</w:t>
      </w:r>
    </w:p>
    <w:p>
      <w:pPr>
        <w:pStyle w:val="ListNumber"/>
        <w:ind w:left="576" w:hanging="360"/>
      </w:pPr>
      <w:r>
        <w:t>Complete editorial, accessibility, responsive, and generated-file review in proportion to the risk of the change.</w:t>
      </w:r>
    </w:p>
    <w:p>
      <w:pPr>
        <w:pStyle w:val="Heading3"/>
      </w:pPr>
      <w:r>
        <w:t>Review and Publish</w:t>
      </w:r>
    </w:p>
    <w:p>
      <w:pPr>
        <w:pStyle w:val="ListNumber"/>
        <w:numPr>
          <w:ilvl w:val="0"/>
          <w:numId w:val="19"/>
        </w:numPr>
        <w:ind w:left="576" w:hanging="360"/>
      </w:pPr>
      <w:r>
        <w:t>Commit only the intended source and configuration changes.</w:t>
      </w:r>
    </w:p>
    <w:p>
      <w:pPr>
        <w:pStyle w:val="ListNumber"/>
        <w:ind w:left="576" w:hanging="360"/>
      </w:pPr>
      <w:r>
        <w:t>Open a focused pull request that explains the reader need and the checks performed.</w:t>
      </w:r>
    </w:p>
    <w:p>
      <w:pPr>
        <w:pStyle w:val="ListNumber"/>
        <w:ind w:left="576" w:hanging="360"/>
      </w:pPr>
      <w:r>
        <w:t>Let CI repeat validation and generate review artifacts from a clean environment.</w:t>
      </w:r>
    </w:p>
    <w:p>
      <w:pPr>
        <w:pStyle w:val="ListNumber"/>
        <w:ind w:left="576" w:hanging="360"/>
      </w:pPr>
      <w:r>
        <w:t>Have the appropriate people review technical meaning, writing quality, accessibility, and presentation.</w:t>
      </w:r>
    </w:p>
    <w:p>
      <w:pPr>
        <w:pStyle w:val="ListNumber"/>
        <w:ind w:left="576" w:hanging="360"/>
      </w:pPr>
      <w:r>
        <w:t>Merge only after the automated gates and human review pass.</w:t>
      </w:r>
    </w:p>
    <w:p>
      <w:pPr>
        <w:pStyle w:val="ListNumber"/>
        <w:ind w:left="576" w:hanging="360"/>
      </w:pPr>
      <w:r>
        <w:t xml:space="preserve">Let the </w:t>
      </w:r>
      <w:r>
        <w:rPr>
          <w:rFonts w:ascii="DejaVu Sans Mono" w:hAnsi="DejaVu Sans Mono" w:eastAsia="DejaVu Sans Mono"/>
        </w:rPr>
        <w:t>main</w:t>
      </w:r>
      <w:r>
        <w:t>-branch workflow rebuild every output and deploy GitHub Pages.</w:t>
      </w:r>
    </w:p>
    <w:p>
      <w:r>
        <w:t>This creates a simple ownership boundary. People author and approve meaning. The repository automates validation, transformation, packaging, and deployment.</w:t>
      </w:r>
    </w:p>
    <w:p>
      <w:r>
        <w:br w:type="page"/>
      </w:r>
    </w:p>
    <w:p>
      <w:pPr>
        <w:pStyle w:val="Heading1"/>
      </w:pPr>
      <w:r>
        <w:t>Branding</w:t>
      </w:r>
    </w:p>
    <w:p>
      <w:r>
        <w:t>Branding belongs in the publishing layer. The source should still make sense as plain Markdown, in GitHub preview, in Word, and in a different web theme.</w:t>
      </w:r>
    </w:p>
    <w:p>
      <w:pPr>
        <w:pStyle w:val="Heading2"/>
      </w:pPr>
      <w:r>
        <w:t>Five-Minute Rebrand</w:t>
      </w:r>
    </w:p>
    <w:p>
      <w:pPr>
        <w:pStyle w:val="ListNumber"/>
        <w:numPr>
          <w:ilvl w:val="0"/>
          <w:numId w:val="20"/>
        </w:numPr>
        <w:ind w:left="576" w:hanging="360"/>
      </w:pPr>
      <w:r>
        <w:t xml:space="preserve">Open </w:t>
      </w:r>
      <w:r>
        <w:rPr>
          <w:rFonts w:ascii="DejaVu Sans Mono" w:hAnsi="DejaVu Sans Mono" w:eastAsia="DejaVu Sans Mono"/>
        </w:rPr>
        <w:t>docs/assets/stylesheets/brand-2026.css</w:t>
      </w:r>
      <w:r>
        <w:t>.</w:t>
      </w:r>
    </w:p>
    <w:p>
      <w:pPr>
        <w:pStyle w:val="ListNumber"/>
        <w:ind w:left="576" w:hanging="360"/>
      </w:pPr>
      <w:r>
        <w:t xml:space="preserve">Replace the values under </w:t>
      </w:r>
      <w:r>
        <w:rPr>
          <w:rFonts w:ascii="DejaVu Sans Mono" w:hAnsi="DejaVu Sans Mono" w:eastAsia="DejaVu Sans Mono"/>
        </w:rPr>
        <w:t>:root</w:t>
      </w:r>
      <w:r>
        <w:t xml:space="preserve"> for the primary, accent, surface, text, and focus colors.</w:t>
      </w:r>
    </w:p>
    <w:p>
      <w:pPr>
        <w:pStyle w:val="ListNumber"/>
        <w:ind w:left="576" w:hanging="360"/>
      </w:pPr>
      <w:r>
        <w:t xml:space="preserve">Replace </w:t>
      </w:r>
      <w:r>
        <w:rPr>
          <w:rFonts w:ascii="DejaVu Sans Mono" w:hAnsi="DejaVu Sans Mono" w:eastAsia="DejaVu Sans Mono"/>
        </w:rPr>
        <w:t>docs/assets/images/mark.svg</w:t>
      </w:r>
      <w:r>
        <w:t xml:space="preserve"> with a square logo that has a meaningful filename.</w:t>
      </w:r>
    </w:p>
    <w:p>
      <w:pPr>
        <w:pStyle w:val="ListNumber"/>
        <w:ind w:left="576" w:hanging="360"/>
      </w:pPr>
      <w:r>
        <w:t xml:space="preserve">Update </w:t>
      </w:r>
      <w:r>
        <w:rPr>
          <w:rFonts w:ascii="DejaVu Sans Mono" w:hAnsi="DejaVu Sans Mono" w:eastAsia="DejaVu Sans Mono"/>
        </w:rPr>
        <w:t>site_name</w:t>
      </w:r>
      <w:r>
        <w:t xml:space="preserve">, </w:t>
      </w:r>
      <w:r>
        <w:rPr>
          <w:rFonts w:ascii="DejaVu Sans Mono" w:hAnsi="DejaVu Sans Mono" w:eastAsia="DejaVu Sans Mono"/>
        </w:rPr>
        <w:t>site_author</w:t>
      </w:r>
      <w:r>
        <w:t xml:space="preserve">, and </w:t>
      </w:r>
      <w:r>
        <w:rPr>
          <w:rFonts w:ascii="DejaVu Sans Mono" w:hAnsi="DejaVu Sans Mono" w:eastAsia="DejaVu Sans Mono"/>
        </w:rPr>
        <w:t>copyright</w:t>
      </w:r>
      <w:r>
        <w:t xml:space="preserve"> in </w:t>
      </w:r>
      <w:r>
        <w:rPr>
          <w:rFonts w:ascii="DejaVu Sans Mono" w:hAnsi="DejaVu Sans Mono" w:eastAsia="DejaVu Sans Mono"/>
        </w:rPr>
        <w:t>zensical.toml</w:t>
      </w:r>
      <w:r>
        <w:t>.</w:t>
      </w:r>
    </w:p>
    <w:p>
      <w:pPr>
        <w:pStyle w:val="ListNumber"/>
        <w:ind w:left="576" w:hanging="360"/>
      </w:pPr>
      <w:r>
        <w:t>Run the validator and a strict production build.</w:t>
      </w:r>
    </w:p>
    <w:p>
      <w:pPr>
        <w:pStyle w:val="ListNumber"/>
        <w:ind w:left="576" w:hanging="360"/>
      </w:pPr>
      <w:r>
        <w:t>Test the rendered site at the widths in the release checklist.</w:t>
      </w:r>
    </w:p>
    <w:p>
      <w:pPr>
        <w:pStyle w:val="Heading2"/>
      </w:pPr>
      <w:r>
        <w:t>Token Approach</w:t>
      </w:r>
    </w:p>
    <w:p>
      <w:r>
        <w:t xml:space="preserve">The stylesheet maps brand decisions to purpose-based tokens such as </w:t>
      </w:r>
      <w:r>
        <w:rPr>
          <w:rFonts w:ascii="DejaVu Sans Mono" w:hAnsi="DejaVu Sans Mono" w:eastAsia="DejaVu Sans Mono"/>
        </w:rPr>
        <w:t>--brand-primary</w:t>
      </w:r>
      <w:r>
        <w:t xml:space="preserve"> and </w:t>
      </w:r>
      <w:r>
        <w:rPr>
          <w:rFonts w:ascii="DejaVu Sans Mono" w:hAnsi="DejaVu Sans Mono" w:eastAsia="DejaVu Sans Mono"/>
        </w:rPr>
        <w:t>--brand-focus</w:t>
      </w:r>
      <w:r>
        <w:t>. Components use those tokens rather than repeating literal colors. This keeps a rebrand small, reviewable, and consistent.</w:t>
      </w:r>
    </w:p>
    <w:p>
      <w:pPr>
        <w:pStyle w:val="Heading2"/>
      </w:pPr>
      <w:r>
        <w:t>Content That Should Not Be Branded</w:t>
      </w:r>
    </w:p>
    <w:p>
      <w:r>
        <w:t>Do not embed organization names in reusable technical explanations, hard-code colors into diagrams without a legend, or use a logo as the only way to identify a page. Brand changes should not alter instructions, safety meaning, heading order, or link destinations.</w:t>
      </w:r>
    </w:p>
    <w:p>
      <w:r>
        <w:br w:type="page"/>
      </w:r>
    </w:p>
    <w:p>
      <w:pPr>
        <w:pStyle w:val="Heading1"/>
      </w:pPr>
      <w:r>
        <w:t>Publishing</w:t>
      </w:r>
    </w:p>
    <w:p>
      <w:r>
        <w:t>The repository treats publishing as a reproducible transformation of reviewed source.</w:t>
      </w:r>
    </w:p>
    <w:p>
      <w:pPr>
        <w:pStyle w:val="Heading2"/>
      </w:pPr>
      <w:r>
        <w:t>HTML with Zensical</w:t>
      </w:r>
    </w:p>
    <w:p>
      <w:r>
        <w:t>Zensical is the preferred renderer because it supports explicit navigation, a searchable static site, and a modern responsive theme. The checked-in configuration keeps the local preview and CI build aligned.</w:t>
      </w:r>
    </w:p>
    <w:p>
      <w:pPr>
        <w:pStyle w:val="Code"/>
      </w:pPr>
      <w:r>
        <w:t>zensical build --strict</w:t>
      </w:r>
    </w:p>
    <w:p>
      <w:r>
        <w:t>Version 0.0.23 currently warns that strict mode is unsupported. The command is retained for forward compatibility, but the independent documentation validator—not that flag—is the required link, anchor, structure, and navigation gate.</w:t>
      </w:r>
    </w:p>
    <w:p>
      <w:pPr>
        <w:pStyle w:val="Heading2"/>
      </w:pPr>
      <w:r>
        <w:t>Word and PDF</w:t>
      </w:r>
    </w:p>
    <w:p>
      <w:r>
        <w:t xml:space="preserve">The export script reads the explicit navigation list so portable outputs follow the same order as the site. It applies a restrained document style, real heading levels, descriptive link text, and a running footer with dynamic </w:t>
      </w:r>
      <w:r>
        <w:rPr>
          <w:b/>
        </w:rPr>
        <w:t>Page X of Y</w:t>
      </w:r>
      <w:r>
        <w:t xml:space="preserve"> fields. LibreOffice preserves those page numbers when it creates the PDF.</w:t>
      </w:r>
    </w:p>
    <w:p>
      <w:pPr>
        <w:pStyle w:val="Code"/>
      </w:pPr>
      <w:r>
        <w:t>python scripts/export_handbook.py</w:t>
      </w:r>
    </w:p>
    <w:p>
      <w:r>
        <w:t>CI uses LibreOffice to convert the generated Word file to PDF. Both files are checked for existence and plausible size before publication.</w:t>
      </w:r>
    </w:p>
    <w:p>
      <w:r>
        <w:t>The website, Word handbook, and PDF handbook are three presentations of the same reviewed Markdown source. Authors do not update any of them separately. After an approved Markdown change is merged, the workflow rebuilds the site, generates Word, converts Word to PDF, verifies all three outputs, and publishes them together.</w:t>
      </w:r>
    </w:p>
    <w:p>
      <w:r>
        <w:rPr>
          <w:color w:val="075E54"/>
          <w:u w:val="single"/>
        </w:rPr>
        <w:t>Download the Word handbook</w:t>
      </w:r>
    </w:p>
    <w:p>
      <w:r>
        <w:rPr>
          <w:color w:val="075E54"/>
          <w:u w:val="single"/>
        </w:rPr>
        <w:t>Download the PDF handbook</w:t>
      </w:r>
    </w:p>
    <w:p>
      <w:pPr>
        <w:pStyle w:val="Heading2"/>
      </w:pPr>
      <w:r>
        <w:t>Renderer-Independent Gates</w:t>
      </w:r>
    </w:p>
    <w:p>
      <w:r>
        <w:t>A replacement renderer is acceptable only if the release continues to verify navigation completeness, target files, anchors, accessible structure, responsive layout, and portable outputs. Tool choice can evolve. The acceptance criteria stay explicit.</w:t>
      </w:r>
    </w:p>
    <w:p>
      <w:r>
        <w:br w:type="page"/>
      </w:r>
    </w:p>
    <w:p>
      <w:pPr>
        <w:pStyle w:val="Heading1"/>
      </w:pPr>
      <w:r>
        <w:t>Writing Guide</w:t>
      </w:r>
    </w:p>
    <w:p>
      <w:r>
        <w:t>Write for the person completing a task, then make the implementation easy to review.</w:t>
      </w:r>
    </w:p>
    <w:p>
      <w:pPr>
        <w:pStyle w:val="Heading2"/>
      </w:pPr>
      <w:r>
        <w:t>Structure</w:t>
      </w:r>
    </w:p>
    <w:p>
      <w:pPr>
        <w:pStyle w:val="ListBullet"/>
      </w:pPr>
      <w:r>
        <w:t>Use one level-one heading per page.</w:t>
      </w:r>
    </w:p>
    <w:p>
      <w:pPr>
        <w:pStyle w:val="ListBullet"/>
      </w:pPr>
      <w:r>
        <w:t>Keep heading levels sequential. Do not skip from level two to level four.</w:t>
      </w:r>
    </w:p>
    <w:p>
      <w:pPr>
        <w:pStyle w:val="ListBullet"/>
      </w:pPr>
      <w:r>
        <w:t>Begin procedures with the reader's goal and prerequisites.</w:t>
      </w:r>
    </w:p>
    <w:p>
      <w:pPr>
        <w:pStyle w:val="ListBullet"/>
      </w:pPr>
      <w:r>
        <w:t>Use numbered lists for sequences and bullets for unordered choices.</w:t>
      </w:r>
    </w:p>
    <w:p>
      <w:pPr>
        <w:pStyle w:val="ListBullet"/>
      </w:pPr>
      <w:r>
        <w:t>Put reusable, high-value targets behind deliberate lowercase anchors.</w:t>
      </w:r>
    </w:p>
    <w:p>
      <w:pPr>
        <w:pStyle w:val="Heading2"/>
      </w:pPr>
      <w:r>
        <w:t>Language</w:t>
      </w:r>
    </w:p>
    <w:p>
      <w:pPr>
        <w:pStyle w:val="ListBullet"/>
      </w:pPr>
      <w:r>
        <w:t xml:space="preserve">Prefer direct verbs: </w:t>
      </w:r>
      <w:r>
        <w:rPr>
          <w:b/>
        </w:rPr>
        <w:t>Select Save</w:t>
      </w:r>
      <w:r>
        <w:t xml:space="preserve">, not </w:t>
      </w:r>
      <w:r>
        <w:rPr>
          <w:b/>
        </w:rPr>
        <w:t>The Save button should be selected</w:t>
      </w:r>
      <w:r>
        <w:t>.</w:t>
      </w:r>
    </w:p>
    <w:p>
      <w:pPr>
        <w:pStyle w:val="ListBullet"/>
      </w:pPr>
      <w:r>
        <w:t>State expected results after important steps.</w:t>
      </w:r>
    </w:p>
    <w:p>
      <w:pPr>
        <w:pStyle w:val="ListBullet"/>
      </w:pPr>
      <w:r>
        <w:t>Use consistent terms for components and states.</w:t>
      </w:r>
    </w:p>
    <w:p>
      <w:pPr>
        <w:pStyle w:val="ListBullet"/>
      </w:pPr>
      <w:r>
        <w:t>Avoid “click here,” “read more,” and other links that lose meaning out of context.</w:t>
      </w:r>
    </w:p>
    <w:p>
      <w:pPr>
        <w:pStyle w:val="ListBullet"/>
      </w:pPr>
      <w:r>
        <w:t>Label fictional values and limitations honestly.</w:t>
      </w:r>
    </w:p>
    <w:p>
      <w:pPr>
        <w:pStyle w:val="Heading2"/>
      </w:pPr>
      <w:r>
        <w:t>Cross-References</w:t>
      </w:r>
    </w:p>
    <w:p>
      <w:r>
        <w:t>Use relative Markdown paths and include the stable fragment when linking to a section:</w:t>
      </w:r>
    </w:p>
    <w:p>
      <w:pPr>
        <w:pStyle w:val="Code"/>
      </w:pPr>
      <w:r>
        <w:t>[Decision states](../product/architecture.md#decision-states)</w:t>
      </w:r>
    </w:p>
    <w:p>
      <w:r>
        <w:t xml:space="preserve">Run </w:t>
      </w:r>
      <w:r>
        <w:rPr>
          <w:rFonts w:ascii="DejaVu Sans Mono" w:hAnsi="DejaVu Sans Mono" w:eastAsia="DejaVu Sans Mono"/>
        </w:rPr>
        <w:t>python scripts/validate_docs.py</w:t>
      </w:r>
      <w:r>
        <w:t xml:space="preserve"> before opening a pull request.</w:t>
      </w:r>
    </w:p>
    <w:p>
      <w:pPr>
        <w:pStyle w:val="Heading2"/>
      </w:pPr>
      <w:r>
        <w:t>Authoring Workflow</w:t>
      </w:r>
    </w:p>
    <w:p>
      <w:pPr>
        <w:pStyle w:val="ListNumber"/>
        <w:numPr>
          <w:ilvl w:val="0"/>
          <w:numId w:val="21"/>
        </w:numPr>
        <w:ind w:left="576" w:hanging="360"/>
      </w:pPr>
      <w:r>
        <w:t>Identify the reader goal and confirm the product information.</w:t>
      </w:r>
    </w:p>
    <w:p>
      <w:pPr>
        <w:pStyle w:val="ListNumber"/>
        <w:ind w:left="576" w:hanging="360"/>
      </w:pPr>
      <w:r>
        <w:t xml:space="preserve">Edit Markdown under </w:t>
      </w:r>
      <w:r>
        <w:rPr>
          <w:rFonts w:ascii="DejaVu Sans Mono" w:hAnsi="DejaVu Sans Mono" w:eastAsia="DejaVu Sans Mono"/>
        </w:rPr>
        <w:t>docs/</w:t>
      </w:r>
      <w:r>
        <w:t>. Treat the website, Word handbook, and PDF as generated outputs.</w:t>
      </w:r>
    </w:p>
    <w:p>
      <w:pPr>
        <w:pStyle w:val="ListNumber"/>
        <w:ind w:left="576" w:hanging="360"/>
      </w:pPr>
      <w:r>
        <w:t>Update explicit navigation when adding or moving a page.</w:t>
      </w:r>
    </w:p>
    <w:p>
      <w:pPr>
        <w:pStyle w:val="ListNumber"/>
        <w:ind w:left="576" w:hanging="360"/>
      </w:pPr>
      <w:r>
        <w:t>Add descriptive links, stable anchors, images, and examples needed by the topic.</w:t>
      </w:r>
    </w:p>
    <w:p>
      <w:pPr>
        <w:pStyle w:val="ListNumber"/>
        <w:ind w:left="576" w:hanging="360"/>
      </w:pPr>
      <w:r>
        <w:t>Run the independent validator and build a local Zensical preview.</w:t>
      </w:r>
    </w:p>
    <w:p>
      <w:pPr>
        <w:pStyle w:val="ListNumber"/>
        <w:ind w:left="576" w:hanging="360"/>
      </w:pPr>
      <w:r>
        <w:t>Review the rendered page for content, accessibility, navigation, and responsive behavior.</w:t>
      </w:r>
    </w:p>
    <w:p>
      <w:pPr>
        <w:pStyle w:val="ListNumber"/>
        <w:ind w:left="576" w:hanging="360"/>
      </w:pPr>
      <w:r>
        <w:t>Open a focused pull request and describe the checks performed.</w:t>
      </w:r>
    </w:p>
    <w:p>
      <w:pPr>
        <w:pStyle w:val="ListNumber"/>
        <w:ind w:left="576" w:hanging="360"/>
      </w:pPr>
      <w:r>
        <w:t>Address human review. Merge only after the required automated gates pass.</w:t>
      </w:r>
    </w:p>
    <w:p>
      <w:r>
        <w:t>After merge, GitHub Actions rebuilds the site and portable files. It then deploys the approved site to GitHub Pages.</w:t>
      </w:r>
    </w:p>
    <w:p>
      <w:r>
        <w:br w:type="page"/>
      </w:r>
    </w:p>
    <w:p>
      <w:pPr>
        <w:pStyle w:val="Heading1"/>
      </w:pPr>
      <w:r>
        <w:t>Accessibility</w:t>
      </w:r>
    </w:p>
    <w:p>
      <w:r>
        <w:t>Accessibility is part of authoring and release, not a cleanup pass after publication.</w:t>
      </w:r>
    </w:p>
    <w:p>
      <w:pPr>
        <w:pStyle w:val="Heading2"/>
      </w:pPr>
      <w:r>
        <w:t>Authoring Standard</w:t>
      </w:r>
    </w:p>
    <w:p>
      <w:pPr>
        <w:pStyle w:val="ListBullet"/>
      </w:pPr>
      <w:r>
        <w:t>Use a logical heading hierarchy and one clear page title.</w:t>
      </w:r>
    </w:p>
    <w:p>
      <w:pPr>
        <w:pStyle w:val="ListBullet"/>
      </w:pPr>
      <w:r>
        <w:t>Write descriptive link text that makes sense in a list of links.</w:t>
      </w:r>
    </w:p>
    <w:p>
      <w:pPr>
        <w:pStyle w:val="ListBullet"/>
      </w:pPr>
      <w:r>
        <w:t>Add concise alternative text to informative images. Hide decorative imagery from assistive technology in templates.</w:t>
      </w:r>
    </w:p>
    <w:p>
      <w:pPr>
        <w:pStyle w:val="ListBullet"/>
      </w:pPr>
      <w:r>
        <w:t>Give tables a header row and use tables only for genuinely tabular relationships.</w:t>
      </w:r>
    </w:p>
    <w:p>
      <w:pPr>
        <w:pStyle w:val="ListBullet"/>
      </w:pPr>
      <w:r>
        <w:t>Do not use color as the only way to communicate state.</w:t>
      </w:r>
    </w:p>
    <w:p>
      <w:pPr>
        <w:pStyle w:val="ListBullet"/>
      </w:pPr>
      <w:r>
        <w:t>Keep instructions independent of visual position such as “the green button on the right.”</w:t>
      </w:r>
    </w:p>
    <w:p>
      <w:pPr>
        <w:pStyle w:val="Heading2"/>
      </w:pPr>
      <w:r>
        <w:t>Rendered-Site Checks</w:t>
      </w:r>
    </w:p>
    <w:p>
      <w:pPr>
        <w:pStyle w:val="ListBullet"/>
      </w:pPr>
      <w:r>
        <w:t>Navigate every interactive control with a keyboard and confirm focus is visible.</w:t>
      </w:r>
    </w:p>
    <w:p>
      <w:pPr>
        <w:pStyle w:val="ListBullet"/>
      </w:pPr>
      <w:r>
        <w:t>Verify the skip link reaches the main content.</w:t>
      </w:r>
    </w:p>
    <w:p>
      <w:pPr>
        <w:pStyle w:val="ListBullet"/>
      </w:pPr>
      <w:r>
        <w:t>Confirm text and controls remain usable at 200% browser zoom.</w:t>
      </w:r>
    </w:p>
    <w:p>
      <w:pPr>
        <w:pStyle w:val="ListBullet"/>
      </w:pPr>
      <w:r>
        <w:t>Test at 320, 360, 390, 768, 1024, and 1440 CSS pixels.</w:t>
      </w:r>
    </w:p>
    <w:p>
      <w:pPr>
        <w:pStyle w:val="ListBullet"/>
      </w:pPr>
      <w:r>
        <w:t>At every width, confirm the page has no horizontal overflow.</w:t>
      </w:r>
    </w:p>
    <w:p>
      <w:pPr>
        <w:pStyle w:val="ListBullet"/>
      </w:pPr>
      <w:r>
        <w:t xml:space="preserve">Respect </w:t>
      </w:r>
      <w:r>
        <w:rPr>
          <w:rFonts w:ascii="DejaVu Sans Mono" w:hAnsi="DejaVu Sans Mono" w:eastAsia="DejaVu Sans Mono"/>
        </w:rPr>
        <w:t>prefers-reduced-motion</w:t>
      </w:r>
      <w:r>
        <w:t>. Do not require animation to understand content.</w:t>
      </w:r>
    </w:p>
    <w:p>
      <w:pPr>
        <w:pStyle w:val="Heading2"/>
      </w:pPr>
      <w:r>
        <w:t>Portable-Output Checks</w:t>
      </w:r>
    </w:p>
    <w:p>
      <w:r>
        <w:t>Inspect every generated Word and PDF page for clipped text, broken tables, poor page breaks, missing glyphs, and unclear link text. Confirm Word uses real heading styles so readers can navigate by structure.</w:t>
      </w:r>
    </w:p>
    <w:p>
      <w:r>
        <w:br w:type="page"/>
      </w:r>
    </w:p>
    <w:p>
      <w:pPr>
        <w:pStyle w:val="Heading1"/>
      </w:pPr>
      <w:r>
        <w:t>Release Checklist</w:t>
      </w:r>
    </w:p>
    <w:p>
      <w:pPr>
        <w:pStyle w:val="Heading2"/>
      </w:pPr>
      <w:r>
        <w:t>Automated Gates</w:t>
      </w:r>
    </w:p>
    <w:p>
      <w:pPr>
        <w:pStyle w:val="ListBullet"/>
      </w:pPr>
      <w:r>
        <w:rPr>
          <w:color w:val="075E54"/>
          <w:u w:val="single"/>
        </w:rPr>
        <w:t>[ ] The independent documentation validator passes.</w:t>
      </w:r>
    </w:p>
    <w:p>
      <w:pPr>
        <w:pStyle w:val="ListBullet"/>
      </w:pPr>
      <w:r>
        <w:rPr>
          <w:color w:val="075E54"/>
          <w:u w:val="single"/>
        </w:rPr>
        <w:t xml:space="preserve">[ ] </w:t>
      </w:r>
      <w:r>
        <w:rPr>
          <w:rFonts w:ascii="DejaVu Sans Mono" w:hAnsi="DejaVu Sans Mono" w:eastAsia="DejaVu Sans Mono"/>
        </w:rPr>
        <w:t>zensical build --strict</w:t>
      </w:r>
      <w:r>
        <w:t xml:space="preserve"> succeeds.</w:t>
      </w:r>
    </w:p>
    <w:p>
      <w:pPr>
        <w:pStyle w:val="ListBullet"/>
      </w:pPr>
      <w:r>
        <w:rPr>
          <w:color w:val="075E54"/>
          <w:u w:val="single"/>
        </w:rPr>
        <w:t>[ ] Every maintained page is present in explicit navigation.</w:t>
      </w:r>
    </w:p>
    <w:p>
      <w:pPr>
        <w:pStyle w:val="ListBullet"/>
      </w:pPr>
      <w:r>
        <w:rPr>
          <w:color w:val="075E54"/>
          <w:u w:val="single"/>
        </w:rPr>
        <w:t>[ ] Internal files and anchors resolve.</w:t>
      </w:r>
    </w:p>
    <w:p>
      <w:pPr>
        <w:pStyle w:val="ListBullet"/>
      </w:pPr>
      <w:r>
        <w:rPr>
          <w:color w:val="075E54"/>
          <w:u w:val="single"/>
        </w:rPr>
        <w:t>[ ] Word and PDF outputs are generated and pass artifact checks.</w:t>
      </w:r>
    </w:p>
    <w:p>
      <w:pPr>
        <w:pStyle w:val="Heading2"/>
      </w:pPr>
      <w:r>
        <w:t>Editorial Review</w:t>
      </w:r>
    </w:p>
    <w:p>
      <w:pPr>
        <w:pStyle w:val="ListBullet"/>
      </w:pPr>
      <w:r>
        <w:rPr>
          <w:color w:val="075E54"/>
          <w:u w:val="single"/>
        </w:rPr>
        <w:t>[ ] The change answers a reader goal and states expected results.</w:t>
      </w:r>
    </w:p>
    <w:p>
      <w:pPr>
        <w:pStyle w:val="ListBullet"/>
      </w:pPr>
      <w:r>
        <w:rPr>
          <w:color w:val="075E54"/>
          <w:u w:val="single"/>
        </w:rPr>
        <w:t>[ ] Terms, labels, units, and cross-references are consistent.</w:t>
      </w:r>
    </w:p>
    <w:p>
      <w:pPr>
        <w:pStyle w:val="ListBullet"/>
      </w:pPr>
      <w:r>
        <w:rPr>
          <w:color w:val="075E54"/>
          <w:u w:val="single"/>
        </w:rPr>
        <w:t>[ ] No confidential, customer, proprietary, export-controlled, or classified information is present.</w:t>
      </w:r>
    </w:p>
    <w:p>
      <w:pPr>
        <w:pStyle w:val="ListBullet"/>
      </w:pPr>
      <w:r>
        <w:rPr>
          <w:color w:val="075E54"/>
          <w:u w:val="single"/>
        </w:rPr>
        <w:t>[ ] Fictional values and limitations are identified.</w:t>
      </w:r>
    </w:p>
    <w:p>
      <w:pPr>
        <w:pStyle w:val="Heading2"/>
      </w:pPr>
      <w:r>
        <w:t>Accessibility and Responsive Review</w:t>
      </w:r>
    </w:p>
    <w:p>
      <w:pPr>
        <w:pStyle w:val="ListBullet"/>
      </w:pPr>
      <w:r>
        <w:rPr>
          <w:color w:val="075E54"/>
          <w:u w:val="single"/>
        </w:rPr>
        <w:t>[ ] Heading order and landmark structure are logical.</w:t>
      </w:r>
    </w:p>
    <w:p>
      <w:pPr>
        <w:pStyle w:val="ListBullet"/>
      </w:pPr>
      <w:r>
        <w:rPr>
          <w:color w:val="075E54"/>
          <w:u w:val="single"/>
        </w:rPr>
        <w:t>[ ] Keyboard focus is visible and the skip link works.</w:t>
      </w:r>
    </w:p>
    <w:p>
      <w:pPr>
        <w:pStyle w:val="ListBullet"/>
      </w:pPr>
      <w:r>
        <w:rPr>
          <w:color w:val="075E54"/>
          <w:u w:val="single"/>
        </w:rPr>
        <w:t>[ ] Text remains usable at 200% zoom.</w:t>
      </w:r>
    </w:p>
    <w:p>
      <w:pPr>
        <w:pStyle w:val="ListBullet"/>
      </w:pPr>
      <w:r>
        <w:rPr>
          <w:color w:val="075E54"/>
          <w:u w:val="single"/>
        </w:rPr>
        <w:t>[ ] Pages have no horizontal overflow at 320, 360, 390, 768, 1024, and 1440 CSS pixels.</w:t>
      </w:r>
    </w:p>
    <w:p>
      <w:pPr>
        <w:pStyle w:val="ListBullet"/>
      </w:pPr>
      <w:r>
        <w:rPr>
          <w:color w:val="075E54"/>
          <w:u w:val="single"/>
        </w:rPr>
        <w:t>[ ] Long labels, buttons, navigation, email addresses, and graphics wrap or crop safely.</w:t>
      </w:r>
    </w:p>
    <w:p>
      <w:pPr>
        <w:pStyle w:val="ListBullet"/>
      </w:pPr>
      <w:r>
        <w:rPr>
          <w:color w:val="075E54"/>
          <w:u w:val="single"/>
        </w:rPr>
        <w:t>[ ] Motion is reduced when the operating-system preference requests it.</w:t>
      </w:r>
    </w:p>
    <w:p>
      <w:pPr>
        <w:pStyle w:val="Heading2"/>
      </w:pPr>
      <w:r>
        <w:t>Generated-File Review</w:t>
      </w:r>
    </w:p>
    <w:p>
      <w:pPr>
        <w:pStyle w:val="ListBullet"/>
      </w:pPr>
      <w:r>
        <w:rPr>
          <w:color w:val="075E54"/>
          <w:u w:val="single"/>
        </w:rPr>
        <w:t>[ ] Every Word and PDF page has been visually inspected.</w:t>
      </w:r>
    </w:p>
    <w:p>
      <w:pPr>
        <w:pStyle w:val="ListBullet"/>
      </w:pPr>
      <w:r>
        <w:rPr>
          <w:color w:val="075E54"/>
          <w:u w:val="single"/>
        </w:rPr>
        <w:t>[ ] Headings, lists, tables, links, headers, and footers render correctly.</w:t>
      </w:r>
    </w:p>
    <w:p>
      <w:pPr>
        <w:pStyle w:val="ListBullet"/>
      </w:pPr>
      <w:r>
        <w:rPr>
          <w:color w:val="075E54"/>
          <w:u w:val="single"/>
        </w:rPr>
        <w:t>[ ] File names, document properties, and visible content are suitable for public release.</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Greenhouse Sentinel · Portfolio demonstration · Katie Kearns · 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Carlito" w:hAnsi="Carlito" w:eastAsia="Carlito"/>
      <w:color w:val="1630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rlito" w:hAnsi="Carlito" w:eastAsia="Carlito"/>
      <w:color w:val="16302B"/>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52" w:lineRule="auto"/>
      <w:outlineLvl w:val="0"/>
    </w:pPr>
    <w:rPr>
      <w:rFonts w:asciiTheme="majorHAnsi" w:eastAsiaTheme="majorEastAsia" w:hAnsiTheme="majorHAnsi" w:cstheme="majorBidi" w:ascii="Carlito" w:hAnsi="Carlito" w:eastAsia="Carlito"/>
      <w:b/>
      <w:bCs/>
      <w:color w:val="075E54"/>
      <w:sz w:val="42"/>
      <w:szCs w:val="28"/>
    </w:rPr>
  </w:style>
  <w:style w:type="paragraph" w:styleId="Heading2">
    <w:name w:val="heading 2"/>
    <w:basedOn w:val="Normal"/>
    <w:next w:val="Normal"/>
    <w:link w:val="Heading2Char"/>
    <w:uiPriority w:val="9"/>
    <w:unhideWhenUsed/>
    <w:qFormat/>
    <w:rsid w:val="00FC693F"/>
    <w:pPr>
      <w:keepNext/>
      <w:keepLines/>
      <w:spacing w:before="240" w:after="120" w:line="252" w:lineRule="auto"/>
      <w:outlineLvl w:val="1"/>
    </w:pPr>
    <w:rPr>
      <w:rFonts w:asciiTheme="majorHAnsi" w:eastAsiaTheme="majorEastAsia" w:hAnsiTheme="majorHAnsi" w:cstheme="majorBidi" w:ascii="Carlito" w:hAnsi="Carlito" w:eastAsia="Carlito"/>
      <w:b/>
      <w:bCs/>
      <w:color w:val="075E54"/>
      <w:sz w:val="30"/>
      <w:szCs w:val="26"/>
    </w:rPr>
  </w:style>
  <w:style w:type="paragraph" w:styleId="Heading3">
    <w:name w:val="heading 3"/>
    <w:basedOn w:val="Normal"/>
    <w:next w:val="Normal"/>
    <w:link w:val="Heading3Char"/>
    <w:uiPriority w:val="9"/>
    <w:unhideWhenUsed/>
    <w:qFormat/>
    <w:rsid w:val="00FC693F"/>
    <w:pPr>
      <w:keepNext/>
      <w:keepLines/>
      <w:spacing w:before="240" w:after="120" w:line="252" w:lineRule="auto"/>
      <w:outlineLvl w:val="2"/>
    </w:pPr>
    <w:rPr>
      <w:rFonts w:asciiTheme="majorHAnsi" w:eastAsiaTheme="majorEastAsia" w:hAnsiTheme="majorHAnsi" w:cstheme="majorBidi" w:ascii="Carlito" w:hAnsi="Carlito" w:eastAsia="Carlito"/>
      <w:b/>
      <w:bCs/>
      <w:color w:val="075E5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52" w:lineRule="auto" w:before="240"/>
      <w:contextualSpacing/>
    </w:pPr>
    <w:rPr>
      <w:rFonts w:asciiTheme="majorHAnsi" w:eastAsiaTheme="majorEastAsia" w:hAnsiTheme="majorHAnsi" w:cstheme="majorBidi" w:ascii="Carlito" w:hAnsi="Carlito" w:eastAsia="Carlito"/>
      <w:b/>
      <w:color w:val="075E54"/>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76" w:lineRule="auto" w:after="40"/>
      <w:contextualSpacing/>
    </w:pPr>
    <w:rPr>
      <w:rFonts w:ascii="Carlito" w:hAnsi="Carlito" w:eastAsia="Carlito"/>
      <w:color w:val="16302B"/>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76" w:lineRule="auto" w:after="40"/>
      <w:contextualSpacing/>
    </w:pPr>
    <w:rPr>
      <w:rFonts w:ascii="Carlito" w:hAnsi="Carlito" w:eastAsia="Carlito"/>
      <w:color w:val="16302B"/>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after="40"/>
      <w:ind w:left="288"/>
    </w:pPr>
    <w:rPr>
      <w:rFonts w:ascii="DejaVu Sans Mono" w:hAnsi="DejaVu Sans Mono" w:eastAsia="DejaVu Sans Mono"/>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Greenhouse Sentinel Handbook</dc:title>
  <dc:subject>Public docs-as-code portfolio demonstration</dc:subject>
  <dc:creator>Katie Kearns</dc:creator>
  <cp:keywords/>
  <dc:description>generated by python-docx</dc:description>
  <cp:lastModifiedBy/>
  <cp:revision>1</cp:revision>
  <dcterms:created xsi:type="dcterms:W3CDTF">2013-12-23T23:15:00Z</dcterms:created>
  <dcterms:modified xsi:type="dcterms:W3CDTF">2013-12-23T23:15:00Z</dcterms:modified>
  <cp:category/>
</cp:coreProperties>
</file>