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r>
        <w:br w:type="page"/>
      </w:r>
    </w:p>
    <w:p>
      <w:r>
        <w:br w:type="page"/>
      </w:r>
    </w:p>
    <w:p>
      <w:pPr>
        <w:pStyle w:val="Heading1"/>
      </w:pPr>
      <w:r>
        <w:t>Greenhouse Sentinel</w:t>
      </w:r>
    </w:p>
    <w:p>
      <w:r>
        <w:rPr>
          <w:b/>
        </w:rPr>
        <w:t>A fictional product with real documentation engineering behind it.</w:t>
      </w:r>
    </w:p>
    <w:p>
      <w:r>
        <w:t>Greenhouse Sentinel is a small controller that watches three environmental signals and recommends a response before plants are stressed. This site documents the fictional controller and, just as importantly, the docs-as-code system that publishes this site.</w:t>
      </w:r>
    </w:p>
    <w:p>
      <w:r>
        <w:rPr>
          <w:color w:val="075E54"/>
          <w:u w:val="single"/>
        </w:rPr>
        <w:t>Start the product tour</w:t>
      </w:r>
      <w:r>
        <w:t>{ .md-button .md-button--primary }</w:t>
      </w:r>
    </w:p>
    <w:p>
      <w:r>
        <w:rPr>
          <w:color w:val="075E54"/>
          <w:u w:val="single"/>
        </w:rPr>
        <w:t>See how the repo works</w:t>
      </w:r>
      <w:r>
        <w:t>{ .md-button }</w:t>
      </w:r>
    </w:p>
    <w:p>
      <w:pPr>
        <w:pStyle w:val="Heading2"/>
      </w:pPr>
      <w:r>
        <w:t>One source, several useful outputs</w:t>
      </w:r>
    </w:p>
    <w:p>
      <w:r>
        <w:t>Authors write accessible Markdown. Automated checks verify navigation, internal links, anchors, and basic authoring rules. Zensical turns the reviewed source into this searchable site, and the export job creates Word and PDF versions for readers who need portable files.</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 xml:space="preserve">    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Explore both layers</w:t>
      </w:r>
    </w:p>
    <w:p>
      <w:pPr>
        <w:pStyle w:val="ListBullet"/>
      </w:pPr>
      <w:r>
        <w:t xml:space="preserve">Use the </w:t>
      </w:r>
      <w:r>
        <w:rPr>
          <w:color w:val="075E54"/>
          <w:u w:val="single"/>
        </w:rPr>
        <w:t>quick start</w:t>
      </w:r>
      <w:r>
        <w:t xml:space="preserve"> and </w:t>
      </w:r>
      <w:r>
        <w:rPr>
          <w:color w:val="075E54"/>
          <w:u w:val="single"/>
        </w:rPr>
        <w:t>operating guide</w:t>
      </w:r>
      <w:r>
        <w:t xml:space="preserve"> as if you were evaluating product documentation.</w:t>
      </w:r>
    </w:p>
    <w:p>
      <w:pPr>
        <w:pStyle w:val="ListBullet"/>
      </w:pPr>
      <w:r>
        <w:t xml:space="preserve">Read </w:t>
      </w:r>
      <w:r>
        <w:rPr>
          <w:color w:val="075E54"/>
          <w:u w:val="single"/>
        </w:rPr>
        <w:t>How this repository works</w:t>
      </w:r>
      <w:r>
        <w:t xml:space="preserve"> to inspect the mechanics behind the site.</w:t>
      </w:r>
    </w:p>
    <w:p>
      <w:pPr>
        <w:pStyle w:val="ListBullet"/>
      </w:pPr>
      <w:r>
        <w:t xml:space="preserve">Review the </w:t>
      </w:r>
      <w:r>
        <w:rPr>
          <w:color w:val="075E54"/>
          <w:u w:val="single"/>
        </w:rPr>
        <w:t>accessibility standard</w:t>
      </w:r>
      <w:r>
        <w:t xml:space="preserve"> and </w:t>
      </w:r>
      <w:r>
        <w:rPr>
          <w:color w:val="075E54"/>
          <w:u w:val="single"/>
        </w:rPr>
        <w:t>release checklist</w:t>
      </w:r>
      <w:r>
        <w:t xml:space="preserve"> to see how quality becomes part of the workflow.</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pPr>
      <w:r>
        <w:t>Place the hub above the irrigation line and away from direct spray.</w:t>
      </w:r>
    </w:p>
    <w:p>
      <w:pPr>
        <w:pStyle w:val="ListNumber"/>
      </w:pPr>
      <w:r>
        <w:t>Connect both probes before applying power.</w:t>
      </w:r>
    </w:p>
    <w:p>
      <w:pPr>
        <w:pStyle w:val="ListNumber"/>
      </w:pPr>
      <w:r>
        <w:t xml:space="preserve">Join the temporary network named </w:t>
      </w:r>
      <w:r>
        <w:rPr>
          <w:rFonts w:ascii="Consolas" w:hAnsi="Consolas"/>
        </w:rPr>
        <w:t>sentinel-setup</w:t>
      </w:r>
      <w:r>
        <w:t>.</w:t>
      </w:r>
    </w:p>
    <w:p>
      <w:pPr>
        <w:pStyle w:val="ListNumber"/>
      </w:pPr>
      <w:r>
        <w:t xml:space="preserve">Open </w:t>
      </w:r>
      <w:r>
        <w:rPr>
          <w:rFonts w:ascii="Consolas" w:hAnsi="Consolas"/>
        </w:rPr>
        <w:t>http://sentinel.local</w:t>
      </w:r>
      <w:r>
        <w:t xml:space="preserve"> and choose the greenhouse network.</w:t>
      </w:r>
    </w:p>
    <w:p>
      <w:pPr>
        <w:pStyle w:val="ListNumber"/>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 xml:space="preserve">    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pPr>
      <w:r>
        <w:t>Confirm the dashboard timestamp is less than two minutes old.</w:t>
      </w:r>
    </w:p>
    <w:p>
      <w:pPr>
        <w:pStyle w:val="ListNumber"/>
      </w:pPr>
      <w:r>
        <w:t>Review the current state and its explanation.</w:t>
      </w:r>
    </w:p>
    <w:p>
      <w:pPr>
        <w:pStyle w:val="ListNumber"/>
      </w:pPr>
      <w:r>
        <w:t>Compare soil moisture across the three most recent samples.</w:t>
      </w:r>
    </w:p>
    <w:p>
      <w:pPr>
        <w:pStyle w:val="ListNumber"/>
      </w:pPr>
      <w:r>
        <w:t>Acknowledge any completed response.</w:t>
      </w:r>
    </w:p>
    <w:p>
      <w:pPr>
        <w:pStyle w:val="ListNumber"/>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Consolas" w:hAnsi="Consolas"/>
        </w:rPr>
        <w:t>Opened roof vent; temperature fell to 27 C within 12 minutes.</w:t>
      </w:r>
    </w:p>
    <w:p>
      <w:r>
        <w:t xml:space="preserve">Avoid: </w:t>
      </w:r>
      <w:r>
        <w:rPr>
          <w:rFonts w:ascii="Consolas" w:hAnsi="Consolas"/>
        </w:rPr>
        <w:t>Fixed.</w:t>
      </w:r>
    </w:p>
    <w:p>
      <w:r>
        <w:t xml:space="preserve">For the system behavior behind these states, see </w:t>
      </w:r>
      <w:r>
        <w:rPr>
          <w:color w:val="075E54"/>
          <w:u w:val="single"/>
        </w:rPr>
        <w:t>Decision states</w:t>
      </w:r>
      <w:r>
        <w:t>.</w:t>
      </w:r>
    </w:p>
    <w:p>
      <w:r>
        <w:t xml:space="preserve">    This source link points to </w:t>
      </w:r>
      <w:r>
        <w:rPr>
          <w:rFonts w:ascii="Consolas" w:hAnsi="Consolas"/>
        </w:rPr>
        <w:t>architecture.md#decision-states</w:t>
      </w:r>
      <w:r>
        <w:t xml:space="preserve">. The file path keeps the link useful in GitHub and other Markdown tools; Zensical rewrites it for the published site. The destination has an explicit </w:t>
      </w:r>
      <w:r>
        <w:rPr>
          <w:rFonts w:ascii="Consolas" w:hAnsi="Consolas"/>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c>
          <w:tcPr>
            <w:tcW w:type="dxa" w:w="3120"/>
            <w:shd w:fill="075E54"/>
          </w:tcPr>
          <w:p>
            <w:r>
              <w:rPr>
                <w:b/>
                <w:color w:val="FFFFFF"/>
              </w:rPr>
              <w:t>State</w:t>
            </w:r>
          </w:p>
        </w:tc>
        <w:tc>
          <w:tcPr>
            <w:tcW w:type="dxa" w:w="3120"/>
            <w:shd w:fill="075E54"/>
          </w:tcPr>
          <w:p>
            <w:r>
              <w:rPr>
                <w:b/>
                <w:color w:val="FFFFFF"/>
              </w:rPr>
              <w:t>Example condition</w:t>
            </w:r>
          </w:p>
        </w:tc>
        <w:tc>
          <w:tcPr>
            <w:tcW w:type="dxa" w:w="3120"/>
            <w:shd w:fill="075E54"/>
          </w:tcPr>
          <w:p>
            <w:r>
              <w:rPr>
                <w:b/>
                <w:color w:val="FFFFFF"/>
              </w:rPr>
              <w:t>Operator expectation</w:t>
            </w:r>
          </w:p>
        </w:tc>
      </w:tr>
      <w:tr>
        <w:tc>
          <w:tcPr>
            <w:tcW w:type="dxa" w:w="3120"/>
          </w:tcPr>
          <w:p>
            <w:r>
              <w:t>Normal</w:t>
            </w:r>
          </w:p>
        </w:tc>
        <w:tc>
          <w:tcPr>
            <w:tcW w:type="dxa" w:w="3120"/>
          </w:tcPr>
          <w:p>
            <w:r>
              <w:t>All readings are inside target ranges</w:t>
            </w:r>
          </w:p>
        </w:tc>
        <w:tc>
          <w:tcPr>
            <w:tcW w:type="dxa" w:w="3120"/>
          </w:tcPr>
          <w:p>
            <w:r>
              <w:t>Continue scheduled checks</w:t>
            </w:r>
          </w:p>
        </w:tc>
      </w:tr>
      <w:tr>
        <w:tc>
          <w:tcPr>
            <w:tcW w:type="dxa" w:w="3120"/>
          </w:tcPr>
          <w:p>
            <w:r>
              <w:t>Watch</w:t>
            </w:r>
          </w:p>
        </w:tc>
        <w:tc>
          <w:tcPr>
            <w:tcW w:type="dxa" w:w="3120"/>
          </w:tcPr>
          <w:p>
            <w:r>
              <w:t>One reading is near a threshold</w:t>
            </w:r>
          </w:p>
        </w:tc>
        <w:tc>
          <w:tcPr>
            <w:tcW w:type="dxa" w:w="3120"/>
          </w:tcPr>
          <w:p>
            <w:r>
              <w:t>Inspect within 30 minutes</w:t>
            </w:r>
          </w:p>
        </w:tc>
      </w:tr>
      <w:tr>
        <w:tc>
          <w:tcPr>
            <w:tcW w:type="dxa" w:w="3120"/>
          </w:tcPr>
          <w:p>
            <w:r>
              <w:t>Act</w:t>
            </w:r>
          </w:p>
        </w:tc>
        <w:tc>
          <w:tcPr>
            <w:tcW w:type="dxa" w:w="3120"/>
          </w:tcPr>
          <w:p>
            <w:r>
              <w:t>One reading exceeds a threshold</w:t>
            </w:r>
          </w:p>
        </w:tc>
        <w:tc>
          <w:tcPr>
            <w:tcW w:type="dxa" w:w="3120"/>
          </w:tcPr>
          <w:p>
            <w:r>
              <w:t>Follow the displayed response</w:t>
            </w:r>
          </w:p>
        </w:tc>
      </w:tr>
    </w:tbl>
    <w:p>
      <w:r>
        <w:t xml:space="preserve">    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pPr>
      <w:r>
        <w:t>Confirm the cable is fully seated and dry.</w:t>
      </w:r>
    </w:p>
    <w:p>
      <w:pPr>
        <w:pStyle w:val="ListNumber"/>
      </w:pPr>
      <w:r>
        <w:t>Check whether the dashboard timestamp continues to advance for other sensors.</w:t>
      </w:r>
    </w:p>
    <w:p>
      <w:pPr>
        <w:pStyle w:val="ListNumber"/>
      </w:pPr>
      <w:r>
        <w:t>Disconnect power, reconnect the sensor, and restore power.</w:t>
      </w:r>
    </w:p>
    <w:p>
      <w:pPr>
        <w:pStyle w:val="ListNumber"/>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Consolas" w:hAnsi="Consolas"/>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 xml:space="preserve">    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Consolas" w:hAnsi="Consolas"/>
        </w:rPr>
        <w:t>docs/</w:t>
      </w:r>
      <w:r>
        <w:t>. Product guides and repository guidance use the same lightweight syntax, review process, and validation rules. Page titles use one level-one heading; sections follow a logical hierarchy; links remain relative so the content can move between renderers.</w:t>
      </w:r>
    </w:p>
    <w:p>
      <w:pPr>
        <w:pStyle w:val="Heading2"/>
      </w:pPr>
      <w:r>
        <w:t>Control the information architecture</w:t>
      </w:r>
    </w:p>
    <w:p>
      <w:r>
        <w:rPr>
          <w:rFonts w:ascii="Consolas" w:hAnsi="Consolas"/>
        </w:rPr>
        <w:t>zensical.toml</w:t>
      </w:r>
      <w:r>
        <w:t xml:space="preserve"> contains an explicit </w:t>
      </w:r>
      <w:r>
        <w:rPr>
          <w:rFonts w:ascii="Consolas" w:hAnsi="Consolas"/>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Consolas" w:hAnsi="Consolas"/>
        </w:rPr>
        <w:t>decision-states</w:t>
      </w:r>
      <w:r>
        <w:t xml:space="preserve"> in the </w:t>
      </w:r>
      <w:r>
        <w:rPr>
          <w:color w:val="075E54"/>
          <w:u w:val="single"/>
        </w:rPr>
        <w:t>architecture guide</w:t>
      </w:r>
      <w:r>
        <w:t xml:space="preserve">. </w:t>
      </w:r>
      <w:r>
        <w:rPr>
          <w:rFonts w:ascii="Consolas" w:hAnsi="Consolas"/>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pPr>
        <w:pStyle w:val="ListBullet"/>
      </w:pPr>
      <w:r>
        <w:rPr>
          <w:b/>
        </w:rPr>
        <w:t>Cross-reference:</w:t>
      </w:r>
      <w:r>
        <w:t xml:space="preserve"> the operating guide links to </w:t>
      </w:r>
      <w:r>
        <w:rPr>
          <w:rFonts w:ascii="Consolas" w:hAnsi="Consolas"/>
        </w:rPr>
        <w:t>architecture.md#decision-states</w:t>
      </w:r>
      <w:r>
        <w:t>; the explicit anchor is stable and validated.</w:t>
      </w:r>
    </w:p>
    <w:p>
      <w:pPr>
        <w:pStyle w:val="ListBullet"/>
      </w:pPr>
      <w:r>
        <w:rPr>
          <w:b/>
        </w:rPr>
        <w:t>Descriptive link:</w:t>
      </w:r>
      <w:r>
        <w:t xml:space="preserve"> the quick start names the troubleshooting symptom, which stays meaningful outside its surrounding sentence.</w:t>
      </w:r>
    </w:p>
    <w:p>
      <w:pPr>
        <w:pStyle w:val="ListBullet"/>
      </w:pPr>
      <w:r>
        <w:rPr>
          <w:b/>
        </w:rPr>
        <w:t>Semantic table:</w:t>
      </w:r>
      <w:r>
        <w:t xml:space="preserve"> the architecture page uses a table only for repeated state, condition, and expectation fields; exports preserve the header relationship.</w:t>
      </w:r>
    </w:p>
    <w:p>
      <w:pPr>
        <w:pStyle w:val="ListBullet"/>
      </w:pPr>
      <w:r>
        <w:rPr>
          <w:b/>
        </w:rPr>
        <w:t>Admonition:</w:t>
      </w:r>
      <w:r>
        <w:t xml:space="preserve"> </w:t>
      </w:r>
      <w:r>
        <w:rPr>
          <w:rFonts w:ascii="Consolas" w:hAnsi="Consolas"/>
        </w:rPr>
        <w:t>!!! info</w:t>
      </w:r>
      <w:r>
        <w:t xml:space="preserve"> creates a visually distinct note while retaining a text label and readable source.</w:t>
      </w:r>
    </w:p>
    <w:p>
      <w:pPr>
        <w:pStyle w:val="ListBullet"/>
      </w:pPr>
      <w:r>
        <w:rPr>
          <w:b/>
        </w:rPr>
        <w:t>Code block:</w:t>
      </w:r>
      <w:r>
        <w:t xml:space="preserve"> fenced blocks preserve commands and sample output; the site adds copy support and the Word export applies a monospaced style.</w:t>
      </w:r>
    </w:p>
    <w:p>
      <w:pPr>
        <w:pStyle w:val="ListBullet"/>
      </w:pPr>
      <w:r>
        <w:rPr>
          <w:b/>
        </w:rPr>
        <w:t>Explicit navigation:</w:t>
      </w:r>
      <w:r>
        <w:t xml:space="preserve"> </w:t>
      </w:r>
      <w:r>
        <w:rPr>
          <w:rFonts w:ascii="Consolas" w:hAnsi="Consolas"/>
        </w:rPr>
        <w:t>zensical.toml</w:t>
      </w:r>
      <w:r>
        <w:t xml:space="preserve"> controls order and labels; the validator detects both missing targets and unlisted pages.</w:t>
      </w:r>
    </w:p>
    <w:p>
      <w:pPr>
        <w:pStyle w:val="ListBullet"/>
      </w:pPr>
      <w:r>
        <w:rPr>
          <w:b/>
        </w:rPr>
        <w:t>Brand tokens:</w:t>
      </w:r>
      <w:r>
        <w:t xml:space="preserve"> CSS variables change presentation globally while Markdown meaning and portable outputs remain intact.</w:t>
      </w:r>
    </w:p>
    <w:p>
      <w:pPr>
        <w:pStyle w:val="ListBullet"/>
      </w:pPr>
      <w:r>
        <w:rPr>
          <w:b/>
        </w:rPr>
        <w:t>Multi-format publishing:</w:t>
      </w:r>
      <w:r>
        <w:t xml:space="preserve"> the export script reads the same navigation order as the site, so the handbook is not a separately maintained copy.</w:t>
      </w:r>
    </w:p>
    <w:p>
      <w:pPr>
        <w:pStyle w:val="Heading2"/>
      </w:pPr>
      <w:r>
        <w:t>Separate content from presentation</w:t>
      </w:r>
    </w:p>
    <w:p>
      <w:r>
        <w:rPr>
          <w:rFonts w:ascii="Consolas" w:hAnsi="Consolas"/>
        </w:rPr>
        <w:t>docs/assets/stylesheets/brand.css</w:t>
      </w:r>
      <w:r>
        <w:t xml:space="preserve"> defines brand tokens and a small set of presentation rules. </w:t>
      </w:r>
      <w:r>
        <w:rPr>
          <w:rFonts w:ascii="Consolas" w:hAnsi="Consolas"/>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Consolas" w:hAnsi="Consolas"/>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 and</w:t>
      </w:r>
    </w:p>
    <w:p>
      <w:pPr>
        <w:pStyle w:val="ListBullet"/>
      </w:pPr>
      <w:r>
        <w:t>common inaccessible link labels are rejected.</w:t>
      </w:r>
    </w:p>
    <w:p>
      <w:r>
        <w:rPr>
          <w:rFonts w:ascii="Consolas" w:hAnsi="Consolas"/>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Consolas" w:hAnsi="Consolas"/>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Consolas" w:hAnsi="Consolas"/>
        </w:rPr>
        <w:t>scripts/export_handbook.py</w:t>
      </w:r>
      <w:r>
        <w:t xml:space="preserve"> assembles the same maintained Markdown into a styled Word handbook. CI converts that Word file to PDF.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Consolas" w:hAnsi="Consolas"/>
        </w:rPr>
        <w:t>site/</w:t>
      </w:r>
      <w:r>
        <w:t xml:space="preserve">, virtual environments, caches, and local QA files. Keep portfolio-ready files in </w:t>
      </w:r>
      <w:r>
        <w:rPr>
          <w:rFonts w:ascii="Consolas" w:hAnsi="Consolas"/>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Consolas" w:hAnsi="Consolas"/>
        </w:rPr>
        <w:t>nav</w:t>
      </w:r>
      <w:r>
        <w:t xml:space="preserve"> array in </w:t>
      </w:r>
      <w:r>
        <w:rPr>
          <w:rFonts w:ascii="Consolas" w:hAnsi="Consolas"/>
        </w:rPr>
        <w:t>zensical.toml</w:t>
      </w:r>
      <w:r>
        <w:t>.</w:t>
      </w:r>
    </w:p>
    <w:p>
      <w:pPr>
        <w:pStyle w:val="Heading2"/>
      </w:pPr>
      <w:r>
        <w:t>4. Configure the renderer</w:t>
      </w:r>
    </w:p>
    <w:p>
      <w:r>
        <w:t xml:space="preserve">Pin Zensical in </w:t>
      </w:r>
      <w:r>
        <w:rPr>
          <w:rFonts w:ascii="Consolas" w:hAnsi="Consolas"/>
        </w:rPr>
        <w:t>requirements.txt</w:t>
      </w:r>
      <w:r>
        <w:t xml:space="preserve">. Set the site identity, public and repository URLs, navigation, theme features, light and dark palettes, Markdown extensions, and custom stylesheet in </w:t>
      </w:r>
      <w:r>
        <w:rPr>
          <w:rFonts w:ascii="Consolas" w:hAnsi="Consolas"/>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pPr>
      <w:r>
        <w:rPr>
          <w:rFonts w:ascii="Consolas" w:hAnsi="Consolas"/>
        </w:rPr>
        <w:t>quickstart.md</w:t>
      </w:r>
      <w:r>
        <w:t xml:space="preserve"> establishes the first successful outcome.</w:t>
      </w:r>
    </w:p>
    <w:p>
      <w:pPr>
        <w:pStyle w:val="ListNumber"/>
      </w:pPr>
      <w:r>
        <w:rPr>
          <w:rFonts w:ascii="Consolas" w:hAnsi="Consolas"/>
        </w:rPr>
        <w:t>operations.md</w:t>
      </w:r>
      <w:r>
        <w:t xml:space="preserve"> documents a repeatable task.</w:t>
      </w:r>
    </w:p>
    <w:p>
      <w:pPr>
        <w:pStyle w:val="ListNumber"/>
      </w:pPr>
      <w:r>
        <w:rPr>
          <w:rFonts w:ascii="Consolas" w:hAnsi="Consolas"/>
        </w:rPr>
        <w:t>architecture.md</w:t>
      </w:r>
      <w:r>
        <w:t xml:space="preserve"> explains boundaries, components, rules, and retention.</w:t>
      </w:r>
    </w:p>
    <w:p>
      <w:pPr>
        <w:pStyle w:val="ListNumber"/>
      </w:pPr>
      <w:r>
        <w:rPr>
          <w:rFonts w:ascii="Consolas" w:hAnsi="Consolas"/>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Consolas" w:hAnsi="Consolas"/>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Consolas" w:hAnsi="Consolas"/>
        </w:rPr>
        <w:t>scripts/validate_docs.py</w:t>
      </w:r>
      <w:r>
        <w:t xml:space="preserve"> with Python standard-library dependencies. Read </w:t>
      </w:r>
      <w:r>
        <w:rPr>
          <w:rFonts w:ascii="Consolas" w:hAnsi="Consolas"/>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Consolas" w:hAnsi="Consolas"/>
        </w:rPr>
        <w:t>docs/assets/stylesheets/brand.css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Consolas" w:hAnsi="Consolas"/>
        </w:rPr>
        <w:t>scripts/export_handbook.py</w:t>
      </w:r>
      <w:r>
        <w:t>. Read the same navigation list as the site and process pages in that order. Map Markdown headings to real Word heading styles, sequences and bullets to list styles, code to a monospaced style, and Markdown tables to Word tables. Apply explicit page geometry, typography, spacing, colors, footer text, and public document properties.</w:t>
      </w:r>
    </w:p>
    <w:p>
      <w:pPr>
        <w:pStyle w:val="Heading2"/>
      </w:pPr>
      <w:r>
        <w:t>10. Generate PDF</w:t>
      </w:r>
    </w:p>
    <w:p>
      <w:r>
        <w:t>In CI, convert the Word handbook with headless LibreOffice. Check that Word and PDF files exist and are non-empty. Render every page to images for visual review; inspect for clipping, overlap, broken tables, awkward breaks, missing glyphs, headers, and footers.</w:t>
      </w:r>
    </w:p>
    <w:p>
      <w:pPr>
        <w:pStyle w:val="Heading2"/>
      </w:pPr>
      <w:r>
        <w:t>11. Automate the workflow</w:t>
      </w:r>
    </w:p>
    <w:p>
      <w:r>
        <w:t xml:space="preserve">Create </w:t>
      </w:r>
      <w:r>
        <w:rPr>
          <w:rFonts w:ascii="Consolas" w:hAnsi="Consolas"/>
        </w:rPr>
        <w:t>.github/workflows/docs.yml</w:t>
      </w:r>
      <w:r>
        <w:t xml:space="preserve"> for pushes, pull requests, and manual runs. The job checks out the repo, installs pinned dependencies, runs independent validation, requests a strict Zensical build, generates Word and PDF, checks artifacts, and uploads the site plus portable files for review.</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Consolas" w:hAnsi="Consolas"/>
        </w:rPr>
        <w:t>site/</w:t>
      </w:r>
      <w:r>
        <w:t xml:space="preserve">. Test at 320, 360, 390, 768, 1024, and 1440 CSS pixels. At every width, verify </w:t>
      </w:r>
      <w:r>
        <w:rPr>
          <w:rFonts w:ascii="Consolas" w:hAnsi="Consolas"/>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Consolas" w:hAnsi="Consolas"/>
        </w:rPr>
        <w:t>main</w:t>
      </w:r>
      <w:r>
        <w:t xml:space="preserve"> as the default branch, commit the verified files, create a public repository named </w:t>
      </w:r>
      <w:r>
        <w:rPr>
          <w:rFonts w:ascii="Consolas" w:hAnsi="Consolas"/>
        </w:rPr>
        <w:t>greenhouse-sentinel-docs</w:t>
      </w:r>
      <w:r>
        <w:t xml:space="preserve">, and push only this folder. Require the documentation workflow before merge when account settings allow it. Optionally deploy </w:t>
      </w:r>
      <w:r>
        <w:rPr>
          <w:rFonts w:ascii="Consolas" w:hAnsi="Consolas"/>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For every change: edit the isolated source or presentation layer, add new pages to navigation, validate, build, regenerate portable outputs, complete proportional editorial/accessibility/responsive QA, open a focused pull request, and merge only after CI and review pass.</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pPr>
      <w:r>
        <w:t xml:space="preserve">Open </w:t>
      </w:r>
      <w:r>
        <w:rPr>
          <w:rFonts w:ascii="Consolas" w:hAnsi="Consolas"/>
        </w:rPr>
        <w:t>docs/assets/stylesheets/brand.css</w:t>
      </w:r>
      <w:r>
        <w:t>.</w:t>
      </w:r>
    </w:p>
    <w:p>
      <w:pPr>
        <w:pStyle w:val="ListNumber"/>
      </w:pPr>
      <w:r>
        <w:t xml:space="preserve">Replace the values under </w:t>
      </w:r>
      <w:r>
        <w:rPr>
          <w:rFonts w:ascii="Consolas" w:hAnsi="Consolas"/>
        </w:rPr>
        <w:t>:root</w:t>
      </w:r>
      <w:r>
        <w:t xml:space="preserve"> for the primary, accent, surface, text, and focus colors.</w:t>
      </w:r>
    </w:p>
    <w:p>
      <w:pPr>
        <w:pStyle w:val="ListNumber"/>
      </w:pPr>
      <w:r>
        <w:t xml:space="preserve">Replace </w:t>
      </w:r>
      <w:r>
        <w:rPr>
          <w:rFonts w:ascii="Consolas" w:hAnsi="Consolas"/>
        </w:rPr>
        <w:t>docs/assets/images/mark.svg</w:t>
      </w:r>
      <w:r>
        <w:t xml:space="preserve"> with a square logo that has a meaningful filename.</w:t>
      </w:r>
    </w:p>
    <w:p>
      <w:pPr>
        <w:pStyle w:val="ListNumber"/>
      </w:pPr>
      <w:r>
        <w:t xml:space="preserve">Update </w:t>
      </w:r>
      <w:r>
        <w:rPr>
          <w:rFonts w:ascii="Consolas" w:hAnsi="Consolas"/>
        </w:rPr>
        <w:t>site_name</w:t>
      </w:r>
      <w:r>
        <w:t xml:space="preserve">, </w:t>
      </w:r>
      <w:r>
        <w:rPr>
          <w:rFonts w:ascii="Consolas" w:hAnsi="Consolas"/>
        </w:rPr>
        <w:t>site_author</w:t>
      </w:r>
      <w:r>
        <w:t xml:space="preserve">, and </w:t>
      </w:r>
      <w:r>
        <w:rPr>
          <w:rFonts w:ascii="Consolas" w:hAnsi="Consolas"/>
        </w:rPr>
        <w:t>copyright</w:t>
      </w:r>
      <w:r>
        <w:t xml:space="preserve"> in </w:t>
      </w:r>
      <w:r>
        <w:rPr>
          <w:rFonts w:ascii="Consolas" w:hAnsi="Consolas"/>
        </w:rPr>
        <w:t>zensical.toml</w:t>
      </w:r>
      <w:r>
        <w:t>.</w:t>
      </w:r>
    </w:p>
    <w:p>
      <w:pPr>
        <w:pStyle w:val="ListNumber"/>
      </w:pPr>
      <w:r>
        <w:t>Run the validator and a strict production build.</w:t>
      </w:r>
    </w:p>
    <w:p>
      <w:pPr>
        <w:pStyle w:val="ListNumber"/>
      </w:pPr>
      <w:r>
        <w:t>Test the rendered site at the widths in the release checklist.</w:t>
      </w:r>
    </w:p>
    <w:p>
      <w:pPr>
        <w:pStyle w:val="Heading2"/>
      </w:pPr>
      <w:r>
        <w:t>Token approach</w:t>
      </w:r>
    </w:p>
    <w:p>
      <w:r>
        <w:t xml:space="preserve">The stylesheet maps brand decisions to purpose-based tokens such as </w:t>
      </w:r>
      <w:r>
        <w:rPr>
          <w:rFonts w:ascii="Consolas" w:hAnsi="Consolas"/>
        </w:rPr>
        <w:t>--brand-primary</w:t>
      </w:r>
      <w:r>
        <w:t xml:space="preserve"> and </w:t>
      </w:r>
      <w:r>
        <w:rPr>
          <w:rFonts w:ascii="Consolas" w:hAnsi="Consolas"/>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The export script reads the explicit navigation list so portable outputs follow the same order as the site. It applies a restrained document style, real heading levels, a running footer, and link text that remains understandable outside the site.</w:t>
      </w:r>
    </w:p>
    <w:p>
      <w:pPr>
        <w:pStyle w:val="Code"/>
      </w:pPr>
      <w:r>
        <w:t>python scripts/export_handbook.py</w:t>
      </w:r>
    </w:p>
    <w:p>
      <w:r>
        <w:t>CI uses LibreOffice to convert the generated Word file to PDF. Both files are checked for existence and plausible size before they are uploaded as build artifacts.</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Consolas" w:hAnsi="Consolas"/>
        </w:rPr>
        <w:t>python scripts/validate_docs.py</w:t>
      </w:r>
      <w:r>
        <w:t xml:space="preserve"> before opening a pull request.</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Consolas" w:hAnsi="Consolas"/>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Consolas" w:hAnsi="Consolas"/>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Greenhouse Sentinel · Portfolio demonstration · Katie Kearns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