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80"/>
      </w:pPr>
    </w:p>
    <w:p>
      <w:pPr>
        <w:spacing w:after="240"/>
        <w:jc w:val="center"/>
      </w:pPr>
      <w:r>
        <w:rPr>
          <w:b/>
          <w:color w:val="2F7D67"/>
          <w:sz w:val="24"/>
        </w:rPr>
        <w:t>SIGNARA</w:t>
      </w:r>
    </w:p>
    <w:p>
      <w:pPr>
        <w:spacing w:after="160"/>
        <w:jc w:val="center"/>
      </w:pPr>
      <w:r>
        <w:rPr>
          <w:b/>
          <w:color w:val="17324D"/>
          <w:sz w:val="56"/>
        </w:rPr>
        <w:t>Tres mejoras para evolucionar de prototipo a traductor</w:t>
      </w:r>
    </w:p>
    <w:p>
      <w:pPr>
        <w:spacing w:after="640"/>
        <w:jc w:val="center"/>
      </w:pPr>
      <w:r>
        <w:rPr>
          <w:color w:val="2E74B5"/>
          <w:sz w:val="30"/>
        </w:rPr>
        <w:t>Hoja de ruta técnica, lingüística y de producto</w:t>
      </w:r>
    </w:p>
    <w:tbl>
      <w:tblPr>
        <w:tblW w:type="auto" w:w="0"/>
        <w:tblLayout w:type="fixed"/>
        <w:tblLook w:firstColumn="1" w:firstRow="1" w:lastColumn="0" w:lastRow="0" w:noHBand="0" w:noVBand="1" w:val="04A0"/>
      </w:tblPr>
      <w:tblGrid>
        <w:gridCol w:w="9360"/>
      </w:tblGrid>
      <w:tr>
        <w:tc>
          <w:tcPr>
            <w:tcW w:type="dxa" w:w="9360"/>
            <w:shd w:fill="EAF5F1"/>
            <w:tcMar>
              <w:top w:w="120" w:type="dxa"/>
              <w:start w:w="160" w:type="dxa"/>
              <w:bottom w:w="120" w:type="dxa"/>
              <w:end w:w="160" w:type="dxa"/>
            </w:tcMar>
          </w:tcPr>
          <w:p>
            <w:pPr>
              <w:spacing w:after="0" w:line="276" w:lineRule="auto"/>
            </w:pPr>
            <w:r>
              <w:rPr>
                <w:b/>
                <w:color w:val="2F7D67"/>
              </w:rPr>
              <w:t xml:space="preserve">DECISIÓN PRINCIPAL: </w:t>
            </w:r>
            <w:r>
              <w:rPr>
                <w:color w:val="1F2937"/>
              </w:rPr>
              <w:t>Comenzar por la traducción contextual español-LSC. Después empaquetarla como widget flotante y, en paralelo controlado, evaluar ProtoGCN para mejorar la interpretación por cámara.</w:t>
            </w:r>
          </w:p>
        </w:tc>
      </w:tr>
    </w:tbl>
    <w:p>
      <w:pPr>
        <w:spacing w:after="0"/>
      </w:pPr>
    </w:p>
    <w:p>
      <w:pPr>
        <w:spacing w:before="840"/>
        <w:jc w:val="center"/>
      </w:pPr>
      <w:r>
        <w:rPr>
          <w:b/>
          <w:color w:val="17324D"/>
        </w:rPr>
        <w:t>Preparado para el equipo Signara</w:t>
      </w:r>
    </w:p>
    <w:p>
      <w:pPr>
        <w:jc w:val="center"/>
      </w:pPr>
      <w:r>
        <w:rPr>
          <w:color w:val="667085"/>
          <w:sz w:val="19"/>
        </w:rPr>
        <w:t>Barranquilla, Colombia  |  Agosto de 2026</w:t>
      </w:r>
    </w:p>
    <w:p>
      <w:r>
        <w:br w:type="page"/>
      </w:r>
    </w:p>
    <w:p>
      <w:pPr>
        <w:pStyle w:val="Heading1"/>
      </w:pPr>
      <w:r>
        <w:t>1. Decisión y orden recomendado</w:t>
      </w:r>
    </w:p>
    <w:p>
      <w:r>
        <w:t>Las tres mejoras son compatibles, pero resuelven problemas diferentes. El orden debe seguir las dependencias del producto: primero decidir qué significa una conversación y cómo expresarla en LSC; después llevar esa traducción a una ventana que pueda acompañar otras aplicaciones; finalmente mejorar el reconocimiento visual con una arquitectura más avanzada y una evaluación científica confiable.</w:t>
      </w:r>
    </w:p>
    <w:p>
      <w:pPr>
        <w:pStyle w:val="ListNumber"/>
        <w:numPr>
          <w:ilvl w:val="0"/>
          <w:numId w:val="10"/>
        </w:numPr>
        <w:spacing w:after="100" w:line="288" w:lineRule="auto"/>
        <w:ind w:left="605" w:hanging="317"/>
      </w:pPr>
      <w:r>
        <w:rPr>
          <w:b/>
        </w:rPr>
        <w:t xml:space="preserve">Primero: traductor contextual español → LSC. </w:t>
      </w:r>
      <w:r>
        <w:t>Convierte texto o voz en significado, glosas, direcciones, expresiones faciales y una secuencia coherente para el avatar.</w:t>
      </w:r>
    </w:p>
    <w:p>
      <w:pPr>
        <w:pStyle w:val="ListNumber"/>
        <w:numPr>
          <w:ilvl w:val="0"/>
          <w:numId w:val="10"/>
        </w:numPr>
        <w:spacing w:after="100" w:line="288" w:lineRule="auto"/>
        <w:ind w:left="605" w:hanging="317"/>
      </w:pPr>
      <w:r>
        <w:rPr>
          <w:b/>
        </w:rPr>
        <w:t xml:space="preserve">Segundo: widget flotante de escritorio. </w:t>
      </w:r>
      <w:r>
        <w:t>Reutiliza el traductor contextual y el avatar para funcionar encima de PowerPoint, videollamadas, navegadores y otras aplicaciones.</w:t>
      </w:r>
    </w:p>
    <w:p>
      <w:pPr>
        <w:pStyle w:val="ListNumber"/>
        <w:numPr>
          <w:ilvl w:val="0"/>
          <w:numId w:val="10"/>
        </w:numPr>
        <w:spacing w:after="100" w:line="288" w:lineRule="auto"/>
        <w:ind w:left="605" w:hanging="317"/>
      </w:pPr>
      <w:r>
        <w:rPr>
          <w:b/>
        </w:rPr>
        <w:t xml:space="preserve">Tercero: ProtoGCN experimental. </w:t>
      </w:r>
      <w:r>
        <w:t>Mejora cámara → español, especialmente las señas similares y la generalización a personas nunca vistas, sin sustituir el modelo productivo antes de demostrar una mejora real.</w:t>
      </w:r>
    </w:p>
    <w:tbl>
      <w:tblPr>
        <w:tblW w:type="auto" w:w="0"/>
        <w:tblLayout w:type="fixed"/>
        <w:tblLook w:firstColumn="1" w:firstRow="1" w:lastColumn="0" w:lastRow="0" w:noHBand="0" w:noVBand="1" w:val="04A0"/>
      </w:tblPr>
      <w:tblGrid>
        <w:gridCol w:w="9360"/>
      </w:tblGrid>
      <w:tr>
        <w:tc>
          <w:tcPr>
            <w:tcW w:type="dxa" w:w="9360"/>
            <w:shd w:fill="EAF2F8"/>
            <w:tcMar>
              <w:top w:w="120" w:type="dxa"/>
              <w:start w:w="160" w:type="dxa"/>
              <w:bottom w:w="120" w:type="dxa"/>
              <w:end w:w="160" w:type="dxa"/>
            </w:tcMar>
          </w:tcPr>
          <w:p>
            <w:pPr>
              <w:spacing w:after="0" w:line="276" w:lineRule="auto"/>
            </w:pPr>
            <w:r>
              <w:rPr>
                <w:b/>
                <w:color w:val="2E74B5"/>
              </w:rPr>
              <w:t xml:space="preserve">POR QUÉ ESTE ORDEN: </w:t>
            </w:r>
            <w:r>
              <w:rPr>
                <w:color w:val="1F2937"/>
              </w:rPr>
              <w:t>Un widget construido antes del traductor contextual mostraría palabras aisladas encima de otras aplicaciones. Una red más potente no arregla la gramática. La comprensión lingüística es la dependencia común que convierte las demás mejoras en una solución completa.</w:t>
            </w:r>
          </w:p>
        </w:tc>
      </w:tr>
    </w:tbl>
    <w:p>
      <w:pPr>
        <w:spacing w:after="0"/>
      </w:pPr>
    </w:p>
    <w:p>
      <w:pPr>
        <w:pStyle w:val="Heading2"/>
      </w:pPr>
      <w:r>
        <w:t>Resultado esperado</w:t>
      </w:r>
    </w:p>
    <w:p>
      <w:pPr>
        <w:pStyle w:val="ListBullet"/>
        <w:spacing w:after="80" w:line="288" w:lineRule="auto"/>
        <w:ind w:left="540" w:hanging="271"/>
      </w:pPr>
      <w:r>
        <w:t>Traducir frases con contexto, por ejemplo distinguir MAÑANA (día futuro) de POR_LA_MAÑANA (periodo del día).</w:t>
      </w:r>
    </w:p>
    <w:p>
      <w:pPr>
        <w:pStyle w:val="ListBullet"/>
        <w:spacing w:after="80" w:line="288" w:lineRule="auto"/>
        <w:ind w:left="540" w:hanging="271"/>
      </w:pPr>
      <w:r>
        <w:t>Mantener traducción incremental con una demora pequeña y controlada, sin esperar discursos completos.</w:t>
      </w:r>
    </w:p>
    <w:p>
      <w:pPr>
        <w:pStyle w:val="ListBullet"/>
        <w:spacing w:after="80" w:line="288" w:lineRule="auto"/>
        <w:ind w:left="540" w:hanging="271"/>
      </w:pPr>
      <w:r>
        <w:t>Mostrar el avatar como asistente flotante en una clase o reunión.</w:t>
      </w:r>
    </w:p>
    <w:p>
      <w:pPr>
        <w:pStyle w:val="ListBullet"/>
        <w:spacing w:after="80" w:line="288" w:lineRule="auto"/>
        <w:ind w:left="540" w:hanging="271"/>
      </w:pPr>
      <w:r>
        <w:t>Reconocer señas similares con métricas confiables en personas no vistas durante el entrenamiento.</w:t>
      </w:r>
    </w:p>
    <w:p>
      <w:pPr>
        <w:keepNext/>
        <w:spacing w:before="280" w:after="40"/>
      </w:pPr>
      <w:r>
        <w:rPr>
          <w:b/>
          <w:color w:val="2E74B5"/>
          <w:sz w:val="19"/>
        </w:rPr>
        <w:t>TAREA 1</w:t>
      </w:r>
    </w:p>
    <w:p>
      <w:pPr>
        <w:keepNext/>
        <w:spacing w:after="60"/>
      </w:pPr>
      <w:r>
        <w:rPr>
          <w:b/>
          <w:color w:val="17324D"/>
          <w:sz w:val="36"/>
        </w:rPr>
        <w:t>Traductor contextual español → LSC</w:t>
      </w:r>
    </w:p>
    <w:p>
      <w:pPr>
        <w:spacing w:after="200"/>
      </w:pPr>
      <w:r>
        <w:rPr>
          <w:i/>
          <w:color w:val="667085"/>
        </w:rPr>
        <w:t>Prioridad inmediata y núcleo lingüístico de Signara</w:t>
      </w:r>
    </w:p>
    <w:p>
      <w:pPr>
        <w:pStyle w:val="Heading2"/>
      </w:pPr>
      <w:r>
        <w:t>Objetivo</w:t>
      </w:r>
    </w:p>
    <w:p>
      <w:r>
        <w:t>Reemplazar la coincidencia literal de palabras por una cadena de traducción capaz de interpretar intención, contexto, tiempo, sujeto, negación, preguntas, locuciones y verbos direccionales antes de ordenar las animaciones del avatar.</w:t>
      </w:r>
    </w:p>
    <w:p>
      <w:pPr>
        <w:pStyle w:val="Heading2"/>
      </w:pPr>
      <w:r>
        <w:t>Arquitectura</w:t>
      </w:r>
    </w:p>
    <w:p>
      <w:pPr>
        <w:pStyle w:val="ListNumber"/>
        <w:numPr>
          <w:ilvl w:val="0"/>
          <w:numId w:val="11"/>
        </w:numPr>
        <w:spacing w:after="100" w:line="288" w:lineRule="auto"/>
        <w:ind w:left="605" w:hanging="317"/>
      </w:pPr>
      <w:r>
        <w:rPr>
          <w:b/>
        </w:rPr>
        <w:t xml:space="preserve">Entrada. </w:t>
      </w:r>
      <w:r>
        <w:t>Recibir texto escrito o transcripción parcial del reconocimiento de voz.</w:t>
      </w:r>
    </w:p>
    <w:p>
      <w:pPr>
        <w:pStyle w:val="ListNumber"/>
        <w:numPr>
          <w:ilvl w:val="0"/>
          <w:numId w:val="11"/>
        </w:numPr>
        <w:spacing w:after="100" w:line="288" w:lineRule="auto"/>
        <w:ind w:left="605" w:hanging="317"/>
      </w:pPr>
      <w:r>
        <w:rPr>
          <w:b/>
        </w:rPr>
        <w:t xml:space="preserve">Normalización. </w:t>
      </w:r>
      <w:r>
        <w:t>Corregir tildes, puntuación, números, formas verbales y expresiones compuestas.</w:t>
      </w:r>
    </w:p>
    <w:p>
      <w:pPr>
        <w:pStyle w:val="ListNumber"/>
        <w:numPr>
          <w:ilvl w:val="0"/>
          <w:numId w:val="11"/>
        </w:numPr>
        <w:spacing w:after="100" w:line="288" w:lineRule="auto"/>
        <w:ind w:left="605" w:hanging="317"/>
      </w:pPr>
      <w:r>
        <w:rPr>
          <w:b/>
        </w:rPr>
        <w:t xml:space="preserve">Análisis semántico. </w:t>
      </w:r>
      <w:r>
        <w:t>Determinar el sentido de palabras ambiguas mediante las palabras cercanas y la intención de la oración.</w:t>
      </w:r>
    </w:p>
    <w:p>
      <w:pPr>
        <w:pStyle w:val="ListNumber"/>
        <w:numPr>
          <w:ilvl w:val="0"/>
          <w:numId w:val="11"/>
        </w:numPr>
        <w:spacing w:after="100" w:line="288" w:lineRule="auto"/>
        <w:ind w:left="605" w:hanging="317"/>
      </w:pPr>
      <w:r>
        <w:rPr>
          <w:b/>
        </w:rPr>
        <w:t xml:space="preserve">Representación intermedia. </w:t>
      </w:r>
      <w:r>
        <w:t>Construir una estructura independiente del español que describa tiempo, participantes, acción, negación, pregunta, dirección y énfasis.</w:t>
      </w:r>
    </w:p>
    <w:p>
      <w:pPr>
        <w:pStyle w:val="ListNumber"/>
        <w:numPr>
          <w:ilvl w:val="0"/>
          <w:numId w:val="11"/>
        </w:numPr>
        <w:spacing w:after="100" w:line="288" w:lineRule="auto"/>
        <w:ind w:left="605" w:hanging="317"/>
      </w:pPr>
      <w:r>
        <w:rPr>
          <w:b/>
        </w:rPr>
        <w:t xml:space="preserve">Planificador LSC. </w:t>
      </w:r>
      <w:r>
        <w:t>Transformar el significado en glosas LSC, orden gramatical, modificadores no manuales y movimientos espaciales.</w:t>
      </w:r>
    </w:p>
    <w:p>
      <w:pPr>
        <w:pStyle w:val="ListNumber"/>
        <w:numPr>
          <w:ilvl w:val="0"/>
          <w:numId w:val="11"/>
        </w:numPr>
        <w:spacing w:after="100" w:line="288" w:lineRule="auto"/>
        <w:ind w:left="605" w:hanging="317"/>
      </w:pPr>
      <w:r>
        <w:rPr>
          <w:b/>
        </w:rPr>
        <w:t xml:space="preserve">Reproductor. </w:t>
      </w:r>
      <w:r>
        <w:t>Enviar una secuencia estructurada al avatar, conservando el sistema actual de clips y geometría direccional.</w:t>
      </w:r>
    </w:p>
    <w:p>
      <w:pPr>
        <w:pStyle w:val="Heading2"/>
      </w:pPr>
      <w:r>
        <w:t>Formato intermedio mínimo</w:t>
      </w:r>
    </w:p>
    <w:tbl>
      <w:tblPr>
        <w:tblW w:type="auto" w:w="0"/>
        <w:tblLayout w:type="fixed"/>
        <w:tblLook w:firstColumn="1" w:firstRow="1" w:lastColumn="0" w:lastRow="0" w:noHBand="0" w:noVBand="1" w:val="04A0"/>
      </w:tblPr>
      <w:tblGrid>
        <w:gridCol w:w="9360"/>
      </w:tblGrid>
      <w:tr>
        <w:tc>
          <w:tcPr>
            <w:tcW w:type="dxa" w:w="9360"/>
            <w:shd w:fill="F2F4F7"/>
            <w:tcMar>
              <w:top w:w="120" w:type="dxa"/>
              <w:start w:w="160" w:type="dxa"/>
              <w:bottom w:w="120" w:type="dxa"/>
              <w:end w:w="160" w:type="dxa"/>
            </w:tcMar>
          </w:tcPr>
          <w:p>
            <w:pPr>
              <w:spacing w:after="0" w:line="276" w:lineRule="auto"/>
            </w:pPr>
            <w:r>
              <w:rPr>
                <w:b/>
                <w:color w:val="17324D"/>
              </w:rPr>
              <w:t xml:space="preserve">EJEMPLO: </w:t>
            </w:r>
            <w:r>
              <w:rPr>
                <w:color w:val="1F2937"/>
              </w:rPr>
              <w:t>{ "intent": "informar", "time": { "day": "tomorrow", "period": "morning" }, "subject": "nosotros", "predicate": "clase", "question": false }</w:t>
            </w:r>
          </w:p>
        </w:tc>
      </w:tr>
    </w:tbl>
    <w:p>
      <w:pPr>
        <w:spacing w:after="0"/>
      </w:pPr>
    </w:p>
    <w:p>
      <w:pPr>
        <w:pStyle w:val="Heading2"/>
      </w:pPr>
      <w:r>
        <w:t>Desarrollo por etapas</w:t>
      </w:r>
    </w:p>
    <w:p>
      <w:pPr>
        <w:pStyle w:val="Heading3"/>
      </w:pPr>
      <w:r>
        <w:t>1A. Motor híbrido para educación</w:t>
      </w:r>
    </w:p>
    <w:p>
      <w:pPr>
        <w:pStyle w:val="ListBullet"/>
        <w:spacing w:after="80" w:line="288" w:lineRule="auto"/>
        <w:ind w:left="540" w:hanging="271"/>
      </w:pPr>
      <w:r>
        <w:t>Crear un diccionario semántico de palabras ambiguas y expresiones indivisibles: POR_LA_MAÑANA, POR_LA_TARDE, PASADO_MAÑANA, TENER_CLASE y otras.</w:t>
      </w:r>
    </w:p>
    <w:p>
      <w:pPr>
        <w:pStyle w:val="ListBullet"/>
        <w:spacing w:after="80" w:line="288" w:lineRule="auto"/>
        <w:ind w:left="540" w:hanging="271"/>
      </w:pPr>
      <w:r>
        <w:t>Extender el sistema de conjugaciones y verbos direccionales que ya existe para AYUDA.</w:t>
      </w:r>
    </w:p>
    <w:p>
      <w:pPr>
        <w:pStyle w:val="ListBullet"/>
        <w:spacing w:after="80" w:line="288" w:lineRule="auto"/>
        <w:ind w:left="540" w:hanging="271"/>
      </w:pPr>
      <w:r>
        <w:t>Agregar reglas de tiempo, negación, preguntas, pronombres omitidos y frases educativas frecuentes.</w:t>
      </w:r>
    </w:p>
    <w:p>
      <w:pPr>
        <w:pStyle w:val="ListBullet"/>
        <w:spacing w:after="80" w:line="288" w:lineRule="auto"/>
        <w:ind w:left="540" w:hanging="271"/>
      </w:pPr>
      <w:r>
        <w:t>Producir siempre una salida estructurada validable, no permitir que un modelo de lenguaje invente tokens inexistentes.</w:t>
      </w:r>
    </w:p>
    <w:p>
      <w:pPr>
        <w:pStyle w:val="Heading3"/>
      </w:pPr>
      <w:r>
        <w:t>1B. Traducción incremental</w:t>
      </w:r>
    </w:p>
    <w:p>
      <w:pPr>
        <w:pStyle w:val="ListBullet"/>
        <w:spacing w:after="80" w:line="288" w:lineRule="auto"/>
        <w:ind w:left="540" w:hanging="271"/>
      </w:pPr>
      <w:r>
        <w:t>Mantener una ventana de 3 a 8 palabras pendientes para resolver contexto.</w:t>
      </w:r>
    </w:p>
    <w:p>
      <w:pPr>
        <w:pStyle w:val="ListBullet"/>
        <w:spacing w:after="80" w:line="288" w:lineRule="auto"/>
        <w:ind w:left="540" w:hanging="271"/>
      </w:pPr>
      <w:r>
        <w:t>Confirmar y reproducir una unidad solo cuando sea semánticamente segura.</w:t>
      </w:r>
    </w:p>
    <w:p>
      <w:pPr>
        <w:pStyle w:val="ListBullet"/>
        <w:spacing w:after="80" w:line="288" w:lineRule="auto"/>
        <w:ind w:left="540" w:hanging="271"/>
      </w:pPr>
      <w:r>
        <w:t>Definir límites por pausa, puntuación, cambio de intención o cierre de cláusula.</w:t>
      </w:r>
    </w:p>
    <w:p>
      <w:pPr>
        <w:pStyle w:val="ListBullet"/>
        <w:spacing w:after="80" w:line="288" w:lineRule="auto"/>
        <w:ind w:left="540" w:hanging="271"/>
      </w:pPr>
      <w:r>
        <w:t>Registrar palabra original, análisis elegido, glosas y palabras no cubiertas para depuración.</w:t>
      </w:r>
    </w:p>
    <w:p>
      <w:pPr>
        <w:pStyle w:val="Heading3"/>
      </w:pPr>
      <w:r>
        <w:t>1C. Corpus paralelo</w:t>
      </w:r>
    </w:p>
    <w:p>
      <w:pPr>
        <w:pStyle w:val="ListBullet"/>
        <w:spacing w:after="80" w:line="288" w:lineRule="auto"/>
        <w:ind w:left="540" w:hanging="271"/>
      </w:pPr>
      <w:r>
        <w:t>Guardar español natural, glosas LSC validadas, expresión facial, dirección espacial y video de referencia.</w:t>
      </w:r>
    </w:p>
    <w:p>
      <w:pPr>
        <w:pStyle w:val="ListBullet"/>
        <w:spacing w:after="80" w:line="288" w:lineRule="auto"/>
        <w:ind w:left="540" w:hanging="271"/>
      </w:pPr>
      <w:r>
        <w:t>Comenzar por frases reales de educación y salud, no por frases generadas sin validación.</w:t>
      </w:r>
    </w:p>
    <w:p>
      <w:pPr>
        <w:pStyle w:val="ListBullet"/>
        <w:spacing w:after="80" w:line="288" w:lineRule="auto"/>
        <w:ind w:left="540" w:hanging="271"/>
      </w:pPr>
      <w:r>
        <w:t>Revisión obligatoria por personas sordas usuarias de LSC e intérpretes o lingüistas competentes.</w:t>
      </w:r>
    </w:p>
    <w:p>
      <w:pPr>
        <w:pStyle w:val="ListBullet"/>
        <w:spacing w:after="80" w:line="288" w:lineRule="auto"/>
        <w:ind w:left="540" w:hanging="271"/>
      </w:pPr>
      <w:r>
        <w:t>Usar el corpus para pasar gradualmente de reglas a un traductor neuronal contextual.</w:t>
      </w:r>
    </w:p>
    <w:p>
      <w:pPr>
        <w:pStyle w:val="Heading2"/>
      </w:pPr>
      <w:r>
        <w:t>Entregables</w:t>
      </w:r>
    </w:p>
    <w:p>
      <w:pPr>
        <w:pStyle w:val="ListBullet"/>
        <w:spacing w:after="80" w:line="288" w:lineRule="auto"/>
        <w:ind w:left="540" w:hanging="271"/>
      </w:pPr>
      <w:r>
        <w:t>Esquema JSON de significado y plan de señas.</w:t>
      </w:r>
    </w:p>
    <w:p>
      <w:pPr>
        <w:pStyle w:val="ListBullet"/>
        <w:spacing w:after="80" w:line="288" w:lineRule="auto"/>
        <w:ind w:left="540" w:hanging="271"/>
      </w:pPr>
      <w:r>
        <w:t>Catálogo semántico y gramatical versionado.</w:t>
      </w:r>
    </w:p>
    <w:p>
      <w:pPr>
        <w:pStyle w:val="ListBullet"/>
        <w:spacing w:after="80" w:line="288" w:lineRule="auto"/>
        <w:ind w:left="540" w:hanging="271"/>
      </w:pPr>
      <w:r>
        <w:t>Traductor contextual integrado en Traducir y en el dictado por voz.</w:t>
      </w:r>
    </w:p>
    <w:p>
      <w:pPr>
        <w:pStyle w:val="ListBullet"/>
        <w:spacing w:after="80" w:line="288" w:lineRule="auto"/>
        <w:ind w:left="540" w:hanging="271"/>
      </w:pPr>
      <w:r>
        <w:t>Banco inicial de al menos 100 frases educativas revisadas.</w:t>
      </w:r>
    </w:p>
    <w:p>
      <w:pPr>
        <w:pStyle w:val="ListBullet"/>
        <w:spacing w:after="80" w:line="288" w:lineRule="auto"/>
        <w:ind w:left="540" w:hanging="271"/>
      </w:pPr>
      <w:r>
        <w:t>Pruebas automáticas de ambigüedades, conjugaciones y frases continuas.</w:t>
      </w:r>
    </w:p>
    <w:p>
      <w:pPr>
        <w:pStyle w:val="Heading2"/>
      </w:pPr>
      <w:r>
        <w:t>Criterios de aceptación</w:t>
      </w:r>
    </w:p>
    <w:p>
      <w:pPr>
        <w:pStyle w:val="ListBullet"/>
        <w:spacing w:after="80" w:line="288" w:lineRule="auto"/>
        <w:ind w:left="540" w:hanging="271"/>
      </w:pPr>
      <w:r>
        <w:t>MAÑANA y POR_LA_MAÑANA producen planes distintos en los contextos correctos.</w:t>
      </w:r>
    </w:p>
    <w:p>
      <w:pPr>
        <w:pStyle w:val="ListBullet"/>
        <w:spacing w:after="80" w:line="288" w:lineRule="auto"/>
        <w:ind w:left="540" w:hanging="271"/>
      </w:pPr>
      <w:r>
        <w:t>Las frases compuestas no se dividen ni se duplican.</w:t>
      </w:r>
    </w:p>
    <w:p>
      <w:pPr>
        <w:pStyle w:val="ListBullet"/>
        <w:spacing w:after="80" w:line="288" w:lineRule="auto"/>
        <w:ind w:left="540" w:hanging="271"/>
      </w:pPr>
      <w:r>
        <w:t>El avatar empieza antes de terminar un discurso, pero no firma palabras ambiguas prematuramente.</w:t>
      </w:r>
    </w:p>
    <w:p>
      <w:pPr>
        <w:pStyle w:val="ListBullet"/>
        <w:spacing w:after="80" w:line="288" w:lineRule="auto"/>
        <w:ind w:left="540" w:hanging="271"/>
      </w:pPr>
      <w:r>
        <w:t>Ningún token desconocido se inventa; se muestra subtítulo o deletreo como respaldo.</w:t>
      </w:r>
    </w:p>
    <w:tbl>
      <w:tblPr>
        <w:tblW w:type="auto" w:w="0"/>
        <w:tblLayout w:type="fixed"/>
        <w:tblLook w:firstColumn="1" w:firstRow="1" w:lastColumn="0" w:lastRow="0" w:noHBand="0" w:noVBand="1" w:val="04A0"/>
      </w:tblPr>
      <w:tblGrid>
        <w:gridCol w:w="9360"/>
      </w:tblGrid>
      <w:tr>
        <w:tc>
          <w:tcPr>
            <w:tcW w:type="dxa" w:w="9360"/>
            <w:shd w:fill="EAF2F8"/>
            <w:tcMar>
              <w:top w:w="120" w:type="dxa"/>
              <w:start w:w="160" w:type="dxa"/>
              <w:bottom w:w="120" w:type="dxa"/>
              <w:end w:w="160" w:type="dxa"/>
            </w:tcMar>
          </w:tcPr>
          <w:p>
            <w:pPr>
              <w:spacing w:after="0" w:line="276" w:lineRule="auto"/>
            </w:pPr>
            <w:r>
              <w:rPr>
                <w:b/>
                <w:color w:val="2E74B5"/>
              </w:rPr>
              <w:t xml:space="preserve">TIEMPO ESTIMADO: </w:t>
            </w:r>
            <w:r>
              <w:rPr>
                <w:color w:val="1F2937"/>
              </w:rPr>
              <w:t>MVP educativo basado en reglas: 2 a 4 semanas. Corpus y traductor neuronal de dominio: desarrollo continuo durante varios meses.</w:t>
            </w:r>
          </w:p>
        </w:tc>
      </w:tr>
    </w:tbl>
    <w:p>
      <w:pPr>
        <w:spacing w:after="0"/>
      </w:pPr>
    </w:p>
    <w:p>
      <w:pPr>
        <w:keepNext/>
        <w:spacing w:before="280" w:after="40"/>
      </w:pPr>
      <w:r>
        <w:rPr>
          <w:b/>
          <w:color w:val="2F7D67"/>
          <w:sz w:val="19"/>
        </w:rPr>
        <w:t>TAREA 2</w:t>
      </w:r>
    </w:p>
    <w:p>
      <w:pPr>
        <w:keepNext/>
        <w:spacing w:after="60"/>
      </w:pPr>
      <w:r>
        <w:rPr>
          <w:b/>
          <w:color w:val="17324D"/>
          <w:sz w:val="36"/>
        </w:rPr>
        <w:t>Widget flotante para Windows</w:t>
      </w:r>
    </w:p>
    <w:p>
      <w:pPr>
        <w:spacing w:after="200"/>
      </w:pPr>
      <w:r>
        <w:rPr>
          <w:i/>
          <w:color w:val="667085"/>
        </w:rPr>
        <w:t>Distribución sobre cualquier aplicación después del MVP contextual</w:t>
      </w:r>
    </w:p>
    <w:p>
      <w:pPr>
        <w:pStyle w:val="Heading2"/>
      </w:pPr>
      <w:r>
        <w:t>Objetivo</w:t>
      </w:r>
    </w:p>
    <w:p>
      <w:r>
        <w:t>Permitir que Signara escuche una clase, reunión o presentación y muestre el avatar encima de la aplicación utilizada, manteniendo controles mínimos y sin interferir con el trabajo del usuario.</w:t>
      </w:r>
    </w:p>
    <w:p>
      <w:pPr>
        <w:pStyle w:val="Heading2"/>
      </w:pPr>
      <w:r>
        <w:t>Arquitectura</w:t>
      </w:r>
    </w:p>
    <w:p>
      <w:pPr>
        <w:pStyle w:val="ListBullet"/>
        <w:spacing w:after="80" w:line="288" w:lineRule="auto"/>
        <w:ind w:left="540" w:hanging="271"/>
      </w:pPr>
      <w:r>
        <w:t>Contenedor de escritorio Tauri reutilizando React, Three.js, el VRM y el traductor contextual.</w:t>
      </w:r>
    </w:p>
    <w:p>
      <w:pPr>
        <w:pStyle w:val="ListBullet"/>
        <w:spacing w:after="80" w:line="288" w:lineRule="auto"/>
        <w:ind w:left="540" w:hanging="271"/>
      </w:pPr>
      <w:r>
        <w:t>Ventana transparente, sin bordes, movible, redimensionable y siempre visible.</w:t>
      </w:r>
    </w:p>
    <w:p>
      <w:pPr>
        <w:pStyle w:val="ListBullet"/>
        <w:spacing w:after="80" w:line="288" w:lineRule="auto"/>
        <w:ind w:left="540" w:hanging="271"/>
      </w:pPr>
      <w:r>
        <w:t>Modo ignorar clics para operar PowerPoint, Meet, Zoom, navegador o PDF detrás del avatar.</w:t>
      </w:r>
    </w:p>
    <w:p>
      <w:pPr>
        <w:pStyle w:val="ListBullet"/>
        <w:spacing w:after="80" w:line="288" w:lineRule="auto"/>
        <w:ind w:left="540" w:hanging="271"/>
      </w:pPr>
      <w:r>
        <w:t>Micrófono continuo con selección de dispositivo, pausa, reanudación y estado visible.</w:t>
      </w:r>
    </w:p>
    <w:p>
      <w:pPr>
        <w:pStyle w:val="ListBullet"/>
        <w:spacing w:after="80" w:line="288" w:lineRule="auto"/>
        <w:ind w:left="540" w:hanging="271"/>
      </w:pPr>
      <w:r>
        <w:t>Subtítulos opcionales, cola de señas y aviso discreto de vocabulario desconocido.</w:t>
      </w:r>
    </w:p>
    <w:p>
      <w:pPr>
        <w:pStyle w:val="ListBullet"/>
        <w:spacing w:after="80" w:line="288" w:lineRule="auto"/>
        <w:ind w:left="540" w:hanging="271"/>
      </w:pPr>
      <w:r>
        <w:t>Caché local del modelo VRM y animaciones frecuentes para reducir la carga inicial.</w:t>
      </w:r>
    </w:p>
    <w:p>
      <w:pPr>
        <w:pStyle w:val="Heading2"/>
      </w:pPr>
      <w:r>
        <w:t>Desarrollo por etapas</w:t>
      </w:r>
    </w:p>
    <w:p>
      <w:pPr>
        <w:pStyle w:val="Heading3"/>
      </w:pPr>
      <w:r>
        <w:t>2A. Ventana mínima</w:t>
      </w:r>
    </w:p>
    <w:p>
      <w:pPr>
        <w:pStyle w:val="ListBullet"/>
        <w:spacing w:after="80" w:line="288" w:lineRule="auto"/>
        <w:ind w:left="540" w:hanging="271"/>
      </w:pPr>
      <w:r>
        <w:t>Crear un proyecto Tauri conectado al frontend existente.</w:t>
      </w:r>
    </w:p>
    <w:p>
      <w:pPr>
        <w:pStyle w:val="ListBullet"/>
        <w:spacing w:after="80" w:line="288" w:lineRule="auto"/>
        <w:ind w:left="540" w:hanging="271"/>
      </w:pPr>
      <w:r>
        <w:t>Extraer una vista del avatar sin navegación ni tarjetas de la web.</w:t>
      </w:r>
    </w:p>
    <w:p>
      <w:pPr>
        <w:pStyle w:val="ListBullet"/>
        <w:spacing w:after="80" w:line="288" w:lineRule="auto"/>
        <w:ind w:left="540" w:hanging="271"/>
      </w:pPr>
      <w:r>
        <w:t>Agregar controles de posición, tamaño, opacidad, micrófono y cerrar.</w:t>
      </w:r>
    </w:p>
    <w:p>
      <w:pPr>
        <w:pStyle w:val="Heading3"/>
      </w:pPr>
      <w:r>
        <w:t>2B. Voz y continuidad</w:t>
      </w:r>
    </w:p>
    <w:p>
      <w:pPr>
        <w:pStyle w:val="ListBullet"/>
        <w:spacing w:after="80" w:line="288" w:lineRule="auto"/>
        <w:ind w:left="540" w:hanging="271"/>
      </w:pPr>
      <w:r>
        <w:t>Conectar la transcripción incremental al traductor contextual.</w:t>
      </w:r>
    </w:p>
    <w:p>
      <w:pPr>
        <w:pStyle w:val="ListBullet"/>
        <w:spacing w:after="80" w:line="288" w:lineRule="auto"/>
        <w:ind w:left="540" w:hanging="271"/>
      </w:pPr>
      <w:r>
        <w:t>Persistir la cola al cambiar el foco entre aplicaciones.</w:t>
      </w:r>
    </w:p>
    <w:p>
      <w:pPr>
        <w:pStyle w:val="ListBullet"/>
        <w:spacing w:after="80" w:line="288" w:lineRule="auto"/>
        <w:ind w:left="540" w:hanging="271"/>
      </w:pPr>
      <w:r>
        <w:t>Implementar recuperación automática si el reconocimiento de voz se detiene.</w:t>
      </w:r>
    </w:p>
    <w:p>
      <w:pPr>
        <w:pStyle w:val="Heading3"/>
      </w:pPr>
      <w:r>
        <w:t>2C. Piloto educativo</w:t>
      </w:r>
    </w:p>
    <w:p>
      <w:pPr>
        <w:pStyle w:val="ListBullet"/>
        <w:spacing w:after="80" w:line="288" w:lineRule="auto"/>
        <w:ind w:left="540" w:hanging="271"/>
      </w:pPr>
      <w:r>
        <w:t>Probar con clases reales, distintos micrófonos, ruido ambiental y vocabulario de materias.</w:t>
      </w:r>
    </w:p>
    <w:p>
      <w:pPr>
        <w:pStyle w:val="ListBullet"/>
        <w:spacing w:after="80" w:line="288" w:lineRule="auto"/>
        <w:ind w:left="540" w:hanging="271"/>
      </w:pPr>
      <w:r>
        <w:t>Medir latencia voz→seña, palabras desconocidas y comprensión de usuarios sordos.</w:t>
      </w:r>
    </w:p>
    <w:p>
      <w:pPr>
        <w:pStyle w:val="ListBullet"/>
        <w:spacing w:after="80" w:line="288" w:lineRule="auto"/>
        <w:ind w:left="540" w:hanging="271"/>
      </w:pPr>
      <w:r>
        <w:t>Generar instalador firmado y mecanismo de actualización.</w:t>
      </w:r>
    </w:p>
    <w:p>
      <w:pPr>
        <w:pStyle w:val="Heading2"/>
      </w:pPr>
      <w:r>
        <w:t>Criterios de aceptación</w:t>
      </w:r>
    </w:p>
    <w:p>
      <w:pPr>
        <w:pStyle w:val="ListBullet"/>
        <w:spacing w:after="80" w:line="288" w:lineRule="auto"/>
        <w:ind w:left="540" w:hanging="271"/>
      </w:pPr>
      <w:r>
        <w:t>El avatar permanece encima de PowerPoint y el navegador sin bloquear clics.</w:t>
      </w:r>
    </w:p>
    <w:p>
      <w:pPr>
        <w:pStyle w:val="ListBullet"/>
        <w:spacing w:after="80" w:line="288" w:lineRule="auto"/>
        <w:ind w:left="540" w:hanging="271"/>
      </w:pPr>
      <w:r>
        <w:t>La posición y el tamaño se recuerdan entre sesiones.</w:t>
      </w:r>
    </w:p>
    <w:p>
      <w:pPr>
        <w:pStyle w:val="ListBullet"/>
        <w:spacing w:after="80" w:line="288" w:lineRule="auto"/>
        <w:ind w:left="540" w:hanging="271"/>
      </w:pPr>
      <w:r>
        <w:t>La traducción contextual funciona igual que en la aplicación web.</w:t>
      </w:r>
    </w:p>
    <w:p>
      <w:pPr>
        <w:pStyle w:val="ListBullet"/>
        <w:spacing w:after="80" w:line="288" w:lineRule="auto"/>
        <w:ind w:left="540" w:hanging="271"/>
      </w:pPr>
      <w:r>
        <w:t>La primera seña comienza con una latencia objetivo medible y no aparecen duplicados ni saltos.</w:t>
      </w:r>
    </w:p>
    <w:tbl>
      <w:tblPr>
        <w:tblW w:type="auto" w:w="0"/>
        <w:tblLayout w:type="fixed"/>
        <w:tblLook w:firstColumn="1" w:firstRow="1" w:lastColumn="0" w:lastRow="0" w:noHBand="0" w:noVBand="1" w:val="04A0"/>
      </w:tblPr>
      <w:tblGrid>
        <w:gridCol w:w="9360"/>
      </w:tblGrid>
      <w:tr>
        <w:tc>
          <w:tcPr>
            <w:tcW w:type="dxa" w:w="9360"/>
            <w:shd w:fill="EAF5F1"/>
            <w:tcMar>
              <w:top w:w="120" w:type="dxa"/>
              <w:start w:w="160" w:type="dxa"/>
              <w:bottom w:w="120" w:type="dxa"/>
              <w:end w:w="160" w:type="dxa"/>
            </w:tcMar>
          </w:tcPr>
          <w:p>
            <w:pPr>
              <w:spacing w:after="0" w:line="276" w:lineRule="auto"/>
            </w:pPr>
            <w:r>
              <w:rPr>
                <w:b/>
                <w:color w:val="2F7D67"/>
              </w:rPr>
              <w:t xml:space="preserve">TIEMPO ESTIMADO: </w:t>
            </w:r>
            <w:r>
              <w:rPr>
                <w:color w:val="1F2937"/>
              </w:rPr>
              <w:t>MVP de Windows: 1 a 2 semanas después de estabilizar el traductor contextual. Piloto de aula: 2 a 4 semanas adicionales.</w:t>
            </w:r>
          </w:p>
        </w:tc>
      </w:tr>
    </w:tbl>
    <w:p>
      <w:pPr>
        <w:spacing w:after="0"/>
      </w:pPr>
    </w:p>
    <w:p>
      <w:pPr>
        <w:keepNext/>
        <w:spacing w:before="280" w:after="40"/>
      </w:pPr>
      <w:r>
        <w:rPr>
          <w:b/>
          <w:color w:val="7051A3"/>
          <w:sz w:val="19"/>
        </w:rPr>
        <w:t>TAREA 3</w:t>
      </w:r>
    </w:p>
    <w:p>
      <w:pPr>
        <w:keepNext/>
        <w:spacing w:after="60"/>
      </w:pPr>
      <w:r>
        <w:rPr>
          <w:b/>
          <w:color w:val="17324D"/>
          <w:sz w:val="36"/>
        </w:rPr>
        <w:t>ProtoGCN experimental para Interpretar</w:t>
      </w:r>
    </w:p>
    <w:p>
      <w:pPr>
        <w:spacing w:after="200"/>
      </w:pPr>
      <w:r>
        <w:rPr>
          <w:i/>
          <w:color w:val="667085"/>
        </w:rPr>
        <w:t>Mejora del reconocimiento cámara → español, sin reemplazo prematuro</w:t>
      </w:r>
    </w:p>
    <w:p>
      <w:pPr>
        <w:pStyle w:val="Heading2"/>
      </w:pPr>
      <w:r>
        <w:t>Objetivo</w:t>
      </w:r>
    </w:p>
    <w:p>
      <w:r>
        <w:t>Evaluar si el aprendizaje de topologías, prototipos y separación contrastiva reduce confusiones entre señas similares y generaliza mejor a personas no incluidas en el entrenamiento.</w:t>
      </w:r>
    </w:p>
    <w:p>
      <w:pPr>
        <w:pStyle w:val="Heading2"/>
      </w:pPr>
      <w:r>
        <w:t>Condición previa obligatoria</w:t>
      </w:r>
    </w:p>
    <w:tbl>
      <w:tblPr>
        <w:tblW w:type="auto" w:w="0"/>
        <w:tblLayout w:type="fixed"/>
        <w:tblLook w:firstColumn="1" w:firstRow="1" w:lastColumn="0" w:lastRow="0" w:noHBand="0" w:noVBand="1" w:val="04A0"/>
      </w:tblPr>
      <w:tblGrid>
        <w:gridCol w:w="9360"/>
      </w:tblGrid>
      <w:tr>
        <w:tc>
          <w:tcPr>
            <w:tcW w:type="dxa" w:w="9360"/>
            <w:shd w:fill="F1ECF8"/>
            <w:tcMar>
              <w:top w:w="120" w:type="dxa"/>
              <w:start w:w="160" w:type="dxa"/>
              <w:bottom w:w="120" w:type="dxa"/>
              <w:end w:w="160" w:type="dxa"/>
            </w:tcMar>
          </w:tcPr>
          <w:p>
            <w:pPr>
              <w:spacing w:after="0" w:line="276" w:lineRule="auto"/>
            </w:pPr>
            <w:r>
              <w:rPr>
                <w:b/>
                <w:color w:val="7051A3"/>
              </w:rPr>
              <w:t xml:space="preserve">NO COMPARAR SOLO ACCURACY ALEATORIA: </w:t>
            </w:r>
            <w:r>
              <w:rPr>
                <w:color w:val="1F2937"/>
              </w:rPr>
              <w:t>La validación debe separar por persona. Si muestras de la misma persona aparecen en entrenamiento y validación, el porcentaje puede medir memorización del ejecutante y no capacidad de reconocer a una persona nueva.</w:t>
            </w:r>
          </w:p>
        </w:tc>
      </w:tr>
    </w:tbl>
    <w:p>
      <w:pPr>
        <w:spacing w:after="0"/>
      </w:pPr>
    </w:p>
    <w:p>
      <w:pPr>
        <w:pStyle w:val="Heading2"/>
      </w:pPr>
      <w:r>
        <w:t>Desarrollo por etapas</w:t>
      </w:r>
    </w:p>
    <w:p>
      <w:pPr>
        <w:pStyle w:val="Heading3"/>
      </w:pPr>
      <w:r>
        <w:t>3A. Banco de evaluación</w:t>
      </w:r>
    </w:p>
    <w:p>
      <w:pPr>
        <w:pStyle w:val="ListBullet"/>
        <w:spacing w:after="80" w:line="288" w:lineRule="auto"/>
        <w:ind w:left="540" w:hanging="271"/>
      </w:pPr>
      <w:r>
        <w:t>Congelar un conjunto de prueba con personas nunca vistas durante entrenamiento.</w:t>
      </w:r>
    </w:p>
    <w:p>
      <w:pPr>
        <w:pStyle w:val="ListBullet"/>
        <w:spacing w:after="80" w:line="288" w:lineRule="auto"/>
        <w:ind w:left="540" w:hanging="271"/>
      </w:pPr>
      <w:r>
        <w:t>Medir accuracy, macro-F1, recall por clase, matriz de confusión, latencia y tamaño del modelo.</w:t>
      </w:r>
    </w:p>
    <w:p>
      <w:pPr>
        <w:pStyle w:val="ListBullet"/>
        <w:spacing w:after="80" w:line="288" w:lineRule="auto"/>
        <w:ind w:left="540" w:hanging="271"/>
      </w:pPr>
      <w:r>
        <w:t>Crear pruebas específicas para pares confundibles y señas de una/dos manos.</w:t>
      </w:r>
    </w:p>
    <w:p>
      <w:pPr>
        <w:pStyle w:val="Heading3"/>
      </w:pPr>
      <w:r>
        <w:t>3B. Adaptación incremental</w:t>
      </w:r>
    </w:p>
    <w:p>
      <w:pPr>
        <w:pStyle w:val="ListBullet"/>
        <w:spacing w:after="80" w:line="288" w:lineRule="auto"/>
        <w:ind w:left="540" w:hanging="271"/>
      </w:pPr>
      <w:r>
        <w:t>Mantener el GCN+LSTM actual como baseline productivo.</w:t>
      </w:r>
    </w:p>
    <w:p>
      <w:pPr>
        <w:pStyle w:val="ListBullet"/>
        <w:spacing w:after="80" w:line="288" w:lineRule="auto"/>
        <w:ind w:left="540" w:hanging="271"/>
      </w:pPr>
      <w:r>
        <w:t>Probar primero pérdida contrastiva supervisada sobre el embedding temporal.</w:t>
      </w:r>
    </w:p>
    <w:p>
      <w:pPr>
        <w:pStyle w:val="ListBullet"/>
        <w:spacing w:after="80" w:line="288" w:lineRule="auto"/>
        <w:ind w:left="540" w:hanging="271"/>
      </w:pPr>
      <w:r>
        <w:t>Agregar después conexiones adaptativas entre ambas manos.</w:t>
      </w:r>
    </w:p>
    <w:p>
      <w:pPr>
        <w:pStyle w:val="ListBullet"/>
        <w:spacing w:after="80" w:line="288" w:lineRule="auto"/>
        <w:ind w:left="540" w:hanging="271"/>
      </w:pPr>
      <w:r>
        <w:t>Incorporar un banco de prototipos únicamente si los experimentos anteriores muestran valor.</w:t>
      </w:r>
    </w:p>
    <w:p>
      <w:pPr>
        <w:pStyle w:val="ListBullet"/>
        <w:spacing w:after="80" w:line="288" w:lineRule="auto"/>
        <w:ind w:left="540" w:hanging="271"/>
      </w:pPr>
      <w:r>
        <w:t>Evitar inicialmente el ensamble de 2 a 6 modelos del artículo por costo y latencia.</w:t>
      </w:r>
    </w:p>
    <w:p>
      <w:pPr>
        <w:pStyle w:val="Heading3"/>
      </w:pPr>
      <w:r>
        <w:t>3C. Decisión de producción</w:t>
      </w:r>
    </w:p>
    <w:p>
      <w:pPr>
        <w:pStyle w:val="ListBullet"/>
        <w:spacing w:after="80" w:line="288" w:lineRule="auto"/>
        <w:ind w:left="540" w:hanging="271"/>
      </w:pPr>
      <w:r>
        <w:t>Promover el modelo nuevo solo si mejora en personas no vistas y mantiene la latencia de tiempo real.</w:t>
      </w:r>
    </w:p>
    <w:p>
      <w:pPr>
        <w:pStyle w:val="ListBullet"/>
        <w:spacing w:after="80" w:line="288" w:lineRule="auto"/>
        <w:ind w:left="540" w:hanging="271"/>
      </w:pPr>
      <w:r>
        <w:t>Mantener artefactos, etiquetas y API versionados para permitir rollback.</w:t>
      </w:r>
    </w:p>
    <w:p>
      <w:pPr>
        <w:pStyle w:val="ListBullet"/>
        <w:spacing w:after="80" w:line="288" w:lineRule="auto"/>
        <w:ind w:left="540" w:hanging="271"/>
      </w:pPr>
      <w:r>
        <w:t>Reentrenar con las mismas particiones y semillas para una comparación reproducible.</w:t>
      </w:r>
    </w:p>
    <w:p>
      <w:pPr>
        <w:pStyle w:val="Heading2"/>
      </w:pPr>
      <w:r>
        <w:t>Criterios de aceptación</w:t>
      </w:r>
    </w:p>
    <w:p>
      <w:pPr>
        <w:pStyle w:val="ListBullet"/>
        <w:spacing w:after="80" w:line="288" w:lineRule="auto"/>
        <w:ind w:left="540" w:hanging="271"/>
      </w:pPr>
      <w:r>
        <w:t>Mejora reproducible del macro-F1 y de las clases difíciles frente al GCN+LSTM.</w:t>
      </w:r>
    </w:p>
    <w:p>
      <w:pPr>
        <w:pStyle w:val="ListBullet"/>
        <w:spacing w:after="80" w:line="288" w:lineRule="auto"/>
        <w:ind w:left="540" w:hanging="271"/>
      </w:pPr>
      <w:r>
        <w:t>No degrada significativamente el tiempo de respuesta de Interpretar.</w:t>
      </w:r>
    </w:p>
    <w:p>
      <w:pPr>
        <w:pStyle w:val="ListBullet"/>
        <w:spacing w:after="80" w:line="288" w:lineRule="auto"/>
        <w:ind w:left="540" w:hanging="271"/>
      </w:pPr>
      <w:r>
        <w:t>La mejora se sostiene con personas, cámaras y distancias diferentes.</w:t>
      </w:r>
    </w:p>
    <w:p>
      <w:pPr>
        <w:pStyle w:val="ListBullet"/>
        <w:spacing w:after="80" w:line="288" w:lineRule="auto"/>
        <w:ind w:left="540" w:hanging="271"/>
      </w:pPr>
      <w:r>
        <w:t>El cambio puede activarse y desactivarse sin afectar el modelo productivo.</w:t>
      </w:r>
    </w:p>
    <w:tbl>
      <w:tblPr>
        <w:tblW w:type="auto" w:w="0"/>
        <w:tblLayout w:type="fixed"/>
        <w:tblLook w:firstColumn="1" w:firstRow="1" w:lastColumn="0" w:lastRow="0" w:noHBand="0" w:noVBand="1" w:val="04A0"/>
      </w:tblPr>
      <w:tblGrid>
        <w:gridCol w:w="9360"/>
      </w:tblGrid>
      <w:tr>
        <w:tc>
          <w:tcPr>
            <w:tcW w:type="dxa" w:w="9360"/>
            <w:shd w:fill="F1ECF8"/>
            <w:tcMar>
              <w:top w:w="120" w:type="dxa"/>
              <w:start w:w="160" w:type="dxa"/>
              <w:bottom w:w="120" w:type="dxa"/>
              <w:end w:w="160" w:type="dxa"/>
            </w:tcMar>
          </w:tcPr>
          <w:p>
            <w:pPr>
              <w:spacing w:after="0" w:line="276" w:lineRule="auto"/>
            </w:pPr>
            <w:r>
              <w:rPr>
                <w:b/>
                <w:color w:val="7051A3"/>
              </w:rPr>
              <w:t xml:space="preserve">TIEMPO ESTIMADO: </w:t>
            </w:r>
            <w:r>
              <w:rPr>
                <w:color w:val="1F2937"/>
              </w:rPr>
              <w:t>Evaluación y primer prototipo: 2 a 4 semanas. Integración productiva: solo después de obtener resultados concluyentes.</w:t>
            </w:r>
          </w:p>
        </w:tc>
      </w:tr>
    </w:tbl>
    <w:p>
      <w:pPr>
        <w:spacing w:after="0"/>
      </w:pPr>
    </w:p>
    <w:p>
      <w:pPr>
        <w:pStyle w:val="Heading1"/>
      </w:pPr>
      <w:r>
        <w:t>5. Plan de ejecución inmediato</w:t>
      </w:r>
    </w:p>
    <w:p>
      <w:pPr>
        <w:pStyle w:val="Heading2"/>
      </w:pPr>
      <w:r>
        <w:t>Próximos 10 días de trabajo</w:t>
      </w:r>
    </w:p>
    <w:p>
      <w:pPr>
        <w:pStyle w:val="ListNumber"/>
        <w:numPr>
          <w:ilvl w:val="0"/>
          <w:numId w:val="12"/>
        </w:numPr>
        <w:spacing w:after="100" w:line="288" w:lineRule="auto"/>
        <w:ind w:left="605" w:hanging="317"/>
      </w:pPr>
      <w:r>
        <w:rPr>
          <w:b/>
        </w:rPr>
        <w:t xml:space="preserve">Día 1. </w:t>
      </w:r>
      <w:r>
        <w:t>Definir el esquema de representación intermedia y los tipos de token: seña, frase, expresión temporal, pronombre, dirección y modificador facial.</w:t>
      </w:r>
    </w:p>
    <w:p>
      <w:pPr>
        <w:pStyle w:val="ListNumber"/>
        <w:numPr>
          <w:ilvl w:val="0"/>
          <w:numId w:val="12"/>
        </w:numPr>
        <w:spacing w:after="100" w:line="288" w:lineRule="auto"/>
        <w:ind w:left="605" w:hanging="317"/>
      </w:pPr>
      <w:r>
        <w:rPr>
          <w:b/>
        </w:rPr>
        <w:t xml:space="preserve">Días 2-3. </w:t>
      </w:r>
      <w:r>
        <w:t>Construir el catálogo educativo inicial con ambigüedades y expresiones compuestas.</w:t>
      </w:r>
    </w:p>
    <w:p>
      <w:pPr>
        <w:pStyle w:val="ListNumber"/>
        <w:numPr>
          <w:ilvl w:val="0"/>
          <w:numId w:val="12"/>
        </w:numPr>
        <w:spacing w:after="100" w:line="288" w:lineRule="auto"/>
        <w:ind w:left="605" w:hanging="317"/>
      </w:pPr>
      <w:r>
        <w:rPr>
          <w:b/>
        </w:rPr>
        <w:t xml:space="preserve">Días 4-5. </w:t>
      </w:r>
      <w:r>
        <w:t>Implementar el analizador contextual basado en reglas y conectarlo con el matcher existente.</w:t>
      </w:r>
    </w:p>
    <w:p>
      <w:pPr>
        <w:pStyle w:val="ListNumber"/>
        <w:numPr>
          <w:ilvl w:val="0"/>
          <w:numId w:val="12"/>
        </w:numPr>
        <w:spacing w:after="100" w:line="288" w:lineRule="auto"/>
        <w:ind w:left="605" w:hanging="317"/>
      </w:pPr>
      <w:r>
        <w:rPr>
          <w:b/>
        </w:rPr>
        <w:t xml:space="preserve">Días 6-7. </w:t>
      </w:r>
      <w:r>
        <w:t>Crear la ventana incremental de voz y pruebas contra duplicados, omisiones y decisiones prematuras.</w:t>
      </w:r>
    </w:p>
    <w:p>
      <w:pPr>
        <w:pStyle w:val="ListNumber"/>
        <w:numPr>
          <w:ilvl w:val="0"/>
          <w:numId w:val="12"/>
        </w:numPr>
        <w:spacing w:after="100" w:line="288" w:lineRule="auto"/>
        <w:ind w:left="605" w:hanging="317"/>
      </w:pPr>
      <w:r>
        <w:rPr>
          <w:b/>
        </w:rPr>
        <w:t xml:space="preserve">Días 8-9. </w:t>
      </w:r>
      <w:r>
        <w:t>Reunir y revisar las primeras frases paralelas español↔glosas LSC con apoyo competente en LSC.</w:t>
      </w:r>
    </w:p>
    <w:p>
      <w:pPr>
        <w:pStyle w:val="ListNumber"/>
        <w:numPr>
          <w:ilvl w:val="0"/>
          <w:numId w:val="12"/>
        </w:numPr>
        <w:spacing w:after="100" w:line="288" w:lineRule="auto"/>
        <w:ind w:left="605" w:hanging="317"/>
      </w:pPr>
      <w:r>
        <w:rPr>
          <w:b/>
        </w:rPr>
        <w:t xml:space="preserve">Día 10. </w:t>
      </w:r>
      <w:r>
        <w:t>Demostración educativa completa y medición de latencia, cobertura y errores.</w:t>
      </w:r>
    </w:p>
    <w:p>
      <w:pPr>
        <w:pStyle w:val="Heading2"/>
      </w:pPr>
      <w:r>
        <w:t>Trabajo paralelo permitido</w:t>
      </w:r>
    </w:p>
    <w:p>
      <w:pPr>
        <w:pStyle w:val="ListBullet"/>
        <w:spacing w:after="80" w:line="288" w:lineRule="auto"/>
        <w:ind w:left="540" w:hanging="271"/>
      </w:pPr>
      <w:r>
        <w:t>Continuar grabando vocabulario aislado y una toma canónica por token para el avatar.</w:t>
      </w:r>
    </w:p>
    <w:p>
      <w:pPr>
        <w:pStyle w:val="ListBullet"/>
        <w:spacing w:after="80" w:line="288" w:lineRule="auto"/>
        <w:ind w:left="540" w:hanging="271"/>
      </w:pPr>
      <w:r>
        <w:t>Preparar el esqueleto Tauri sin conectar todavía la traducción definitiva.</w:t>
      </w:r>
    </w:p>
    <w:p>
      <w:pPr>
        <w:pStyle w:val="ListBullet"/>
        <w:spacing w:after="80" w:line="288" w:lineRule="auto"/>
        <w:ind w:left="540" w:hanging="271"/>
      </w:pPr>
      <w:r>
        <w:t>Preparar la partición por persona y métricas del baseline para ProtoGCN.</w:t>
      </w:r>
    </w:p>
    <w:p>
      <w:pPr>
        <w:pStyle w:val="Heading1"/>
      </w:pPr>
      <w:r>
        <w:t>6. Datos que deben guardarse desde hoy</w:t>
      </w:r>
    </w:p>
    <w:p>
      <w:pPr>
        <w:pStyle w:val="ListBullet"/>
        <w:spacing w:after="80" w:line="288" w:lineRule="auto"/>
        <w:ind w:left="540" w:hanging="271"/>
      </w:pPr>
      <w:r>
        <w:t>Audio o texto original, respetando consentimiento y privacidad.</w:t>
      </w:r>
    </w:p>
    <w:p>
      <w:pPr>
        <w:pStyle w:val="ListBullet"/>
        <w:spacing w:after="80" w:line="288" w:lineRule="auto"/>
        <w:ind w:left="540" w:hanging="271"/>
      </w:pPr>
      <w:r>
        <w:t>Transcripción reconocida y correcciones humanas.</w:t>
      </w:r>
    </w:p>
    <w:p>
      <w:pPr>
        <w:pStyle w:val="ListBullet"/>
        <w:spacing w:after="80" w:line="288" w:lineRule="auto"/>
        <w:ind w:left="540" w:hanging="271"/>
      </w:pPr>
      <w:r>
        <w:t>Significado estructurado elegido por el sistema.</w:t>
      </w:r>
    </w:p>
    <w:p>
      <w:pPr>
        <w:pStyle w:val="ListBullet"/>
        <w:spacing w:after="80" w:line="288" w:lineRule="auto"/>
        <w:ind w:left="540" w:hanging="271"/>
      </w:pPr>
      <w:r>
        <w:t>Glosas LSC y orden validados.</w:t>
      </w:r>
    </w:p>
    <w:p>
      <w:pPr>
        <w:pStyle w:val="ListBullet"/>
        <w:spacing w:after="80" w:line="288" w:lineRule="auto"/>
        <w:ind w:left="540" w:hanging="271"/>
      </w:pPr>
      <w:r>
        <w:t>Dirección espacial, expresión facial y referencias de persona/tiempo.</w:t>
      </w:r>
    </w:p>
    <w:p>
      <w:pPr>
        <w:pStyle w:val="ListBullet"/>
        <w:spacing w:after="80" w:line="288" w:lineRule="auto"/>
        <w:ind w:left="540" w:hanging="271"/>
      </w:pPr>
      <w:r>
        <w:t>Tokens reproducidos, palabras desconocidas y latencia.</w:t>
      </w:r>
    </w:p>
    <w:p>
      <w:pPr>
        <w:pStyle w:val="ListBullet"/>
        <w:spacing w:after="80" w:line="288" w:lineRule="auto"/>
        <w:ind w:left="540" w:hanging="271"/>
      </w:pPr>
      <w:r>
        <w:t>Identificador anónimo de la persona que realiza cada muestra para separar entrenamiento y evaluación.</w:t>
      </w:r>
    </w:p>
    <w:p>
      <w:pPr>
        <w:pStyle w:val="Heading1"/>
      </w:pPr>
      <w:r>
        <w:t>7. Riesgos y controles</w:t>
      </w:r>
    </w:p>
    <w:p>
      <w:pPr>
        <w:pStyle w:val="ListBullet"/>
        <w:spacing w:after="80" w:line="288" w:lineRule="auto"/>
        <w:ind w:left="540" w:hanging="271"/>
      </w:pPr>
      <w:r>
        <w:t>Riesgo lingüístico: español señalizado en lugar de LSC. Control: revisión sistemática por comunidad sorda e intérpretes/lingüistas.</w:t>
      </w:r>
    </w:p>
    <w:p>
      <w:pPr>
        <w:pStyle w:val="ListBullet"/>
        <w:spacing w:after="80" w:line="288" w:lineRule="auto"/>
        <w:ind w:left="540" w:hanging="271"/>
      </w:pPr>
      <w:r>
        <w:t>Riesgo de invención: un modelo produce una seña inexistente. Control: salida estructurada limitada a un inventario versionado.</w:t>
      </w:r>
    </w:p>
    <w:p>
      <w:pPr>
        <w:pStyle w:val="ListBullet"/>
        <w:spacing w:after="80" w:line="288" w:lineRule="auto"/>
        <w:ind w:left="540" w:hanging="271"/>
      </w:pPr>
      <w:r>
        <w:t>Riesgo de latencia: esperar demasiado contexto. Control: confirmación incremental por unidades semánticas.</w:t>
      </w:r>
    </w:p>
    <w:p>
      <w:pPr>
        <w:pStyle w:val="ListBullet"/>
        <w:spacing w:after="80" w:line="288" w:lineRule="auto"/>
        <w:ind w:left="540" w:hanging="271"/>
      </w:pPr>
      <w:r>
        <w:t>Riesgo de sobreajuste: alta validación con la misma persona. Control: evaluación cruzada por sujeto.</w:t>
      </w:r>
    </w:p>
    <w:p>
      <w:pPr>
        <w:pStyle w:val="ListBullet"/>
        <w:spacing w:after="80" w:line="288" w:lineRule="auto"/>
        <w:ind w:left="540" w:hanging="271"/>
      </w:pPr>
      <w:r>
        <w:t>Riesgo comercial: prometer interpretación equivalente a una persona profesional. Control: declarar vocabulario, dominio, métricas y límites del piloto.</w:t>
      </w:r>
    </w:p>
    <w:p>
      <w:pPr>
        <w:pStyle w:val="Heading1"/>
      </w:pPr>
      <w:r>
        <w:t>8. Definición de éxito</w:t>
      </w:r>
    </w:p>
    <w:p>
      <w:r>
        <w:t>Signara habrá completado esta etapa cuando pueda escuchar o recibir una frase educativa, comprender sus unidades semánticas, producir un plan LSC validado, reproducirlo fluidamente en el avatar dentro de la web o del widget, y reconocer desde cámara las señas disponibles con resultados medidos en personas no vistas.</w:t>
      </w:r>
    </w:p>
    <w:tbl>
      <w:tblPr>
        <w:tblW w:type="auto" w:w="0"/>
        <w:tblLayout w:type="fixed"/>
        <w:tblLook w:firstColumn="1" w:firstRow="1" w:lastColumn="0" w:lastRow="0" w:noHBand="0" w:noVBand="1" w:val="04A0"/>
      </w:tblPr>
      <w:tblGrid>
        <w:gridCol w:w="9360"/>
      </w:tblGrid>
      <w:tr>
        <w:tc>
          <w:tcPr>
            <w:tcW w:type="dxa" w:w="9360"/>
            <w:shd w:fill="EAF5F1"/>
            <w:tcMar>
              <w:top w:w="120" w:type="dxa"/>
              <w:start w:w="160" w:type="dxa"/>
              <w:bottom w:w="120" w:type="dxa"/>
              <w:end w:w="160" w:type="dxa"/>
            </w:tcMar>
          </w:tcPr>
          <w:p>
            <w:pPr>
              <w:spacing w:after="0" w:line="276" w:lineRule="auto"/>
            </w:pPr>
            <w:r>
              <w:rPr>
                <w:b/>
                <w:color w:val="2F7D67"/>
              </w:rPr>
              <w:t xml:space="preserve">SIGUIENTE ACCIÓN: </w:t>
            </w:r>
            <w:r>
              <w:rPr>
                <w:color w:val="1F2937"/>
              </w:rPr>
              <w:t>Crear en el código el esquema de representación intermedia y un primer paquete de pruebas con MAÑANA, POR_LA_MAÑANA, AYUDA, AYUDAME, preguntas, negación y pronombres implícitos del dominio educativo.</w:t>
            </w:r>
          </w:p>
        </w:tc>
      </w:tr>
    </w:tbl>
    <w:p>
      <w:pPr>
        <w:spacing w:after="0"/>
      </w:pPr>
    </w:p>
    <w:p>
      <w:pPr>
        <w:pStyle w:val="Heading1"/>
      </w:pPr>
      <w:r>
        <w:t>9. Referencias de trabajo</w:t>
      </w:r>
    </w:p>
    <w:p>
      <w:pPr>
        <w:pStyle w:val="ListBullet"/>
        <w:spacing w:after="80" w:line="288" w:lineRule="auto"/>
        <w:ind w:left="540" w:hanging="271"/>
      </w:pPr>
      <w:r>
        <w:t>Liu et al. (2025). Revealing Key Details to See Differences: A Novel Prototypical Perspective for Skeleton-based Action Recognition (ProtoGCN).</w:t>
      </w:r>
    </w:p>
    <w:p>
      <w:pPr>
        <w:pStyle w:val="ListBullet"/>
        <w:spacing w:after="80" w:line="288" w:lineRule="auto"/>
        <w:ind w:left="540" w:hanging="271"/>
      </w:pPr>
      <w:r>
        <w:t>Naranjo Orozco y Dieck (2022). La expresión de la categoría gramatical de tiempo en la Lengua de Señas Colombiana.</w:t>
      </w:r>
    </w:p>
    <w:p>
      <w:pPr>
        <w:pStyle w:val="ListBullet"/>
        <w:spacing w:after="80" w:line="288" w:lineRule="auto"/>
        <w:ind w:left="540" w:hanging="271"/>
      </w:pPr>
      <w:r>
        <w:t>INSOR. Orientaciones para la atención educativa y caracterización de la LSC como lengua con gramática y variación propias.</w:t>
      </w:r>
    </w:p>
    <w:p>
      <w:pPr>
        <w:pStyle w:val="ListBullet"/>
        <w:spacing w:after="80" w:line="288" w:lineRule="auto"/>
        <w:ind w:left="540" w:hanging="271"/>
      </w:pPr>
      <w:r>
        <w:t>Universidad Tecnológica de Pereira. Prototipo de traducción automática español↔glosas LSC basado en corpus paralelo de dominio.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7"/>
      </w:rPr>
      <w:t>Plan de desarrollo - agosto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085"/>
        <w:sz w:val="17"/>
      </w:rPr>
      <w:t>SIGNARA  |  HOJA DE RUTA TECNOLÓGICA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Signara - Hoja de ruta de tres mejoras</dc:title>
  <dc:subject>Traductor contextual, widget flotante y ProtoGCN</dc:subject>
  <dc:creator>Equipo Signara</dc:creator>
  <cp:keywords>Signara, LSC, avatar, ProtoGCN, widget, traducción contextual</cp:keywords>
  <dc:description>generated by python-docx</dc:description>
  <cp:lastModifiedBy/>
  <cp:revision>1</cp:revision>
  <dcterms:created xsi:type="dcterms:W3CDTF">2013-12-23T23:15:00Z</dcterms:created>
  <dcterms:modified xsi:type="dcterms:W3CDTF">2013-12-23T23:15:00Z</dcterms:modified>
  <cp:category/>
</cp:coreProperties>
</file>