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Synthetic Candidate, Engineer at Example 2022-2025. Reduced latency from 240ms to 160ms.</w:t>
      </w:r>
    </w:p>
  </w:body>
</w:document>
</file>