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Cuadro «Quién reporta qué» · Práctica tipo examen</w:t>
      </w:r>
    </w:p>
    <w:p>
      <w:r>
        <w:t>Formato del examen: los sujetos obligados van arriba, los tipos de reporte a la izquierda y se marca con X cuáles aplican. Hay tres opciones y solo una es correcta. Fuente: capítulos de reportes de las DCG (Disposiciones de Carácter General) de cada sujeto obligado.</w:t>
      </w:r>
    </w:p>
    <w:p>
      <w:pPr>
        <w:pStyle w:val="Heading2"/>
      </w:pPr>
      <w:r>
        <w:t>Pregunta 1</w:t>
      </w:r>
    </w:p>
    <w:p>
      <w:r>
        <w:t>Cuadro «quién reporta qué». Las columnas, en orden, son los sujetos obligados: 1) Bancos · 2) Asesores en Inversión · 3) Transmisores de Dinero · 4) Fondos de Inversión.</w:t>
        <w:br/>
        <w:t>Los renglones son los tipos de reporte. «X» significa que las DCG (Disposiciones de Carácter General) de ese sujeto tienen un capítulo de ese reporte; «—» significa que no lo tienen.</w:t>
        <w:br/>
        <w:t>¿Cuál opción completa correctamente el cuadro?</w:t>
      </w:r>
    </w:p>
    <w:p>
      <w:r>
        <w:rPr>
          <w:b/>
        </w:rPr>
        <w:t>Opción 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Bancos</w:t>
            </w:r>
          </w:p>
        </w:tc>
        <w:tc>
          <w:tcPr>
            <w:tcW w:type="dxa" w:w="1728"/>
          </w:tcPr>
          <w:p>
            <w:r>
              <w:t>Asesores en Inversión</w:t>
            </w:r>
          </w:p>
        </w:tc>
        <w:tc>
          <w:tcPr>
            <w:tcW w:type="dxa" w:w="1728"/>
          </w:tcPr>
          <w:p>
            <w:r>
              <w:t>Transmisores de Dinero</w:t>
            </w:r>
          </w:p>
        </w:tc>
        <w:tc>
          <w:tcPr>
            <w:tcW w:type="dxa" w:w="1728"/>
          </w:tcPr>
          <w:p>
            <w:r>
              <w:t>Fondos de Inversión</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r>
              <w:t>Transferencias internacionales de fondos</w:t>
            </w:r>
          </w:p>
        </w:tc>
        <w:tc>
          <w:tcPr>
            <w:tcW w:type="dxa" w:w="1728"/>
          </w:tcPr>
          <w:p>
            <w:pPr>
              <w:jc w:val="center"/>
            </w:pPr>
            <w:r>
              <w:t>X</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bl>
    <w:p>
      <w:r>
        <w:rPr>
          <w:b/>
        </w:rPr>
        <w:t>Opción 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Bancos</w:t>
            </w:r>
          </w:p>
        </w:tc>
        <w:tc>
          <w:tcPr>
            <w:tcW w:type="dxa" w:w="1728"/>
          </w:tcPr>
          <w:p>
            <w:r>
              <w:t>Asesores en Inversión</w:t>
            </w:r>
          </w:p>
        </w:tc>
        <w:tc>
          <w:tcPr>
            <w:tcW w:type="dxa" w:w="1728"/>
          </w:tcPr>
          <w:p>
            <w:r>
              <w:t>Transmisores de Dinero</w:t>
            </w:r>
          </w:p>
        </w:tc>
        <w:tc>
          <w:tcPr>
            <w:tcW w:type="dxa" w:w="1728"/>
          </w:tcPr>
          <w:p>
            <w:r>
              <w:t>Fondos de Inversión</w:t>
            </w:r>
          </w:p>
        </w:tc>
      </w:tr>
      <w:tr>
        <w:tc>
          <w:tcPr>
            <w:tcW w:type="dxa" w:w="1728"/>
          </w:tcPr>
          <w:p>
            <w:r>
              <w:t>Operaciones Relevantes</w:t>
            </w:r>
          </w:p>
        </w:tc>
        <w:tc>
          <w:tcPr>
            <w:tcW w:type="dxa" w:w="1728"/>
          </w:tcPr>
          <w:p>
            <w:pPr>
              <w:jc w:val="center"/>
            </w:pPr>
            <w:r>
              <w:t>X</w:t>
            </w:r>
          </w:p>
        </w:tc>
        <w:tc>
          <w:tcPr>
            <w:tcW w:type="dxa" w:w="1728"/>
          </w:tcPr>
          <w:p>
            <w:pPr>
              <w:jc w:val="center"/>
            </w:pPr>
            <w:r>
              <w:t>—</w:t>
            </w:r>
          </w:p>
        </w:tc>
        <w:tc>
          <w:tcPr>
            <w:tcW w:type="dxa" w:w="1728"/>
          </w:tcPr>
          <w:p>
            <w:pPr>
              <w:jc w:val="center"/>
            </w:pPr>
            <w:r>
              <w:t>X</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r>
              <w:t>Transferencias internacionales de fondos</w:t>
            </w:r>
          </w:p>
        </w:tc>
        <w:tc>
          <w:tcPr>
            <w:tcW w:type="dxa" w:w="1728"/>
          </w:tcPr>
          <w:p>
            <w:pPr>
              <w:jc w:val="center"/>
            </w:pPr>
            <w:r>
              <w:t>X</w:t>
            </w:r>
          </w:p>
        </w:tc>
        <w:tc>
          <w:tcPr>
            <w:tcW w:type="dxa" w:w="1728"/>
          </w:tcPr>
          <w:p>
            <w:pPr>
              <w:jc w:val="center"/>
            </w:pPr>
            <w:r>
              <w:t>—</w:t>
            </w:r>
          </w:p>
        </w:tc>
        <w:tc>
          <w:tcPr>
            <w:tcW w:type="dxa" w:w="1728"/>
          </w:tcPr>
          <w:p>
            <w:pPr>
              <w:jc w:val="center"/>
            </w:pPr>
            <w:r>
              <w:t>X</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bl>
    <w:p>
      <w:r>
        <w:rPr>
          <w:b/>
        </w:rPr>
        <w:t>Opción 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Bancos</w:t>
            </w:r>
          </w:p>
        </w:tc>
        <w:tc>
          <w:tcPr>
            <w:tcW w:type="dxa" w:w="1728"/>
          </w:tcPr>
          <w:p>
            <w:r>
              <w:t>Asesores en Inversión</w:t>
            </w:r>
          </w:p>
        </w:tc>
        <w:tc>
          <w:tcPr>
            <w:tcW w:type="dxa" w:w="1728"/>
          </w:tcPr>
          <w:p>
            <w:r>
              <w:t>Transmisores de Dinero</w:t>
            </w:r>
          </w:p>
        </w:tc>
        <w:tc>
          <w:tcPr>
            <w:tcW w:type="dxa" w:w="1728"/>
          </w:tcPr>
          <w:p>
            <w:r>
              <w:t>Fondos de Inversión</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Transferencias internacionales de fondos</w:t>
            </w:r>
          </w:p>
        </w:tc>
        <w:tc>
          <w:tcPr>
            <w:tcW w:type="dxa" w:w="1728"/>
          </w:tcPr>
          <w:p>
            <w:pPr>
              <w:jc w:val="center"/>
            </w:pPr>
            <w:r>
              <w:t>X</w:t>
            </w:r>
          </w:p>
        </w:tc>
        <w:tc>
          <w:tcPr>
            <w:tcW w:type="dxa" w:w="1728"/>
          </w:tcPr>
          <w:p>
            <w:pPr>
              <w:jc w:val="center"/>
            </w:pPr>
            <w:r>
              <w:t>—</w:t>
            </w:r>
          </w:p>
        </w:tc>
        <w:tc>
          <w:tcPr>
            <w:tcW w:type="dxa" w:w="1728"/>
          </w:tcPr>
          <w:p>
            <w:pPr>
              <w:jc w:val="center"/>
            </w:pPr>
            <w:r>
              <w:t>X</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w:t>
            </w:r>
          </w:p>
        </w:tc>
      </w:tr>
    </w:tbl>
    <w:p>
      <w:r>
        <w:rPr>
          <w:b/>
        </w:rPr>
        <w:t>Respuesta correcta: B</w:t>
      </w:r>
    </w:p>
    <w:p>
      <w:r>
        <w:t>La respuesta correcta es la opción B. Según el capítulo de reportes de las DCG (Disposiciones de Carácter General) de cada sujeto obligado:</w:t>
        <w:br/>
        <w:t>• Bancos: Relevantes, dólares en efectivo, transferencias internacionales, Inusuales, Internas Preocupantes.</w:t>
        <w:br/>
        <w:t>• Asesores en Inversión: Inusuales, Internas Preocupantes.</w:t>
        <w:br/>
        <w:t>• Transmisores de Dinero: Relevantes, transferencias internacionales, Inusuales, Internas Preocupantes.</w:t>
        <w:br/>
        <w:t>• Fondos de Inversión: Relevantes, Inusuales, Internas Preocupantes.</w:t>
        <w:br/>
        <w:br/>
        <w:t>Cómo identificarla: todos los sujetos reportan Operaciones Inusuales e Internas Preocupantes. Los Asesores en Inversión solo tienen esos dos reportes. Las Operaciones Relevantes las tienen todos los demás. Las transferencias internacionales las tienen Bancos, Casas de Bolsa, SOCAP, SOFIPO, Casas de Cambio y Transmisores de Dinero. Los dólares en efectivo los tienen Bancos, Casas de Bolsa, SOCAP, SOFIPO, Uniones de Crédito, Casas de Cambio y Centros Cambiarios.</w:t>
        <w:br/>
        <w:br/>
        <w:t>De qué trata cada documento citado:</w:t>
        <w:br/>
        <w:t>• DCG de cada sujeto obligado (capítulos de reportes): Establecen qué reportes debe remitir cada tipo de sujeto a la Secretaría, por conducto de la Comisión.</w:t>
      </w:r>
    </w:p>
    <w:p>
      <w:pPr>
        <w:pStyle w:val="Heading2"/>
      </w:pPr>
      <w:r>
        <w:t>Pregunta 2</w:t>
      </w:r>
    </w:p>
    <w:p>
      <w:r>
        <w:t>Cuadro «quién reporta qué». Las columnas, en orden, son los sujetos obligados: 1) Casas de Cambio · 2) Centros Cambiarios · 3) Transmisores de Dinero · 4) SOFOM.</w:t>
        <w:br/>
        <w:t>Los renglones son los tipos de reporte. «X» significa que las DCG (Disposiciones de Carácter General) de ese sujeto tienen un capítulo de ese reporte; «—» significa que no lo tienen.</w:t>
        <w:br/>
        <w:t>¿Cuál opción completa correctamente el cuadro?</w:t>
      </w:r>
    </w:p>
    <w:p>
      <w:r>
        <w:rPr>
          <w:b/>
        </w:rPr>
        <w:t>Opción 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Casas de Cambio</w:t>
            </w:r>
          </w:p>
        </w:tc>
        <w:tc>
          <w:tcPr>
            <w:tcW w:type="dxa" w:w="1728"/>
          </w:tcPr>
          <w:p>
            <w:r>
              <w:t>Centros Cambiarios</w:t>
            </w:r>
          </w:p>
        </w:tc>
        <w:tc>
          <w:tcPr>
            <w:tcW w:type="dxa" w:w="1728"/>
          </w:tcPr>
          <w:p>
            <w:r>
              <w:t>Transmisores de Dinero</w:t>
            </w:r>
          </w:p>
        </w:tc>
        <w:tc>
          <w:tcPr>
            <w:tcW w:type="dxa" w:w="1728"/>
          </w:tcPr>
          <w:p>
            <w:r>
              <w:t>SOFOM</w:t>
            </w:r>
          </w:p>
        </w:tc>
      </w:tr>
      <w:tr>
        <w:tc>
          <w:tcPr>
            <w:tcW w:type="dxa" w:w="1728"/>
          </w:tcPr>
          <w:p>
            <w:r>
              <w:t>Operaciones Relevantes</w:t>
            </w:r>
          </w:p>
        </w:tc>
        <w:tc>
          <w:tcPr>
            <w:tcW w:type="dxa" w:w="1728"/>
          </w:tcPr>
          <w:p>
            <w:pPr>
              <w:jc w:val="center"/>
            </w:pPr>
            <w:r>
              <w:t>—</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Transferencias internacionales de fondos</w:t>
            </w:r>
          </w:p>
        </w:tc>
        <w:tc>
          <w:tcPr>
            <w:tcW w:type="dxa" w:w="1728"/>
          </w:tcPr>
          <w:p>
            <w:pPr>
              <w:jc w:val="center"/>
            </w:pPr>
            <w:r>
              <w:t>X</w:t>
            </w:r>
          </w:p>
        </w:tc>
        <w:tc>
          <w:tcPr>
            <w:tcW w:type="dxa" w:w="1728"/>
          </w:tcPr>
          <w:p>
            <w:pPr>
              <w:jc w:val="center"/>
            </w:pPr>
            <w:r>
              <w:t>—</w:t>
            </w:r>
          </w:p>
        </w:tc>
        <w:tc>
          <w:tcPr>
            <w:tcW w:type="dxa" w:w="1728"/>
          </w:tcPr>
          <w:p>
            <w:pPr>
              <w:jc w:val="center"/>
            </w:pPr>
            <w:r>
              <w:t>X</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w:t>
            </w:r>
          </w:p>
        </w:tc>
        <w:tc>
          <w:tcPr>
            <w:tcW w:type="dxa" w:w="1728"/>
          </w:tcPr>
          <w:p>
            <w:pPr>
              <w:jc w:val="center"/>
            </w:pPr>
            <w:r>
              <w:t>—</w:t>
            </w:r>
          </w:p>
        </w:tc>
        <w:tc>
          <w:tcPr>
            <w:tcW w:type="dxa" w:w="1728"/>
          </w:tcPr>
          <w:p>
            <w:pPr>
              <w:jc w:val="center"/>
            </w:pPr>
            <w:r>
              <w:t>X</w:t>
            </w:r>
          </w:p>
        </w:tc>
        <w:tc>
          <w:tcPr>
            <w:tcW w:type="dxa" w:w="1728"/>
          </w:tcPr>
          <w:p>
            <w:pPr>
              <w:jc w:val="center"/>
            </w:pPr>
            <w:r>
              <w:t>X</w:t>
            </w:r>
          </w:p>
        </w:tc>
      </w:tr>
    </w:tbl>
    <w:p>
      <w:r>
        <w:rPr>
          <w:b/>
        </w:rPr>
        <w:t>Opción 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Casas de Cambio</w:t>
            </w:r>
          </w:p>
        </w:tc>
        <w:tc>
          <w:tcPr>
            <w:tcW w:type="dxa" w:w="1728"/>
          </w:tcPr>
          <w:p>
            <w:r>
              <w:t>Centros Cambiarios</w:t>
            </w:r>
          </w:p>
        </w:tc>
        <w:tc>
          <w:tcPr>
            <w:tcW w:type="dxa" w:w="1728"/>
          </w:tcPr>
          <w:p>
            <w:r>
              <w:t>Transmisores de Dinero</w:t>
            </w:r>
          </w:p>
        </w:tc>
        <w:tc>
          <w:tcPr>
            <w:tcW w:type="dxa" w:w="1728"/>
          </w:tcPr>
          <w:p>
            <w:r>
              <w:t>SOFOM</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Transferencias internacionales de fondos</w:t>
            </w:r>
          </w:p>
        </w:tc>
        <w:tc>
          <w:tcPr>
            <w:tcW w:type="dxa" w:w="1728"/>
          </w:tcPr>
          <w:p>
            <w:pPr>
              <w:jc w:val="center"/>
            </w:pPr>
            <w:r>
              <w:t>X</w:t>
            </w:r>
          </w:p>
        </w:tc>
        <w:tc>
          <w:tcPr>
            <w:tcW w:type="dxa" w:w="1728"/>
          </w:tcPr>
          <w:p>
            <w:pPr>
              <w:jc w:val="center"/>
            </w:pPr>
            <w:r>
              <w:t>—</w:t>
            </w:r>
          </w:p>
        </w:tc>
        <w:tc>
          <w:tcPr>
            <w:tcW w:type="dxa" w:w="1728"/>
          </w:tcPr>
          <w:p>
            <w:pPr>
              <w:jc w:val="center"/>
            </w:pPr>
            <w:r>
              <w:t>X</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bl>
    <w:p>
      <w:r>
        <w:rPr>
          <w:b/>
        </w:rPr>
        <w:t>Opción 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Casas de Cambio</w:t>
            </w:r>
          </w:p>
        </w:tc>
        <w:tc>
          <w:tcPr>
            <w:tcW w:type="dxa" w:w="1728"/>
          </w:tcPr>
          <w:p>
            <w:r>
              <w:t>Centros Cambiarios</w:t>
            </w:r>
          </w:p>
        </w:tc>
        <w:tc>
          <w:tcPr>
            <w:tcW w:type="dxa" w:w="1728"/>
          </w:tcPr>
          <w:p>
            <w:r>
              <w:t>Transmisores de Dinero</w:t>
            </w:r>
          </w:p>
        </w:tc>
        <w:tc>
          <w:tcPr>
            <w:tcW w:type="dxa" w:w="1728"/>
          </w:tcPr>
          <w:p>
            <w:r>
              <w:t>SOFOM</w:t>
            </w:r>
          </w:p>
        </w:tc>
      </w:tr>
      <w:tr>
        <w:tc>
          <w:tcPr>
            <w:tcW w:type="dxa" w:w="1728"/>
          </w:tcPr>
          <w:p>
            <w:r>
              <w:t>Operaciones Relevantes</w:t>
            </w:r>
          </w:p>
        </w:tc>
        <w:tc>
          <w:tcPr>
            <w:tcW w:type="dxa" w:w="1728"/>
          </w:tcPr>
          <w:p>
            <w:pPr>
              <w:jc w:val="center"/>
            </w:pPr>
            <w:r>
              <w:t>—</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Transferencias internacionales de fondos</w:t>
            </w:r>
          </w:p>
        </w:tc>
        <w:tc>
          <w:tcPr>
            <w:tcW w:type="dxa" w:w="1728"/>
          </w:tcPr>
          <w:p>
            <w:pPr>
              <w:jc w:val="center"/>
            </w:pPr>
            <w:r>
              <w:t>X</w:t>
            </w:r>
          </w:p>
        </w:tc>
        <w:tc>
          <w:tcPr>
            <w:tcW w:type="dxa" w:w="1728"/>
          </w:tcPr>
          <w:p>
            <w:pPr>
              <w:jc w:val="center"/>
            </w:pPr>
            <w:r>
              <w:t>—</w:t>
            </w:r>
          </w:p>
        </w:tc>
        <w:tc>
          <w:tcPr>
            <w:tcW w:type="dxa" w:w="1728"/>
          </w:tcPr>
          <w:p>
            <w:pPr>
              <w:jc w:val="center"/>
            </w:pPr>
            <w:r>
              <w:t>X</w:t>
            </w:r>
          </w:p>
        </w:tc>
        <w:tc>
          <w:tcPr>
            <w:tcW w:type="dxa" w:w="1728"/>
          </w:tcPr>
          <w:p>
            <w:pPr>
              <w:jc w:val="center"/>
            </w:pPr>
            <w:r>
              <w:t>—</w:t>
            </w:r>
          </w:p>
        </w:tc>
      </w:tr>
      <w:tr>
        <w:tc>
          <w:tcPr>
            <w:tcW w:type="dxa" w:w="1728"/>
          </w:tcPr>
          <w:p>
            <w:r>
              <w:t>Operaciones Inusuales</w:t>
            </w:r>
          </w:p>
        </w:tc>
        <w:tc>
          <w:tcPr>
            <w:tcW w:type="dxa" w:w="1728"/>
          </w:tcPr>
          <w:p>
            <w:pPr>
              <w:jc w:val="center"/>
            </w:pPr>
            <w:r>
              <w:t>—</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bl>
    <w:p>
      <w:r>
        <w:rPr>
          <w:b/>
        </w:rPr>
        <w:t>Respuesta correcta: B</w:t>
      </w:r>
    </w:p>
    <w:p>
      <w:r>
        <w:t>La respuesta correcta es la opción B. Según el capítulo de reportes de las DCG (Disposiciones de Carácter General) de cada sujeto obligado:</w:t>
        <w:br/>
        <w:t>• Casas de Cambio: Relevantes, dólares en efectivo, transferencias internacionales, Inusuales, Internas Preocupantes.</w:t>
        <w:br/>
        <w:t>• Centros Cambiarios: Relevantes, dólares en efectivo, Inusuales, Internas Preocupantes.</w:t>
        <w:br/>
        <w:t>• Transmisores de Dinero: Relevantes, transferencias internacionales, Inusuales, Internas Preocupantes.</w:t>
        <w:br/>
        <w:t>• SOFOM: Relevantes, Inusuales, Internas Preocupantes.</w:t>
        <w:br/>
        <w:br/>
        <w:t>Cómo identificarla: todos los sujetos reportan Operaciones Inusuales e Internas Preocupantes. Los Asesores en Inversión solo tienen esos dos reportes. Las Operaciones Relevantes las tienen todos los demás. Las transferencias internacionales las tienen Bancos, Casas de Bolsa, SOCAP, SOFIPO, Casas de Cambio y Transmisores de Dinero. Los dólares en efectivo los tienen Bancos, Casas de Bolsa, SOCAP, SOFIPO, Uniones de Crédito, Casas de Cambio y Centros Cambiarios.</w:t>
        <w:br/>
        <w:br/>
        <w:t>De qué trata cada documento citado:</w:t>
        <w:br/>
        <w:t>• DCG de cada sujeto obligado (capítulos de reportes): Establecen qué reportes debe remitir cada tipo de sujeto a la Secretaría, por conducto de la Comisión.</w:t>
      </w:r>
    </w:p>
    <w:p>
      <w:pPr>
        <w:pStyle w:val="Heading2"/>
      </w:pPr>
      <w:r>
        <w:t>Pregunta 3</w:t>
      </w:r>
    </w:p>
    <w:p>
      <w:r>
        <w:t>Cuadro «quién reporta qué». Las columnas, en orden, son los sujetos obligados: 1) Bancos · 2) Casas de Bolsa · 3) Uniones de Crédito · 4) Asesores en Inversión.</w:t>
        <w:br/>
        <w:t>Los renglones son los tipos de reporte. «X» significa que las DCG (Disposiciones de Carácter General) de ese sujeto tienen un capítulo de ese reporte; «—» significa que no lo tienen.</w:t>
        <w:br/>
        <w:t>¿Cuál opción completa correctamente el cuadro?</w:t>
      </w:r>
    </w:p>
    <w:p>
      <w:r>
        <w:rPr>
          <w:b/>
        </w:rPr>
        <w:t>Opción 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Bancos</w:t>
            </w:r>
          </w:p>
        </w:tc>
        <w:tc>
          <w:tcPr>
            <w:tcW w:type="dxa" w:w="1728"/>
          </w:tcPr>
          <w:p>
            <w:r>
              <w:t>Casas de Bolsa</w:t>
            </w:r>
          </w:p>
        </w:tc>
        <w:tc>
          <w:tcPr>
            <w:tcW w:type="dxa" w:w="1728"/>
          </w:tcPr>
          <w:p>
            <w:r>
              <w:t>Uniones de Crédito</w:t>
            </w:r>
          </w:p>
        </w:tc>
        <w:tc>
          <w:tcPr>
            <w:tcW w:type="dxa" w:w="1728"/>
          </w:tcPr>
          <w:p>
            <w:r>
              <w:t>Asesores en Inversión</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w:t>
            </w:r>
          </w:p>
        </w:tc>
      </w:tr>
      <w:tr>
        <w:tc>
          <w:tcPr>
            <w:tcW w:type="dxa" w:w="1728"/>
          </w:tcPr>
          <w:p>
            <w:r>
              <w:t>Transferencias internacionales de fondos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bl>
    <w:p>
      <w:r>
        <w:rPr>
          <w:b/>
        </w:rPr>
        <w:t>Opción 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Bancos</w:t>
            </w:r>
          </w:p>
        </w:tc>
        <w:tc>
          <w:tcPr>
            <w:tcW w:type="dxa" w:w="1728"/>
          </w:tcPr>
          <w:p>
            <w:r>
              <w:t>Casas de Bolsa</w:t>
            </w:r>
          </w:p>
        </w:tc>
        <w:tc>
          <w:tcPr>
            <w:tcW w:type="dxa" w:w="1728"/>
          </w:tcPr>
          <w:p>
            <w:r>
              <w:t>Uniones de Crédito</w:t>
            </w:r>
          </w:p>
        </w:tc>
        <w:tc>
          <w:tcPr>
            <w:tcW w:type="dxa" w:w="1728"/>
          </w:tcPr>
          <w:p>
            <w:r>
              <w:t>Asesores en Inversión</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w:t>
            </w:r>
          </w:p>
        </w:tc>
      </w:tr>
      <w:tr>
        <w:tc>
          <w:tcPr>
            <w:tcW w:type="dxa" w:w="1728"/>
          </w:tcPr>
          <w:p>
            <w:r>
              <w:t>Transferencias internacionales de fondos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w:t>
            </w:r>
          </w:p>
        </w:tc>
        <w:tc>
          <w:tcPr>
            <w:tcW w:type="dxa" w:w="1728"/>
          </w:tcPr>
          <w:p>
            <w:pPr>
              <w:jc w:val="center"/>
            </w:pPr>
            <w:r>
              <w:t>—</w:t>
            </w:r>
          </w:p>
        </w:tc>
        <w:tc>
          <w:tcPr>
            <w:tcW w:type="dxa" w:w="1728"/>
          </w:tcPr>
          <w:p>
            <w:pPr>
              <w:jc w:val="center"/>
            </w:pPr>
            <w:r>
              <w:t>X</w:t>
            </w:r>
          </w:p>
        </w:tc>
      </w:tr>
    </w:tbl>
    <w:p>
      <w:r>
        <w:rPr>
          <w:b/>
        </w:rPr>
        <w:t>Opción 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Bancos</w:t>
            </w:r>
          </w:p>
        </w:tc>
        <w:tc>
          <w:tcPr>
            <w:tcW w:type="dxa" w:w="1728"/>
          </w:tcPr>
          <w:p>
            <w:r>
              <w:t>Casas de Bolsa</w:t>
            </w:r>
          </w:p>
        </w:tc>
        <w:tc>
          <w:tcPr>
            <w:tcW w:type="dxa" w:w="1728"/>
          </w:tcPr>
          <w:p>
            <w:r>
              <w:t>Uniones de Crédito</w:t>
            </w:r>
          </w:p>
        </w:tc>
        <w:tc>
          <w:tcPr>
            <w:tcW w:type="dxa" w:w="1728"/>
          </w:tcPr>
          <w:p>
            <w:r>
              <w:t>Asesores en Inversión</w:t>
            </w:r>
          </w:p>
        </w:tc>
      </w:tr>
      <w:tr>
        <w:tc>
          <w:tcPr>
            <w:tcW w:type="dxa" w:w="1728"/>
          </w:tcPr>
          <w:p>
            <w:r>
              <w:t>Operaciones Relevantes</w:t>
            </w:r>
          </w:p>
        </w:tc>
        <w:tc>
          <w:tcPr>
            <w:tcW w:type="dxa" w:w="1728"/>
          </w:tcPr>
          <w:p>
            <w:pPr>
              <w:jc w:val="center"/>
            </w:pPr>
            <w:r>
              <w:t>X</w:t>
            </w:r>
          </w:p>
        </w:tc>
        <w:tc>
          <w:tcPr>
            <w:tcW w:type="dxa" w:w="1728"/>
          </w:tcPr>
          <w:p>
            <w:pPr>
              <w:jc w:val="center"/>
            </w:pPr>
            <w:r>
              <w:t>—</w:t>
            </w:r>
          </w:p>
        </w:tc>
        <w:tc>
          <w:tcPr>
            <w:tcW w:type="dxa" w:w="1728"/>
          </w:tcPr>
          <w:p>
            <w:pPr>
              <w:jc w:val="center"/>
            </w:pPr>
            <w:r>
              <w:t>X</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w:t>
            </w:r>
          </w:p>
        </w:tc>
      </w:tr>
      <w:tr>
        <w:tc>
          <w:tcPr>
            <w:tcW w:type="dxa" w:w="1728"/>
          </w:tcPr>
          <w:p>
            <w:r>
              <w:t>Transferencias internacionales de fondos</w:t>
            </w:r>
          </w:p>
        </w:tc>
        <w:tc>
          <w:tcPr>
            <w:tcW w:type="dxa" w:w="1728"/>
          </w:tcPr>
          <w:p>
            <w:pPr>
              <w:jc w:val="center"/>
            </w:pPr>
            <w:r>
              <w:t>—</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bl>
    <w:p>
      <w:r>
        <w:rPr>
          <w:b/>
        </w:rPr>
        <w:t>Respuesta correcta: A</w:t>
      </w:r>
    </w:p>
    <w:p>
      <w:r>
        <w:t>La respuesta correcta es la opción A. Según el capítulo de reportes de las DCG (Disposiciones de Carácter General) de cada sujeto obligado:</w:t>
        <w:br/>
        <w:t>• Bancos: Relevantes, dólares en efectivo, transferencias internacionales, Inusuales, Internas Preocupantes.</w:t>
        <w:br/>
        <w:t>• Casas de Bolsa: Relevantes, dólares en efectivo, transferencias internacionales, Inusuales, Internas Preocupantes.</w:t>
        <w:br/>
        <w:t>• Uniones de Crédito: Relevantes, dólares en efectivo, Inusuales, Internas Preocupantes.</w:t>
        <w:br/>
        <w:t>• Asesores en Inversión: Inusuales, Internas Preocupantes.</w:t>
        <w:br/>
        <w:br/>
        <w:t>Cómo identificarla: todos los sujetos reportan Operaciones Inusuales e Internas Preocupantes. Los Asesores en Inversión solo tienen esos dos reportes. Las Operaciones Relevantes las tienen todos los demás. Las transferencias internacionales las tienen Bancos, Casas de Bolsa, SOCAP, SOFIPO, Casas de Cambio y Transmisores de Dinero. Los dólares en efectivo los tienen Bancos, Casas de Bolsa, SOCAP, SOFIPO, Uniones de Crédito, Casas de Cambio y Centros Cambiarios.</w:t>
        <w:br/>
        <w:br/>
        <w:t>De qué trata cada documento citado:</w:t>
        <w:br/>
        <w:t>• DCG de cada sujeto obligado (capítulos de reportes): Establecen qué reportes debe remitir cada tipo de sujeto a la Secretaría, por conducto de la Comisión.</w:t>
      </w:r>
    </w:p>
    <w:p>
      <w:pPr>
        <w:pStyle w:val="Heading2"/>
      </w:pPr>
      <w:r>
        <w:t>Pregunta 4</w:t>
      </w:r>
    </w:p>
    <w:p>
      <w:r>
        <w:t>Cuadro «quién reporta qué». Las columnas, en orden, son los sujetos obligados: 1) SOCAP · 2) SOFIPO · 3) Fondos de Inversión · 4) Centros Cambiarios.</w:t>
        <w:br/>
        <w:t>Los renglones son los tipos de reporte. «X» significa que las DCG (Disposiciones de Carácter General) de ese sujeto tienen un capítulo de ese reporte; «—» significa que no lo tienen.</w:t>
        <w:br/>
        <w:t>¿Cuál opción completa correctamente el cuadro?</w:t>
      </w:r>
    </w:p>
    <w:p>
      <w:r>
        <w:rPr>
          <w:b/>
        </w:rPr>
        <w:t>Opción 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SOCAP</w:t>
            </w:r>
          </w:p>
        </w:tc>
        <w:tc>
          <w:tcPr>
            <w:tcW w:type="dxa" w:w="1728"/>
          </w:tcPr>
          <w:p>
            <w:r>
              <w:t>SOFIPO</w:t>
            </w:r>
          </w:p>
        </w:tc>
        <w:tc>
          <w:tcPr>
            <w:tcW w:type="dxa" w:w="1728"/>
          </w:tcPr>
          <w:p>
            <w:r>
              <w:t>Fondos de Inversión</w:t>
            </w:r>
          </w:p>
        </w:tc>
        <w:tc>
          <w:tcPr>
            <w:tcW w:type="dxa" w:w="1728"/>
          </w:tcPr>
          <w:p>
            <w:r>
              <w:t>Centros Cambiarios</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X</w:t>
            </w:r>
          </w:p>
        </w:tc>
      </w:tr>
      <w:tr>
        <w:tc>
          <w:tcPr>
            <w:tcW w:type="dxa" w:w="1728"/>
          </w:tcPr>
          <w:p>
            <w:r>
              <w:t>Operaciones en efectivo con dólares</w:t>
            </w:r>
          </w:p>
        </w:tc>
        <w:tc>
          <w:tcPr>
            <w:tcW w:type="dxa" w:w="1728"/>
          </w:tcPr>
          <w:p>
            <w:pPr>
              <w:jc w:val="center"/>
            </w:pPr>
            <w:r>
              <w:t>—</w:t>
            </w:r>
          </w:p>
        </w:tc>
        <w:tc>
          <w:tcPr>
            <w:tcW w:type="dxa" w:w="1728"/>
          </w:tcPr>
          <w:p>
            <w:pPr>
              <w:jc w:val="center"/>
            </w:pPr>
            <w:r>
              <w:t>—</w:t>
            </w:r>
          </w:p>
        </w:tc>
        <w:tc>
          <w:tcPr>
            <w:tcW w:type="dxa" w:w="1728"/>
          </w:tcPr>
          <w:p>
            <w:pPr>
              <w:jc w:val="center"/>
            </w:pPr>
            <w:r>
              <w:t>X</w:t>
            </w:r>
          </w:p>
        </w:tc>
        <w:tc>
          <w:tcPr>
            <w:tcW w:type="dxa" w:w="1728"/>
          </w:tcPr>
          <w:p>
            <w:pPr>
              <w:jc w:val="center"/>
            </w:pPr>
            <w:r>
              <w:t>X</w:t>
            </w:r>
          </w:p>
        </w:tc>
      </w:tr>
      <w:tr>
        <w:tc>
          <w:tcPr>
            <w:tcW w:type="dxa" w:w="1728"/>
          </w:tcPr>
          <w:p>
            <w:r>
              <w:t>Transferencias internacionales de fondos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bl>
    <w:p>
      <w:r>
        <w:rPr>
          <w:b/>
        </w:rPr>
        <w:t>Opción 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SOCAP</w:t>
            </w:r>
          </w:p>
        </w:tc>
        <w:tc>
          <w:tcPr>
            <w:tcW w:type="dxa" w:w="1728"/>
          </w:tcPr>
          <w:p>
            <w:r>
              <w:t>SOFIPO</w:t>
            </w:r>
          </w:p>
        </w:tc>
        <w:tc>
          <w:tcPr>
            <w:tcW w:type="dxa" w:w="1728"/>
          </w:tcPr>
          <w:p>
            <w:r>
              <w:t>Fondos de Inversión</w:t>
            </w:r>
          </w:p>
        </w:tc>
        <w:tc>
          <w:tcPr>
            <w:tcW w:type="dxa" w:w="1728"/>
          </w:tcPr>
          <w:p>
            <w:r>
              <w:t>Centros Cambiarios</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X</w:t>
            </w:r>
          </w:p>
        </w:tc>
      </w:tr>
      <w:tr>
        <w:tc>
          <w:tcPr>
            <w:tcW w:type="dxa" w:w="1728"/>
          </w:tcPr>
          <w:p>
            <w:r>
              <w:t>Transferencias internacionales de fondos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bl>
    <w:p>
      <w:r>
        <w:rPr>
          <w:b/>
        </w:rPr>
        <w:t>Opción 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SOCAP</w:t>
            </w:r>
          </w:p>
        </w:tc>
        <w:tc>
          <w:tcPr>
            <w:tcW w:type="dxa" w:w="1728"/>
          </w:tcPr>
          <w:p>
            <w:r>
              <w:t>SOFIPO</w:t>
            </w:r>
          </w:p>
        </w:tc>
        <w:tc>
          <w:tcPr>
            <w:tcW w:type="dxa" w:w="1728"/>
          </w:tcPr>
          <w:p>
            <w:r>
              <w:t>Fondos de Inversión</w:t>
            </w:r>
          </w:p>
        </w:tc>
        <w:tc>
          <w:tcPr>
            <w:tcW w:type="dxa" w:w="1728"/>
          </w:tcPr>
          <w:p>
            <w:r>
              <w:t>Centros Cambiarios</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X</w:t>
            </w:r>
          </w:p>
        </w:tc>
      </w:tr>
      <w:tr>
        <w:tc>
          <w:tcPr>
            <w:tcW w:type="dxa" w:w="1728"/>
          </w:tcPr>
          <w:p>
            <w:r>
              <w:t>Transferencias internacionales de fondos</w:t>
            </w:r>
          </w:p>
        </w:tc>
        <w:tc>
          <w:tcPr>
            <w:tcW w:type="dxa" w:w="1728"/>
          </w:tcPr>
          <w:p>
            <w:pPr>
              <w:jc w:val="center"/>
            </w:pPr>
            <w:r>
              <w:t>—</w:t>
            </w:r>
          </w:p>
        </w:tc>
        <w:tc>
          <w:tcPr>
            <w:tcW w:type="dxa" w:w="1728"/>
          </w:tcPr>
          <w:p>
            <w:pPr>
              <w:jc w:val="center"/>
            </w:pPr>
            <w:r>
              <w:t>X</w:t>
            </w:r>
          </w:p>
        </w:tc>
        <w:tc>
          <w:tcPr>
            <w:tcW w:type="dxa" w:w="1728"/>
          </w:tcPr>
          <w:p>
            <w:pPr>
              <w:jc w:val="center"/>
            </w:pPr>
            <w:r>
              <w:t>—</w:t>
            </w:r>
          </w:p>
        </w:tc>
        <w:tc>
          <w:tcPr>
            <w:tcW w:type="dxa" w:w="1728"/>
          </w:tcPr>
          <w:p>
            <w:pPr>
              <w:jc w:val="center"/>
            </w:pPr>
            <w:r>
              <w:t>X</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w:t>
            </w:r>
          </w:p>
        </w:tc>
        <w:tc>
          <w:tcPr>
            <w:tcW w:type="dxa" w:w="1728"/>
          </w:tcPr>
          <w:p>
            <w:pPr>
              <w:jc w:val="center"/>
            </w:pPr>
            <w:r>
              <w:t>X</w:t>
            </w:r>
          </w:p>
        </w:tc>
        <w:tc>
          <w:tcPr>
            <w:tcW w:type="dxa" w:w="1728"/>
          </w:tcPr>
          <w:p>
            <w:pPr>
              <w:jc w:val="center"/>
            </w:pPr>
            <w:r>
              <w:t>X</w:t>
            </w:r>
          </w:p>
        </w:tc>
      </w:tr>
    </w:tbl>
    <w:p>
      <w:r>
        <w:rPr>
          <w:b/>
        </w:rPr>
        <w:t>Respuesta correcta: B</w:t>
      </w:r>
    </w:p>
    <w:p>
      <w:r>
        <w:t>La respuesta correcta es la opción B. Según el capítulo de reportes de las DCG (Disposiciones de Carácter General) de cada sujeto obligado:</w:t>
        <w:br/>
        <w:t>• SOCAP: Relevantes, dólares en efectivo, transferencias internacionales, Inusuales, Internas Preocupantes.</w:t>
        <w:br/>
        <w:t>• SOFIPO: Relevantes, dólares en efectivo, transferencias internacionales, Inusuales, Internas Preocupantes.</w:t>
        <w:br/>
        <w:t>• Fondos de Inversión: Relevantes, Inusuales, Internas Preocupantes.</w:t>
        <w:br/>
        <w:t>• Centros Cambiarios: Relevantes, dólares en efectivo, Inusuales, Internas Preocupantes.</w:t>
        <w:br/>
        <w:br/>
        <w:t>Cómo identificarla: todos los sujetos reportan Operaciones Inusuales e Internas Preocupantes. Los Asesores en Inversión solo tienen esos dos reportes. Las Operaciones Relevantes las tienen todos los demás. Las transferencias internacionales las tienen Bancos, Casas de Bolsa, SOCAP, SOFIPO, Casas de Cambio y Transmisores de Dinero. Los dólares en efectivo los tienen Bancos, Casas de Bolsa, SOCAP, SOFIPO, Uniones de Crédito, Casas de Cambio y Centros Cambiarios.</w:t>
        <w:br/>
        <w:br/>
        <w:t>De qué trata cada documento citado:</w:t>
        <w:br/>
        <w:t>• DCG de cada sujeto obligado (capítulos de reportes): Establecen qué reportes debe remitir cada tipo de sujeto a la Secretaría, por conducto de la Comisión.</w:t>
      </w:r>
    </w:p>
    <w:p>
      <w:pPr>
        <w:pStyle w:val="Heading2"/>
      </w:pPr>
      <w:r>
        <w:t>Pregunta 5</w:t>
      </w:r>
    </w:p>
    <w:p>
      <w:r>
        <w:t>Cuadro «quién reporta qué». Las columnas, en orden, son los sujetos obligados: 1) Casas de Cambio · 2) Transmisores de Dinero · 3) Asesores en Inversión · 4) Uniones de Crédito.</w:t>
        <w:br/>
        <w:t>Los renglones son los tipos de reporte. «X» significa que las DCG (Disposiciones de Carácter General) de ese sujeto tienen un capítulo de ese reporte; «—» significa que no lo tienen.</w:t>
        <w:br/>
        <w:t>¿Cuál opción completa correctamente el cuadro?</w:t>
      </w:r>
    </w:p>
    <w:p>
      <w:r>
        <w:rPr>
          <w:b/>
        </w:rPr>
        <w:t>Opción 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Casas de Cambio</w:t>
            </w:r>
          </w:p>
        </w:tc>
        <w:tc>
          <w:tcPr>
            <w:tcW w:type="dxa" w:w="1728"/>
          </w:tcPr>
          <w:p>
            <w:r>
              <w:t>Transmisores de Dinero</w:t>
            </w:r>
          </w:p>
        </w:tc>
        <w:tc>
          <w:tcPr>
            <w:tcW w:type="dxa" w:w="1728"/>
          </w:tcPr>
          <w:p>
            <w:r>
              <w:t>Asesores en Inversión</w:t>
            </w:r>
          </w:p>
        </w:tc>
        <w:tc>
          <w:tcPr>
            <w:tcW w:type="dxa" w:w="1728"/>
          </w:tcPr>
          <w:p>
            <w:r>
              <w:t>Uniones de Crédito</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w:t>
            </w:r>
          </w:p>
        </w:tc>
        <w:tc>
          <w:tcPr>
            <w:tcW w:type="dxa" w:w="1728"/>
          </w:tcPr>
          <w:p>
            <w:pPr>
              <w:jc w:val="center"/>
            </w:pPr>
            <w:r>
              <w:t>—</w:t>
            </w:r>
          </w:p>
        </w:tc>
        <w:tc>
          <w:tcPr>
            <w:tcW w:type="dxa" w:w="1728"/>
          </w:tcPr>
          <w:p>
            <w:pPr>
              <w:jc w:val="center"/>
            </w:pPr>
            <w:r>
              <w:t>X</w:t>
            </w:r>
          </w:p>
        </w:tc>
      </w:tr>
      <w:tr>
        <w:tc>
          <w:tcPr>
            <w:tcW w:type="dxa" w:w="1728"/>
          </w:tcPr>
          <w:p>
            <w:r>
              <w:t>Transferencias internacionales de fondos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bl>
    <w:p>
      <w:r>
        <w:rPr>
          <w:b/>
        </w:rPr>
        <w:t>Opción 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Casas de Cambio</w:t>
            </w:r>
          </w:p>
        </w:tc>
        <w:tc>
          <w:tcPr>
            <w:tcW w:type="dxa" w:w="1728"/>
          </w:tcPr>
          <w:p>
            <w:r>
              <w:t>Transmisores de Dinero</w:t>
            </w:r>
          </w:p>
        </w:tc>
        <w:tc>
          <w:tcPr>
            <w:tcW w:type="dxa" w:w="1728"/>
          </w:tcPr>
          <w:p>
            <w:r>
              <w:t>Asesores en Inversión</w:t>
            </w:r>
          </w:p>
        </w:tc>
        <w:tc>
          <w:tcPr>
            <w:tcW w:type="dxa" w:w="1728"/>
          </w:tcPr>
          <w:p>
            <w:r>
              <w:t>Uniones de Crédito</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Operaciones en efectivo con dólares</w:t>
            </w:r>
          </w:p>
        </w:tc>
        <w:tc>
          <w:tcPr>
            <w:tcW w:type="dxa" w:w="1728"/>
          </w:tcPr>
          <w:p>
            <w:pPr>
              <w:jc w:val="center"/>
            </w:pPr>
            <w:r>
              <w:t>X</w:t>
            </w:r>
          </w:p>
        </w:tc>
        <w:tc>
          <w:tcPr>
            <w:tcW w:type="dxa" w:w="1728"/>
          </w:tcPr>
          <w:p>
            <w:pPr>
              <w:jc w:val="center"/>
            </w:pPr>
            <w:r>
              <w:t>—</w:t>
            </w:r>
          </w:p>
        </w:tc>
        <w:tc>
          <w:tcPr>
            <w:tcW w:type="dxa" w:w="1728"/>
          </w:tcPr>
          <w:p>
            <w:pPr>
              <w:jc w:val="center"/>
            </w:pPr>
            <w:r>
              <w:t>—</w:t>
            </w:r>
          </w:p>
        </w:tc>
        <w:tc>
          <w:tcPr>
            <w:tcW w:type="dxa" w:w="1728"/>
          </w:tcPr>
          <w:p>
            <w:pPr>
              <w:jc w:val="center"/>
            </w:pPr>
            <w:r>
              <w:t>X</w:t>
            </w:r>
          </w:p>
        </w:tc>
      </w:tr>
      <w:tr>
        <w:tc>
          <w:tcPr>
            <w:tcW w:type="dxa" w:w="1728"/>
          </w:tcPr>
          <w:p>
            <w:r>
              <w:t>Transferencias internacionales de fondos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w:t>
            </w:r>
          </w:p>
        </w:tc>
        <w:tc>
          <w:tcPr>
            <w:tcW w:type="dxa" w:w="1728"/>
          </w:tcPr>
          <w:p>
            <w:pPr>
              <w:jc w:val="center"/>
            </w:pPr>
            <w:r>
              <w:t>—</w:t>
            </w:r>
          </w:p>
        </w:tc>
        <w:tc>
          <w:tcPr>
            <w:tcW w:type="dxa" w:w="1728"/>
          </w:tcPr>
          <w:p>
            <w:pPr>
              <w:jc w:val="center"/>
            </w:pPr>
            <w:r>
              <w:t>X</w:t>
            </w:r>
          </w:p>
        </w:tc>
        <w:tc>
          <w:tcPr>
            <w:tcW w:type="dxa" w:w="1728"/>
          </w:tcPr>
          <w:p>
            <w:pPr>
              <w:jc w:val="center"/>
            </w:pPr>
            <w:r>
              <w:t>—</w:t>
            </w:r>
          </w:p>
        </w:tc>
      </w:tr>
    </w:tbl>
    <w:p>
      <w:r>
        <w:rPr>
          <w:b/>
        </w:rPr>
        <w:t>Opción 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Casas de Cambio</w:t>
            </w:r>
          </w:p>
        </w:tc>
        <w:tc>
          <w:tcPr>
            <w:tcW w:type="dxa" w:w="1728"/>
          </w:tcPr>
          <w:p>
            <w:r>
              <w:t>Transmisores de Dinero</w:t>
            </w:r>
          </w:p>
        </w:tc>
        <w:tc>
          <w:tcPr>
            <w:tcW w:type="dxa" w:w="1728"/>
          </w:tcPr>
          <w:p>
            <w:r>
              <w:t>Asesores en Inversión</w:t>
            </w:r>
          </w:p>
        </w:tc>
        <w:tc>
          <w:tcPr>
            <w:tcW w:type="dxa" w:w="1728"/>
          </w:tcPr>
          <w:p>
            <w:r>
              <w:t>Uniones de Crédito</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w:t>
            </w:r>
          </w:p>
        </w:tc>
        <w:tc>
          <w:tcPr>
            <w:tcW w:type="dxa" w:w="1728"/>
          </w:tcPr>
          <w:p>
            <w:pPr>
              <w:jc w:val="center"/>
            </w:pPr>
            <w:r>
              <w:t>—</w:t>
            </w:r>
          </w:p>
        </w:tc>
        <w:tc>
          <w:tcPr>
            <w:tcW w:type="dxa" w:w="1728"/>
          </w:tcPr>
          <w:p>
            <w:pPr>
              <w:jc w:val="center"/>
            </w:pPr>
            <w:r>
              <w:t>X</w:t>
            </w:r>
          </w:p>
        </w:tc>
      </w:tr>
      <w:tr>
        <w:tc>
          <w:tcPr>
            <w:tcW w:type="dxa" w:w="1728"/>
          </w:tcPr>
          <w:p>
            <w:r>
              <w:t>Transferencias internacionales de fondos</w:t>
            </w:r>
          </w:p>
        </w:tc>
        <w:tc>
          <w:tcPr>
            <w:tcW w:type="dxa" w:w="1728"/>
          </w:tcPr>
          <w:p>
            <w:pPr>
              <w:jc w:val="center"/>
            </w:pPr>
            <w:r>
              <w:t>X</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r>
              <w:t>Operaciones Inusuales</w:t>
            </w:r>
          </w:p>
        </w:tc>
        <w:tc>
          <w:tcPr>
            <w:tcW w:type="dxa" w:w="1728"/>
          </w:tcPr>
          <w:p>
            <w:pPr>
              <w:jc w:val="center"/>
            </w:pPr>
            <w:r>
              <w:t>—</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w:t>
            </w:r>
          </w:p>
        </w:tc>
        <w:tc>
          <w:tcPr>
            <w:tcW w:type="dxa" w:w="1728"/>
          </w:tcPr>
          <w:p>
            <w:pPr>
              <w:jc w:val="center"/>
            </w:pPr>
            <w:r>
              <w:t>X</w:t>
            </w:r>
          </w:p>
        </w:tc>
        <w:tc>
          <w:tcPr>
            <w:tcW w:type="dxa" w:w="1728"/>
          </w:tcPr>
          <w:p>
            <w:pPr>
              <w:jc w:val="center"/>
            </w:pPr>
            <w:r>
              <w:t>X</w:t>
            </w:r>
          </w:p>
        </w:tc>
      </w:tr>
    </w:tbl>
    <w:p>
      <w:r>
        <w:rPr>
          <w:b/>
        </w:rPr>
        <w:t>Respuesta correcta: A</w:t>
      </w:r>
    </w:p>
    <w:p>
      <w:r>
        <w:t>La respuesta correcta es la opción A. Según el capítulo de reportes de las DCG (Disposiciones de Carácter General) de cada sujeto obligado:</w:t>
        <w:br/>
        <w:t>• Casas de Cambio: Relevantes, dólares en efectivo, transferencias internacionales, Inusuales, Internas Preocupantes.</w:t>
        <w:br/>
        <w:t>• Transmisores de Dinero: Relevantes, transferencias internacionales, Inusuales, Internas Preocupantes.</w:t>
        <w:br/>
        <w:t>• Asesores en Inversión: Inusuales, Internas Preocupantes.</w:t>
        <w:br/>
        <w:t>• Uniones de Crédito: Relevantes, dólares en efectivo, Inusuales, Internas Preocupantes.</w:t>
        <w:br/>
        <w:br/>
        <w:t>Cómo identificarla: todos los sujetos reportan Operaciones Inusuales e Internas Preocupantes. Los Asesores en Inversión solo tienen esos dos reportes. Las Operaciones Relevantes las tienen todos los demás. Las transferencias internacionales las tienen Bancos, Casas de Bolsa, SOCAP, SOFIPO, Casas de Cambio y Transmisores de Dinero. Los dólares en efectivo los tienen Bancos, Casas de Bolsa, SOCAP, SOFIPO, Uniones de Crédito, Casas de Cambio y Centros Cambiarios.</w:t>
        <w:br/>
        <w:br/>
        <w:t>De qué trata cada documento citado:</w:t>
        <w:br/>
        <w:t>• DCG de cada sujeto obligado (capítulos de reportes): Establecen qué reportes debe remitir cada tipo de sujeto a la Secretaría, por conducto de la Comisión.</w:t>
      </w:r>
    </w:p>
    <w:p>
      <w:pPr>
        <w:pStyle w:val="Heading2"/>
      </w:pPr>
      <w:r>
        <w:t>Pregunta 6</w:t>
      </w:r>
    </w:p>
    <w:p>
      <w:r>
        <w:t>Cuadro «quién reporta qué». Las columnas, en orden, son los sujetos obligados: 1) Casas de Bolsa · 2) Centros Cambiarios · 3) SOFOM · 4) Fondos de Inversión.</w:t>
        <w:br/>
        <w:t>Los renglones son los tipos de reporte. «X» significa que las DCG (Disposiciones de Carácter General) de ese sujeto tienen un capítulo de ese reporte; «—» significa que no lo tienen.</w:t>
        <w:br/>
        <w:t>¿Cuál opción completa correctamente el cuadro?</w:t>
      </w:r>
    </w:p>
    <w:p>
      <w:r>
        <w:rPr>
          <w:b/>
        </w:rPr>
        <w:t>Opción 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Casas de Bolsa</w:t>
            </w:r>
          </w:p>
        </w:tc>
        <w:tc>
          <w:tcPr>
            <w:tcW w:type="dxa" w:w="1728"/>
          </w:tcPr>
          <w:p>
            <w:r>
              <w:t>Centros Cambiarios</w:t>
            </w:r>
          </w:p>
        </w:tc>
        <w:tc>
          <w:tcPr>
            <w:tcW w:type="dxa" w:w="1728"/>
          </w:tcPr>
          <w:p>
            <w:r>
              <w:t>SOFOM</w:t>
            </w:r>
          </w:p>
        </w:tc>
        <w:tc>
          <w:tcPr>
            <w:tcW w:type="dxa" w:w="1728"/>
          </w:tcPr>
          <w:p>
            <w:r>
              <w:t>Fondos de Inversión</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w:t>
            </w:r>
          </w:p>
        </w:tc>
      </w:tr>
      <w:tr>
        <w:tc>
          <w:tcPr>
            <w:tcW w:type="dxa" w:w="1728"/>
          </w:tcPr>
          <w:p>
            <w:r>
              <w:t>Operaciones en efectivo con dólares</w:t>
            </w:r>
          </w:p>
        </w:tc>
        <w:tc>
          <w:tcPr>
            <w:tcW w:type="dxa" w:w="1728"/>
          </w:tcPr>
          <w:p>
            <w:pPr>
              <w:jc w:val="center"/>
            </w:pPr>
            <w:r>
              <w:t>X</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r>
              <w:t>Transferencias internacionales de fondos</w:t>
            </w:r>
          </w:p>
        </w:tc>
        <w:tc>
          <w:tcPr>
            <w:tcW w:type="dxa" w:w="1728"/>
          </w:tcPr>
          <w:p>
            <w:pPr>
              <w:jc w:val="center"/>
            </w:pPr>
            <w:r>
              <w:t>—</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bl>
    <w:p>
      <w:r>
        <w:rPr>
          <w:b/>
        </w:rPr>
        <w:t>Opción 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Casas de Bolsa</w:t>
            </w:r>
          </w:p>
        </w:tc>
        <w:tc>
          <w:tcPr>
            <w:tcW w:type="dxa" w:w="1728"/>
          </w:tcPr>
          <w:p>
            <w:r>
              <w:t>Centros Cambiarios</w:t>
            </w:r>
          </w:p>
        </w:tc>
        <w:tc>
          <w:tcPr>
            <w:tcW w:type="dxa" w:w="1728"/>
          </w:tcPr>
          <w:p>
            <w:r>
              <w:t>SOFOM</w:t>
            </w:r>
          </w:p>
        </w:tc>
        <w:tc>
          <w:tcPr>
            <w:tcW w:type="dxa" w:w="1728"/>
          </w:tcPr>
          <w:p>
            <w:r>
              <w:t>Fondos de Inversión</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Transferencias internacionales de fondos</w:t>
            </w:r>
          </w:p>
        </w:tc>
        <w:tc>
          <w:tcPr>
            <w:tcW w:type="dxa" w:w="1728"/>
          </w:tcPr>
          <w:p>
            <w:pPr>
              <w:jc w:val="center"/>
            </w:pPr>
            <w:r>
              <w:t>X</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w:t>
            </w:r>
          </w:p>
        </w:tc>
        <w:tc>
          <w:tcPr>
            <w:tcW w:type="dxa" w:w="1728"/>
          </w:tcPr>
          <w:p>
            <w:pPr>
              <w:jc w:val="center"/>
            </w:pPr>
            <w:r>
              <w:t>X</w:t>
            </w:r>
          </w:p>
        </w:tc>
        <w:tc>
          <w:tcPr>
            <w:tcW w:type="dxa" w:w="1728"/>
          </w:tcPr>
          <w:p>
            <w:pPr>
              <w:jc w:val="center"/>
            </w:pPr>
            <w:r>
              <w:t>X</w:t>
            </w:r>
          </w:p>
        </w:tc>
        <w:tc>
          <w:tcPr>
            <w:tcW w:type="dxa" w:w="1728"/>
          </w:tcPr>
          <w:p>
            <w:pPr>
              <w:jc w:val="center"/>
            </w:pPr>
            <w:r>
              <w:t>—</w:t>
            </w:r>
          </w:p>
        </w:tc>
      </w:tr>
    </w:tbl>
    <w:p>
      <w:r>
        <w:rPr>
          <w:b/>
        </w:rPr>
        <w:t>Opción 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Casas de Bolsa</w:t>
            </w:r>
          </w:p>
        </w:tc>
        <w:tc>
          <w:tcPr>
            <w:tcW w:type="dxa" w:w="1728"/>
          </w:tcPr>
          <w:p>
            <w:r>
              <w:t>Centros Cambiarios</w:t>
            </w:r>
          </w:p>
        </w:tc>
        <w:tc>
          <w:tcPr>
            <w:tcW w:type="dxa" w:w="1728"/>
          </w:tcPr>
          <w:p>
            <w:r>
              <w:t>SOFOM</w:t>
            </w:r>
          </w:p>
        </w:tc>
        <w:tc>
          <w:tcPr>
            <w:tcW w:type="dxa" w:w="1728"/>
          </w:tcPr>
          <w:p>
            <w:r>
              <w:t>Fondos de Inversión</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Transferencias internacionales de fondos</w:t>
            </w:r>
          </w:p>
        </w:tc>
        <w:tc>
          <w:tcPr>
            <w:tcW w:type="dxa" w:w="1728"/>
          </w:tcPr>
          <w:p>
            <w:pPr>
              <w:jc w:val="center"/>
            </w:pPr>
            <w:r>
              <w:t>X</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bl>
    <w:p>
      <w:r>
        <w:rPr>
          <w:b/>
        </w:rPr>
        <w:t>Respuesta correcta: C</w:t>
      </w:r>
    </w:p>
    <w:p>
      <w:r>
        <w:t>La respuesta correcta es la opción C. Según el capítulo de reportes de las DCG (Disposiciones de Carácter General) de cada sujeto obligado:</w:t>
        <w:br/>
        <w:t>• Casas de Bolsa: Relevantes, dólares en efectivo, transferencias internacionales, Inusuales, Internas Preocupantes.</w:t>
        <w:br/>
        <w:t>• Centros Cambiarios: Relevantes, dólares en efectivo, Inusuales, Internas Preocupantes.</w:t>
        <w:br/>
        <w:t>• SOFOM: Relevantes, Inusuales, Internas Preocupantes.</w:t>
        <w:br/>
        <w:t>• Fondos de Inversión: Relevantes, Inusuales, Internas Preocupantes.</w:t>
        <w:br/>
        <w:br/>
        <w:t>Cómo identificarla: todos los sujetos reportan Operaciones Inusuales e Internas Preocupantes. Los Asesores en Inversión solo tienen esos dos reportes. Las Operaciones Relevantes las tienen todos los demás. Las transferencias internacionales las tienen Bancos, Casas de Bolsa, SOCAP, SOFIPO, Casas de Cambio y Transmisores de Dinero. Los dólares en efectivo los tienen Bancos, Casas de Bolsa, SOCAP, SOFIPO, Uniones de Crédito, Casas de Cambio y Centros Cambiarios.</w:t>
        <w:br/>
        <w:br/>
        <w:t>De qué trata cada documento citado:</w:t>
        <w:br/>
        <w:t>• DCG de cada sujeto obligado (capítulos de reportes): Establecen qué reportes debe remitir cada tipo de sujeto a la Secretaría, por conducto de la Comisión.</w:t>
      </w:r>
    </w:p>
    <w:p>
      <w:pPr>
        <w:pStyle w:val="Heading2"/>
      </w:pPr>
      <w:r>
        <w:t>Pregunta 7</w:t>
      </w:r>
    </w:p>
    <w:p>
      <w:r>
        <w:t>Cuadro «quién reporta qué». Las columnas, en orden, son los sujetos obligados: 1) Bancos · 2) Casas de Cambio · 3) Centros Cambiarios · 4) Transmisores de Dinero.</w:t>
        <w:br/>
        <w:t>Los renglones son los tipos de reporte. «X» significa que las DCG (Disposiciones de Carácter General) de ese sujeto tienen un capítulo de ese reporte; «—» significa que no lo tienen.</w:t>
        <w:br/>
        <w:t>¿Cuál opción completa correctamente el cuadro?</w:t>
      </w:r>
    </w:p>
    <w:p>
      <w:r>
        <w:rPr>
          <w:b/>
        </w:rPr>
        <w:t>Opción 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Bancos</w:t>
            </w:r>
          </w:p>
        </w:tc>
        <w:tc>
          <w:tcPr>
            <w:tcW w:type="dxa" w:w="1728"/>
          </w:tcPr>
          <w:p>
            <w:r>
              <w:t>Casas de Cambio</w:t>
            </w:r>
          </w:p>
        </w:tc>
        <w:tc>
          <w:tcPr>
            <w:tcW w:type="dxa" w:w="1728"/>
          </w:tcPr>
          <w:p>
            <w:r>
              <w:t>Centros Cambiarios</w:t>
            </w:r>
          </w:p>
        </w:tc>
        <w:tc>
          <w:tcPr>
            <w:tcW w:type="dxa" w:w="1728"/>
          </w:tcPr>
          <w:p>
            <w:r>
              <w:t>Transmisores de Dinero</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Transferencias internacionales de fondos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X</w:t>
            </w:r>
          </w:p>
        </w:tc>
      </w:tr>
      <w:tr>
        <w:tc>
          <w:tcPr>
            <w:tcW w:type="dxa" w:w="1728"/>
          </w:tcPr>
          <w:p>
            <w:r>
              <w:t>Operaciones Inusuales</w:t>
            </w:r>
          </w:p>
        </w:tc>
        <w:tc>
          <w:tcPr>
            <w:tcW w:type="dxa" w:w="1728"/>
          </w:tcPr>
          <w:p>
            <w:pPr>
              <w:jc w:val="center"/>
            </w:pPr>
            <w:r>
              <w:t>X</w:t>
            </w:r>
          </w:p>
        </w:tc>
        <w:tc>
          <w:tcPr>
            <w:tcW w:type="dxa" w:w="1728"/>
          </w:tcPr>
          <w:p>
            <w:pPr>
              <w:jc w:val="center"/>
            </w:pPr>
            <w:r>
              <w:t>—</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bl>
    <w:p>
      <w:r>
        <w:rPr>
          <w:b/>
        </w:rPr>
        <w:t>Opción 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Bancos</w:t>
            </w:r>
          </w:p>
        </w:tc>
        <w:tc>
          <w:tcPr>
            <w:tcW w:type="dxa" w:w="1728"/>
          </w:tcPr>
          <w:p>
            <w:r>
              <w:t>Casas de Cambio</w:t>
            </w:r>
          </w:p>
        </w:tc>
        <w:tc>
          <w:tcPr>
            <w:tcW w:type="dxa" w:w="1728"/>
          </w:tcPr>
          <w:p>
            <w:r>
              <w:t>Centros Cambiarios</w:t>
            </w:r>
          </w:p>
        </w:tc>
        <w:tc>
          <w:tcPr>
            <w:tcW w:type="dxa" w:w="1728"/>
          </w:tcPr>
          <w:p>
            <w:r>
              <w:t>Transmisores de Dinero</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Transferencias internacionales de fondos</w:t>
            </w:r>
          </w:p>
        </w:tc>
        <w:tc>
          <w:tcPr>
            <w:tcW w:type="dxa" w:w="1728"/>
          </w:tcPr>
          <w:p>
            <w:pPr>
              <w:jc w:val="center"/>
            </w:pPr>
            <w:r>
              <w:t>X</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bl>
    <w:p>
      <w:r>
        <w:rPr>
          <w:b/>
        </w:rPr>
        <w:t>Opción 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Bancos</w:t>
            </w:r>
          </w:p>
        </w:tc>
        <w:tc>
          <w:tcPr>
            <w:tcW w:type="dxa" w:w="1728"/>
          </w:tcPr>
          <w:p>
            <w:r>
              <w:t>Casas de Cambio</w:t>
            </w:r>
          </w:p>
        </w:tc>
        <w:tc>
          <w:tcPr>
            <w:tcW w:type="dxa" w:w="1728"/>
          </w:tcPr>
          <w:p>
            <w:r>
              <w:t>Centros Cambiarios</w:t>
            </w:r>
          </w:p>
        </w:tc>
        <w:tc>
          <w:tcPr>
            <w:tcW w:type="dxa" w:w="1728"/>
          </w:tcPr>
          <w:p>
            <w:r>
              <w:t>Transmisores de Dinero</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w:t>
            </w:r>
          </w:p>
        </w:tc>
      </w:tr>
      <w:tr>
        <w:tc>
          <w:tcPr>
            <w:tcW w:type="dxa" w:w="1728"/>
          </w:tcPr>
          <w:p>
            <w:r>
              <w:t>Transferencias internacionales de fondos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X</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bl>
    <w:p>
      <w:r>
        <w:rPr>
          <w:b/>
        </w:rPr>
        <w:t>Respuesta correcta: C</w:t>
      </w:r>
    </w:p>
    <w:p>
      <w:r>
        <w:t>La respuesta correcta es la opción C. Según el capítulo de reportes de las DCG (Disposiciones de Carácter General) de cada sujeto obligado:</w:t>
        <w:br/>
        <w:t>• Bancos: Relevantes, dólares en efectivo, transferencias internacionales, Inusuales, Internas Preocupantes.</w:t>
        <w:br/>
        <w:t>• Casas de Cambio: Relevantes, dólares en efectivo, transferencias internacionales, Inusuales, Internas Preocupantes.</w:t>
        <w:br/>
        <w:t>• Centros Cambiarios: Relevantes, dólares en efectivo, Inusuales, Internas Preocupantes.</w:t>
        <w:br/>
        <w:t>• Transmisores de Dinero: Relevantes, transferencias internacionales, Inusuales, Internas Preocupantes.</w:t>
        <w:br/>
        <w:br/>
        <w:t>Cómo identificarla: todos los sujetos reportan Operaciones Inusuales e Internas Preocupantes. Los Asesores en Inversión solo tienen esos dos reportes. Las Operaciones Relevantes las tienen todos los demás. Las transferencias internacionales las tienen Bancos, Casas de Bolsa, SOCAP, SOFIPO, Casas de Cambio y Transmisores de Dinero. Los dólares en efectivo los tienen Bancos, Casas de Bolsa, SOCAP, SOFIPO, Uniones de Crédito, Casas de Cambio y Centros Cambiarios.</w:t>
        <w:br/>
        <w:br/>
        <w:t>De qué trata cada documento citado:</w:t>
        <w:br/>
        <w:t>• DCG de cada sujeto obligado (capítulos de reportes): Establecen qué reportes debe remitir cada tipo de sujeto a la Secretaría, por conducto de la Comisión.</w:t>
      </w:r>
    </w:p>
    <w:p>
      <w:pPr>
        <w:pStyle w:val="Heading2"/>
      </w:pPr>
      <w:r>
        <w:t>Pregunta 8</w:t>
      </w:r>
    </w:p>
    <w:p>
      <w:r>
        <w:t>Cuadro «quién reporta qué». Las columnas, en orden, son los sujetos obligados: 1) Uniones de Crédito · 2) SOFIPO · 3) Asesores en Inversión · 4) SOFOM.</w:t>
        <w:br/>
        <w:t>Los renglones son los tipos de reporte. «X» significa que las DCG (Disposiciones de Carácter General) de ese sujeto tienen un capítulo de ese reporte; «—» significa que no lo tienen.</w:t>
        <w:br/>
        <w:t>¿Cuál opción completa correctamente el cuadro?</w:t>
      </w:r>
    </w:p>
    <w:p>
      <w:r>
        <w:rPr>
          <w:b/>
        </w:rPr>
        <w:t>Opción 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Uniones de Crédito</w:t>
            </w:r>
          </w:p>
        </w:tc>
        <w:tc>
          <w:tcPr>
            <w:tcW w:type="dxa" w:w="1728"/>
          </w:tcPr>
          <w:p>
            <w:r>
              <w:t>SOFIPO</w:t>
            </w:r>
          </w:p>
        </w:tc>
        <w:tc>
          <w:tcPr>
            <w:tcW w:type="dxa" w:w="1728"/>
          </w:tcPr>
          <w:p>
            <w:r>
              <w:t>Asesores en Inversión</w:t>
            </w:r>
          </w:p>
        </w:tc>
        <w:tc>
          <w:tcPr>
            <w:tcW w:type="dxa" w:w="1728"/>
          </w:tcPr>
          <w:p>
            <w:r>
              <w:t>SOFOM</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w:t>
            </w:r>
          </w:p>
        </w:tc>
        <w:tc>
          <w:tcPr>
            <w:tcW w:type="dxa" w:w="1728"/>
          </w:tcPr>
          <w:p>
            <w:pPr>
              <w:jc w:val="center"/>
            </w:pPr>
            <w:r>
              <w:t>—</w:t>
            </w:r>
          </w:p>
        </w:tc>
        <w:tc>
          <w:tcPr>
            <w:tcW w:type="dxa" w:w="1728"/>
          </w:tcPr>
          <w:p>
            <w:pPr>
              <w:jc w:val="center"/>
            </w:pPr>
            <w:r>
              <w:t>—</w:t>
            </w:r>
          </w:p>
        </w:tc>
      </w:tr>
      <w:tr>
        <w:tc>
          <w:tcPr>
            <w:tcW w:type="dxa" w:w="1728"/>
          </w:tcPr>
          <w:p>
            <w:r>
              <w:t>Transferencias internacionales de fondos</w:t>
            </w:r>
          </w:p>
        </w:tc>
        <w:tc>
          <w:tcPr>
            <w:tcW w:type="dxa" w:w="1728"/>
          </w:tcPr>
          <w:p>
            <w:pPr>
              <w:jc w:val="center"/>
            </w:pPr>
            <w:r>
              <w:t>—</w:t>
            </w:r>
          </w:p>
        </w:tc>
        <w:tc>
          <w:tcPr>
            <w:tcW w:type="dxa" w:w="1728"/>
          </w:tcPr>
          <w:p>
            <w:pPr>
              <w:jc w:val="center"/>
            </w:pPr>
            <w:r>
              <w:t>—</w:t>
            </w:r>
          </w:p>
        </w:tc>
        <w:tc>
          <w:tcPr>
            <w:tcW w:type="dxa" w:w="1728"/>
          </w:tcPr>
          <w:p>
            <w:pPr>
              <w:jc w:val="center"/>
            </w:pPr>
            <w:r>
              <w:t>X</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w:t>
            </w:r>
          </w:p>
        </w:tc>
        <w:tc>
          <w:tcPr>
            <w:tcW w:type="dxa" w:w="1728"/>
          </w:tcPr>
          <w:p>
            <w:pPr>
              <w:jc w:val="center"/>
            </w:pPr>
            <w:r>
              <w:t>X</w:t>
            </w:r>
          </w:p>
        </w:tc>
        <w:tc>
          <w:tcPr>
            <w:tcW w:type="dxa" w:w="1728"/>
          </w:tcPr>
          <w:p>
            <w:pPr>
              <w:jc w:val="center"/>
            </w:pPr>
            <w:r>
              <w:t>X</w:t>
            </w:r>
          </w:p>
        </w:tc>
      </w:tr>
    </w:tbl>
    <w:p>
      <w:r>
        <w:rPr>
          <w:b/>
        </w:rPr>
        <w:t>Opción 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Uniones de Crédito</w:t>
            </w:r>
          </w:p>
        </w:tc>
        <w:tc>
          <w:tcPr>
            <w:tcW w:type="dxa" w:w="1728"/>
          </w:tcPr>
          <w:p>
            <w:r>
              <w:t>SOFIPO</w:t>
            </w:r>
          </w:p>
        </w:tc>
        <w:tc>
          <w:tcPr>
            <w:tcW w:type="dxa" w:w="1728"/>
          </w:tcPr>
          <w:p>
            <w:r>
              <w:t>Asesores en Inversión</w:t>
            </w:r>
          </w:p>
        </w:tc>
        <w:tc>
          <w:tcPr>
            <w:tcW w:type="dxa" w:w="1728"/>
          </w:tcPr>
          <w:p>
            <w:r>
              <w:t>SOFOM</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Transferencias internacionales de fondos</w:t>
            </w:r>
          </w:p>
        </w:tc>
        <w:tc>
          <w:tcPr>
            <w:tcW w:type="dxa" w:w="1728"/>
          </w:tcPr>
          <w:p>
            <w:pPr>
              <w:jc w:val="center"/>
            </w:pPr>
            <w:r>
              <w:t>—</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Operaciones Inusuales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bl>
    <w:p>
      <w:r>
        <w:rPr>
          <w:b/>
        </w:rPr>
        <w:t>Opción 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t>Uniones de Crédito</w:t>
            </w:r>
          </w:p>
        </w:tc>
        <w:tc>
          <w:tcPr>
            <w:tcW w:type="dxa" w:w="1728"/>
          </w:tcPr>
          <w:p>
            <w:r>
              <w:t>SOFIPO</w:t>
            </w:r>
          </w:p>
        </w:tc>
        <w:tc>
          <w:tcPr>
            <w:tcW w:type="dxa" w:w="1728"/>
          </w:tcPr>
          <w:p>
            <w:r>
              <w:t>Asesores en Inversión</w:t>
            </w:r>
          </w:p>
        </w:tc>
        <w:tc>
          <w:tcPr>
            <w:tcW w:type="dxa" w:w="1728"/>
          </w:tcPr>
          <w:p>
            <w:r>
              <w:t>SOFOM</w:t>
            </w:r>
          </w:p>
        </w:tc>
      </w:tr>
      <w:tr>
        <w:tc>
          <w:tcPr>
            <w:tcW w:type="dxa" w:w="1728"/>
          </w:tcPr>
          <w:p>
            <w:r>
              <w:t>Operaciones Relevantes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r>
        <w:tc>
          <w:tcPr>
            <w:tcW w:type="dxa" w:w="1728"/>
          </w:tcPr>
          <w:p>
            <w:r>
              <w:t>Operaciones en efectivo con dólares</w:t>
            </w:r>
          </w:p>
        </w:tc>
        <w:tc>
          <w:tcPr>
            <w:tcW w:type="dxa" w:w="1728"/>
          </w:tcPr>
          <w:p>
            <w:pPr>
              <w:jc w:val="center"/>
            </w:pPr>
            <w:r>
              <w:t>X</w:t>
            </w:r>
          </w:p>
        </w:tc>
        <w:tc>
          <w:tcPr>
            <w:tcW w:type="dxa" w:w="1728"/>
          </w:tcPr>
          <w:p>
            <w:pPr>
              <w:jc w:val="center"/>
            </w:pPr>
            <w:r>
              <w:t>X</w:t>
            </w:r>
          </w:p>
        </w:tc>
        <w:tc>
          <w:tcPr>
            <w:tcW w:type="dxa" w:w="1728"/>
          </w:tcPr>
          <w:p>
            <w:pPr>
              <w:jc w:val="center"/>
            </w:pPr>
            <w:r>
              <w:t>—</w:t>
            </w:r>
          </w:p>
        </w:tc>
        <w:tc>
          <w:tcPr>
            <w:tcW w:type="dxa" w:w="1728"/>
          </w:tcPr>
          <w:p>
            <w:pPr>
              <w:jc w:val="center"/>
            </w:pPr>
            <w:r>
              <w:t>—</w:t>
            </w:r>
          </w:p>
        </w:tc>
      </w:tr>
      <w:tr>
        <w:tc>
          <w:tcPr>
            <w:tcW w:type="dxa" w:w="1728"/>
          </w:tcPr>
          <w:p>
            <w:r>
              <w:t>Transferencias internacionales de fondos</w:t>
            </w:r>
          </w:p>
        </w:tc>
        <w:tc>
          <w:tcPr>
            <w:tcW w:type="dxa" w:w="1728"/>
          </w:tcPr>
          <w:p>
            <w:pPr>
              <w:jc w:val="center"/>
            </w:pPr>
            <w:r>
              <w:t>—</w:t>
            </w:r>
          </w:p>
        </w:tc>
        <w:tc>
          <w:tcPr>
            <w:tcW w:type="dxa" w:w="1728"/>
          </w:tcPr>
          <w:p>
            <w:pPr>
              <w:jc w:val="center"/>
            </w:pPr>
            <w:r>
              <w:t>X</w:t>
            </w:r>
          </w:p>
        </w:tc>
        <w:tc>
          <w:tcPr>
            <w:tcW w:type="dxa" w:w="1728"/>
          </w:tcPr>
          <w:p>
            <w:pPr>
              <w:jc w:val="center"/>
            </w:pPr>
            <w:r>
              <w:t>—</w:t>
            </w:r>
          </w:p>
        </w:tc>
        <w:tc>
          <w:tcPr>
            <w:tcW w:type="dxa" w:w="1728"/>
          </w:tcPr>
          <w:p>
            <w:pPr>
              <w:jc w:val="center"/>
            </w:pPr>
            <w:r>
              <w:t>X</w:t>
            </w:r>
          </w:p>
        </w:tc>
      </w:tr>
      <w:tr>
        <w:tc>
          <w:tcPr>
            <w:tcW w:type="dxa" w:w="1728"/>
          </w:tcPr>
          <w:p>
            <w:r>
              <w:t>Operaciones Inusuales</w:t>
            </w:r>
          </w:p>
        </w:tc>
        <w:tc>
          <w:tcPr>
            <w:tcW w:type="dxa" w:w="1728"/>
          </w:tcPr>
          <w:p>
            <w:pPr>
              <w:jc w:val="center"/>
            </w:pPr>
            <w:r>
              <w:t>X</w:t>
            </w:r>
          </w:p>
        </w:tc>
        <w:tc>
          <w:tcPr>
            <w:tcW w:type="dxa" w:w="1728"/>
          </w:tcPr>
          <w:p>
            <w:pPr>
              <w:jc w:val="center"/>
            </w:pPr>
            <w:r>
              <w:t>—</w:t>
            </w:r>
          </w:p>
        </w:tc>
        <w:tc>
          <w:tcPr>
            <w:tcW w:type="dxa" w:w="1728"/>
          </w:tcPr>
          <w:p>
            <w:pPr>
              <w:jc w:val="center"/>
            </w:pPr>
            <w:r>
              <w:t>X</w:t>
            </w:r>
          </w:p>
        </w:tc>
        <w:tc>
          <w:tcPr>
            <w:tcW w:type="dxa" w:w="1728"/>
          </w:tcPr>
          <w:p>
            <w:pPr>
              <w:jc w:val="center"/>
            </w:pPr>
            <w:r>
              <w:t>X</w:t>
            </w:r>
          </w:p>
        </w:tc>
      </w:tr>
      <w:tr>
        <w:tc>
          <w:tcPr>
            <w:tcW w:type="dxa" w:w="1728"/>
          </w:tcPr>
          <w:p>
            <w:r>
              <w:t>Operaciones Internas Preocupantes</w:t>
            </w:r>
          </w:p>
        </w:tc>
        <w:tc>
          <w:tcPr>
            <w:tcW w:type="dxa" w:w="1728"/>
          </w:tcPr>
          <w:p>
            <w:pPr>
              <w:jc w:val="center"/>
            </w:pPr>
            <w:r>
              <w:t>X</w:t>
            </w:r>
          </w:p>
        </w:tc>
        <w:tc>
          <w:tcPr>
            <w:tcW w:type="dxa" w:w="1728"/>
          </w:tcPr>
          <w:p>
            <w:pPr>
              <w:jc w:val="center"/>
            </w:pPr>
            <w:r>
              <w:t>X</w:t>
            </w:r>
          </w:p>
        </w:tc>
        <w:tc>
          <w:tcPr>
            <w:tcW w:type="dxa" w:w="1728"/>
          </w:tcPr>
          <w:p>
            <w:pPr>
              <w:jc w:val="center"/>
            </w:pPr>
            <w:r>
              <w:t>X</w:t>
            </w:r>
          </w:p>
        </w:tc>
        <w:tc>
          <w:tcPr>
            <w:tcW w:type="dxa" w:w="1728"/>
          </w:tcPr>
          <w:p>
            <w:pPr>
              <w:jc w:val="center"/>
            </w:pPr>
            <w:r>
              <w:t>X</w:t>
            </w:r>
          </w:p>
        </w:tc>
      </w:tr>
    </w:tbl>
    <w:p>
      <w:r>
        <w:rPr>
          <w:b/>
        </w:rPr>
        <w:t>Respuesta correcta: B</w:t>
      </w:r>
    </w:p>
    <w:p>
      <w:r>
        <w:t>La respuesta correcta es la opción B. Según el capítulo de reportes de las DCG (Disposiciones de Carácter General) de cada sujeto obligado:</w:t>
        <w:br/>
        <w:t>• Uniones de Crédito: Relevantes, dólares en efectivo, Inusuales, Internas Preocupantes.</w:t>
        <w:br/>
        <w:t>• SOFIPO: Relevantes, dólares en efectivo, transferencias internacionales, Inusuales, Internas Preocupantes.</w:t>
        <w:br/>
        <w:t>• Asesores en Inversión: Inusuales, Internas Preocupantes.</w:t>
        <w:br/>
        <w:t>• SOFOM: Relevantes, Inusuales, Internas Preocupantes.</w:t>
        <w:br/>
        <w:br/>
        <w:t>Cómo identificarla: todos los sujetos reportan Operaciones Inusuales e Internas Preocupantes. Los Asesores en Inversión solo tienen esos dos reportes. Las Operaciones Relevantes las tienen todos los demás. Las transferencias internacionales las tienen Bancos, Casas de Bolsa, SOCAP, SOFIPO, Casas de Cambio y Transmisores de Dinero. Los dólares en efectivo los tienen Bancos, Casas de Bolsa, SOCAP, SOFIPO, Uniones de Crédito, Casas de Cambio y Centros Cambiarios.</w:t>
        <w:br/>
        <w:br/>
        <w:t>De qué trata cada documento citado:</w:t>
        <w:br/>
        <w:t>• DCG de cada sujeto obligado (capítulos de reportes): Establecen qué reportes debe remitir cada tipo de sujeto a la Secretaría, por conducto de la Comisión.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