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3"/>
    <w:bookmarkStart w:id="38" w:name="summary"/>
    <w:p>
      <w:pPr>
        <w:pStyle w:val="Heading2"/>
      </w:pPr>
      <w:r>
        <w:t>Samantekt</w:t>
      </w:r>
    </w:p>
    <w:bookmarkStart w:id="22" w:name="fs-idm40478192"/>
    <w:p>
      <w:pPr>
        <w:pStyle w:val="FirstParagraph"/>
      </w:pPr>
      <w:hyperlink r:id="rId20"/>
    </w:p>
    <w:bookmarkStart w:id="21" w:name="chemistry-in-context"/>
    <w:p>
      <w:pPr>
        <w:pStyle w:val="Heading3"/>
      </w:pPr>
      <w:r>
        <w:t xml:space="preserve">1.1 Efnafræði í samhengi</w:t>
      </w:r>
    </w:p>
    <w:p>
      <w:pPr>
        <w:pStyle w:val="FirstParagraph"/>
      </w:pPr>
      <w:r>
        <w:t xml:space="preserve">Efnafræði fjallar um samsetningu, byggingu og eiginleika efnis og hvernig mismunandi form efnis geta umbreyst hvert í annað. Hún gegnir því lykilhlutverki í rannsóknum og iðkun vísinda og tækni. Efnafræðingar nota vísindalegu aðferðina til að framkvæma tilraunir, setja fram tilgátur, móta lögmál og þróa kenningar til að öðlast betri skilning á hegðun náttúrunnar. Til þess starfa þeir á stórsæju, smásæju og táknrænu sviði. Efnafræðingar mæla, greina, hreinsa og framleiða fjölbreytt úrval efna sem eru mikilvæg fyrir líf okkar.</w:t>
      </w:r>
    </w:p>
    <w:bookmarkEnd w:id="21"/>
    <w:bookmarkEnd w:id="22"/>
    <w:bookmarkStart w:id="25" w:name="fs-idp11969024"/>
    <w:p>
      <w:pPr>
        <w:pStyle w:val="TextBody"/>
      </w:pPr>
      <w:hyperlink r:id="rId23"/>
    </w:p>
    <w:bookmarkStart w:id="24" w:name="phases-and-classification-of-matter"/>
    <w:p>
      <w:pPr>
        <w:pStyle w:val="Heading3"/>
      </w:pPr>
      <w:r>
        <w:t xml:space="preserve">1.2   Fasar og flokkun efnis</w:t>
      </w:r>
    </w:p>
    <w:p>
      <w:pPr>
        <w:pStyle w:val="FirstParagraph"/>
      </w:pPr>
      <w:r>
        <w:t xml:space="preserve">Efni er allt sem tekur pláss og hefur massa. Grunnbyggingareining efnis er atómið, minnsta eining frumefnis sem getur myndað tengi við atóm sama frumefnis eða annarra frumefna. Í mörgum efnum eru atóm sameinuð í sameindir. Á jörðinni er efni yfirleitt til í þremur ástandum: sem fast efni með fasta lögun og fast rúmmál, sem vökvi með breytilega lögun en fast rúmmál og sem gas með breytilega lögun og breytilegt rúmmál. Við hátt hitastig getur efni einnig verið til sem rafgas. Flest efni er efnablanda: Það er samsett úr tveimur eða fleiri tegundum efnis sem geta verið til staðar í breytilegu magni og hægt er að aðskilja með eðlisfræðilegum aðferðum. Misleitar efnablöndur eru mismunandi að samsetningu eftir staðsetningu, en einsleitar efnablöndur hafa sömu samsetningu alls staðar. Hreint efni samanstendur aðeins af einni tegund efnis. Hreint efni getur verið frumefni, sem samanstendur af aðeins einni tegund frumeinda og er ekki hægt að brjóta niður með efnabreytingu, eða efnasambandi, sem samanstendur af tveimur eða fleiri tegundum frumeinda.</w:t>
      </w:r>
    </w:p>
    <w:bookmarkEnd w:id="24"/>
    <w:bookmarkEnd w:id="25"/>
    <w:bookmarkStart w:id="28" w:name="fs-idp74996960"/>
    <w:p>
      <w:pPr>
        <w:pStyle w:val="TextBody"/>
      </w:pPr>
      <w:hyperlink r:id="rId26"/>
    </w:p>
    <w:bookmarkStart w:id="27" w:name="physical-and-chemical-properties"/>
    <w:p>
      <w:pPr>
        <w:pStyle w:val="Heading3"/>
      </w:pPr>
      <w:r>
        <w:t xml:space="preserve">1.3   Eðlis- og efnafræðilegir eiginleikar</w:t>
      </w:r>
    </w:p>
    <w:p>
      <w:pPr>
        <w:pStyle w:val="FirstParagraph"/>
      </w:pPr>
      <w:r>
        <w:t xml:space="preserve">Öll efni hafa sérstaka eðlis- og efnafræðilega eiginleika og geta tekið eðlis- eða efnabreytingum. Eðliseiginleikar, svo sem harka og suðumark, og eðlisbreytingar, svo sem bráðnun eða frysting, fela ekki í sér breytingu á samsetningu efnis. Efnaeiginleikar, svo sem eldfimi og sýrustig, og efnabreytingar, svo sem ryðgun, fela í sér myndun efnis sem er frábrugðið því sem var til staðar áður.</w:t>
      </w:r>
    </w:p>
    <w:p>
      <w:pPr>
        <w:pStyle w:val="TextBody"/>
      </w:pPr>
      <w:r>
        <w:t xml:space="preserve">Mælanlegir eiginleikar falla í annan af tveimur flokkum. Magnbundnir eiginleikar eru háðir magni efnis sem er til staðar, til dæmis massi gulls. Eðlisbundnir eiginleikar eru ekki háðir magni efnisins, til dæmis eðlismassi gulls. Varmi er dæmi um magnbundinn eiginleika og hitastig er dæmi um eðlisbundinn eiginleika.</w:t>
      </w:r>
    </w:p>
    <w:bookmarkEnd w:id="27"/>
    <w:bookmarkEnd w:id="28"/>
    <w:bookmarkStart w:id="31" w:name="fs-idm333536464"/>
    <w:p>
      <w:pPr>
        <w:pStyle w:val="TextBody"/>
      </w:pPr>
      <w:hyperlink r:id="rId29"/>
    </w:p>
    <w:bookmarkStart w:id="30" w:name="measurements"/>
    <w:p>
      <w:pPr>
        <w:pStyle w:val="Heading3"/>
      </w:pPr>
      <w:r>
        <w:t xml:space="preserve">1.4 Mælingar</w:t>
      </w:r>
    </w:p>
    <w:p>
      <w:pPr>
        <w:pStyle w:val="FirstParagraph"/>
      </w:pPr>
      <w:r>
        <w:t xml:space="preserve">Mælingar veita magnbundnar upplýsingar sem eru mikilvægar við rannsóknir og iðkun efnafræði. Hver mæling hefur stærð, einingu til samanburðar og óvissu. Mælingar má tákna með tugabrotum eða á staðalformi. Vísindamenn nota aðallega SI-einingar (alþjóðlega einingakerfið) eins og metra, sekúndur og kílógrömm, auk afleiddra eininga eins og lítra (fyrir rúmmál) og g/cm</w:t>
      </w:r>
      <w:r>
        <w:rPr>
          <w:vertAlign w:val="superscript"/>
        </w:rPr>
        <w:t>3</w:t>
      </w:r>
      <w:r>
        <w:t xml:space="preserve"> (fyrir eðlismassa). Í mörgum tilfellum er hentugt að nota forskeyti sem gefa brota- og margfeldisseiningar, svo sem míkrósekúndur (10</w:t>
      </w:r>
      <w:r>
        <w:rPr>
          <w:vertAlign w:val="superscript"/>
        </w:rPr>
        <w:t>−6</w:t>
      </w:r>
      <w:r>
        <w:t xml:space="preserve"> sekúndur) og megahertz (10</w:t>
      </w:r>
      <w:r>
        <w:rPr>
          <w:vertAlign w:val="superscript"/>
        </w:rPr>
        <w:t>6</w:t>
      </w:r>
      <w:r>
        <w:t xml:space="preserve"> hertz).</w:t>
      </w:r>
    </w:p>
    <w:bookmarkEnd w:id="30"/>
    <w:bookmarkEnd w:id="31"/>
    <w:bookmarkStart w:id="34" w:name="fs-idp223627024"/>
    <w:p>
      <w:pPr>
        <w:pStyle w:val="TextBody"/>
      </w:pPr>
      <w:hyperlink r:id="rId32"/>
    </w:p>
    <w:bookmarkStart w:id="33" w:name="Xa51fc435396bb6686806c86886c9d9b7708c0fc"/>
    <w:p>
      <w:pPr>
        <w:pStyle w:val="Heading3"/>
      </w:pPr>
      <w:r>
        <w:t xml:space="preserve">1.5 Óvissa, hittni og nákvæmni í mælingum</w:t>
      </w:r>
    </w:p>
    <w:p>
      <w:pPr>
        <w:pStyle w:val="FirstParagraph"/>
      </w:pPr>
      <w:r>
        <w:t xml:space="preserve">Stærðir geta verið skilgreindar eða mældar. Mældum stærðum fylgir óvissa sem er táknuð með fjölda markverðra stafa í tölu stærðarinnar. Óvissa útreiknaðrar stærðar fer eftir óvissu þeirra stærða sem notaðar eru í útreikningnum og endurspeglast í því hvernig gildið er námundað. Stærðir eru metnar með tilliti til hittni (hversu nálægt sönnu eða viðurkenndu gildi þær eru) og nákvæmni (breytileiki milli endurtekinna mælinga).</w:t>
      </w:r>
    </w:p>
    <w:bookmarkEnd w:id="33"/>
    <w:bookmarkEnd w:id="34"/>
    <w:bookmarkStart w:id="37" w:name="fs-idm292051392"/>
    <w:p>
      <w:pPr>
        <w:pStyle w:val="TextBody"/>
      </w:pPr>
      <w:hyperlink r:id="rId35"/>
    </w:p>
    <w:bookmarkStart w:id="36" w:name="Xb2baaa83482b96e18ea893c7a4d966711de39a6"/>
    <w:p>
      <w:pPr>
        <w:pStyle w:val="Heading3"/>
      </w:pPr>
      <w:r>
        <w:t xml:space="preserve">1.6 Stærðfræðileg meðferð á niðurstöðum mælinga</w:t>
      </w:r>
    </w:p>
    <w:p>
      <w:pPr>
        <w:pStyle w:val="FirstParagraph"/>
      </w:pPr>
      <w:r>
        <w:t xml:space="preserve">Mælingar eru gerðar með ýmsum einingum. Það er oft gagnlegt eða nauðsynlegt að breyta mældri stærð úr einni einingu í aðra. Þessar umbreytingar eru gerðar með einingabreytingarþáttum sem eru fengnir með einfaldri beitingu stærðfræðilegrar aðferðar sem kallast einingagreining. Þessi aðferð er einnig notuð til að reikna út umbeðnar stærðir með því að nota mældar stærðir og viðeigandi stærðfræðileg tengsl.</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1-chemistry-in-context" TargetMode="External" /><Relationship Type="http://schemas.openxmlformats.org/officeDocument/2006/relationships/hyperlink" Id="rId23" Target="http://openstax.org/books/chemistry-2e/pages/1-2-phases-and-classification-of-matter" TargetMode="External" /><Relationship Type="http://schemas.openxmlformats.org/officeDocument/2006/relationships/hyperlink" Id="rId26" Target="http://openstax.org/books/chemistry-2e/pages/1-3-physical-and-chemical-properties" TargetMode="External" /><Relationship Type="http://schemas.openxmlformats.org/officeDocument/2006/relationships/hyperlink" Id="rId29" Target="http://openstax.org/books/chemistry-2e/pages/1-4-measurements" TargetMode="External" /><Relationship Type="http://schemas.openxmlformats.org/officeDocument/2006/relationships/hyperlink" Id="rId32" Target="http://openstax.org/books/chemistry-2e/pages/1-5-measurement-uncertainty-accuracy-and-precision" TargetMode="External" /><Relationship Type="http://schemas.openxmlformats.org/officeDocument/2006/relationships/hyperlink" Id="rId35" Target="http://openstax.org/books/chemistry-2e/pages/1-6-mathematical-treatment-of-measurement-resul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1-chemistry-in-context" TargetMode="External" /><Relationship Type="http://schemas.openxmlformats.org/officeDocument/2006/relationships/hyperlink" Id="rId23" Target="http://openstax.org/books/chemistry-2e/pages/1-2-phases-and-classification-of-matter" TargetMode="External" /><Relationship Type="http://schemas.openxmlformats.org/officeDocument/2006/relationships/hyperlink" Id="rId26" Target="http://openstax.org/books/chemistry-2e/pages/1-3-physical-and-chemical-properties" TargetMode="External" /><Relationship Type="http://schemas.openxmlformats.org/officeDocument/2006/relationships/hyperlink" Id="rId29" Target="http://openstax.org/books/chemistry-2e/pages/1-4-measurements" TargetMode="External" /><Relationship Type="http://schemas.openxmlformats.org/officeDocument/2006/relationships/hyperlink" Id="rId32" Target="http://openstax.org/books/chemistry-2e/pages/1-5-measurement-uncertainty-accuracy-and-precision" TargetMode="External" /><Relationship Type="http://schemas.openxmlformats.org/officeDocument/2006/relationships/hyperlink" Id="rId35" Target="http://openstax.org/books/chemistry-2e/pages/1-6-mathematical-treatment-of-measurement-resu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2025-01-24T22:28:11Z</dcterms:created>
  <dcterms:modified xsi:type="dcterms:W3CDTF">2025-01-24T22:28:11Z</dcterms:modified>
</cp:coreProperties>
</file>

<file path=docProps/custom.xml><?xml version="1.0" encoding="utf-8"?>
<Properties xmlns="http://schemas.openxmlformats.org/officeDocument/2006/custom-properties" xmlns:vt="http://schemas.openxmlformats.org/officeDocument/2006/docPropsVTypes"/>
</file>