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7"/>
    <w:bookmarkStart w:id="41" w:name="summary"/>
    <w:p>
      <w:pPr>
        <w:pStyle w:val="Heading2"/>
      </w:pPr>
      <w:r>
        <w:t>Samantekt</w:t>
      </w:r>
    </w:p>
    <w:bookmarkStart w:id="22" w:name="fs-idp7570768"/>
    <w:p>
      <w:pPr>
        <w:pStyle w:val="FirstParagraph"/>
      </w:pPr>
      <w:hyperlink r:id="rId20"/>
    </w:p>
    <w:bookmarkStart w:id="21" w:name="early-ideas-in-atomic-theory"/>
    <w:p>
      <w:pPr>
        <w:pStyle w:val="Heading3"/>
      </w:pPr>
      <w:r>
        <w:t xml:space="preserve">2.1 Fyrstu hugmyndir atómkenningarinnar</w:t>
      </w:r>
    </w:p>
    <w:p>
      <w:pPr>
        <w:pStyle w:val="FirstParagraph"/>
      </w:pPr>
      <w:r>
        <w:t xml:space="preserve">Grikkir til forna lögðu til að efni samanstæði af afar smáum ögnum sem kallast atóm. Dalton setti fram þá tilgátu að hvert frumefni hefði einkennandi gerð atóms sem væri ólík í eiginleikum atómum allra annarra frumefna og að atóm mismunandi frumefna gætu sameinast í föstum, lágum heiltöluhlutföllum til að mynda efnasambönd. Sýni af tilteknu efnasambandi hafa öll sömu hlutföll frumefna miðað við massa. Þegar tvö frumefni mynda mismunandi efnasambönd mun tiltekinn massi eins frumefnis sameinast mössum hins frumefnisins í lágum heiltöluhlutföllum. Við allar efnabreytingar verða atóm hvorki til né eyðast.</w:t>
      </w:r>
    </w:p>
    <w:bookmarkEnd w:id="21"/>
    <w:bookmarkEnd w:id="22"/>
    <w:bookmarkStart w:id="25" w:name="fs-idp11422832"/>
    <w:p>
      <w:pPr>
        <w:pStyle w:val="TextBody"/>
      </w:pPr>
      <w:hyperlink r:id="rId23"/>
    </w:p>
    <w:bookmarkStart w:id="24" w:name="evolution-of-atomic-theory"/>
    <w:p>
      <w:pPr>
        <w:pStyle w:val="Heading3"/>
      </w:pPr>
      <w:r>
        <w:t xml:space="preserve">2.2   Þróun atómkenningarinnar</w:t>
      </w:r>
    </w:p>
    <w:p>
      <w:pPr>
        <w:pStyle w:val="FirstParagraph"/>
      </w:pPr>
      <w:r>
        <w:t xml:space="preserve">Þrátt fyrir að enginn hafi í raun séð innviði atóms hafa tilraunir sýnt mikið um byggingu atóma. Katóðugeislarör Thomsons sýndi að atóm innihalda litlar, neikvætt hlaðnar agnir sem kallast rafeindir. Millikan uppgötvaði að til er grundvallar rafhleðsla – hleðsla rafeindar. Gullþynnutilraun Rutherfords sýndi að atóm hafa lítinn, þéttan, jákvætt hlaðinn kjarna; jákvætt hlaðnu agnirnar innan kjarnans kallast róteindir. Chadwick uppgötvaði að kjarninn inniheldur einnig hlutlausar agnir sem kallast nifteindir. Soddy sýndi fram á að atóm sama frumefnis geta verið mismunandi að massa; þau kallast samsætur.</w:t>
      </w:r>
    </w:p>
    <w:bookmarkEnd w:id="24"/>
    <w:bookmarkEnd w:id="25"/>
    <w:bookmarkStart w:id="28" w:name="fs-idm131201632"/>
    <w:p>
      <w:pPr>
        <w:pStyle w:val="TextBody"/>
      </w:pPr>
      <w:hyperlink r:id="rId26"/>
    </w:p>
    <w:bookmarkStart w:id="27" w:name="atomic-structure-and-symbolism"/>
    <w:p>
      <w:pPr>
        <w:pStyle w:val="Heading3"/>
      </w:pPr>
      <w:r>
        <w:t xml:space="preserve">2.3 Bygging atóma og táknmál</w:t>
      </w:r>
    </w:p>
    <w:p>
      <w:pPr>
        <w:pStyle w:val="FirstParagraph"/>
      </w:pPr>
      <w:r>
        <w:t xml:space="preserve">Atóm samanstendur af litlum, jákvætt hlaðnum kjarna sem er umkringdur rafeindum. Kjarninn inniheldur róteindir og nifteindir; þvermál hans er um 100.000 sinnum minna en þvermál atómsins. Massi eins atóms er venjulega gefinn upp í atómmassaeiningum (amu), sem er vísað til sem atómmassi. Eitt amu er skilgreint sem  nákvæmlega </w:t>
      </w:r>
      <m:oMath>
        <m:f>
          <m:fPr>
            <m:type m:val="bar"/>
          </m:fPr>
          <m:num>
            <m:r>
              <m:t>1</m:t>
            </m:r>
          </m:num>
          <m:den>
            <m:r>
              <m:t>12</m:t>
            </m:r>
          </m:den>
        </m:f>
      </m:oMath>
      <w:r>
        <w:t xml:space="preserve"> af massa kolefnis-12 atóms og jafngildir 1,6605 </w:t>
      </w:r>
      <m:oMath>
        <m:r>
          <m:rPr>
            <m:sty m:val="p"/>
          </m:rPr>
          <m:t>×</m:t>
        </m:r>
      </m:oMath>
      <w:r>
        <w:t xml:space="preserve"> 10</w:t>
      </w:r>
      <w:r>
        <w:rPr>
          <w:vertAlign w:val="superscript"/>
        </w:rPr>
        <w:t>−24</w:t>
      </w:r>
      <w:r>
        <w:t xml:space="preserve"> g.</w:t>
      </w:r>
    </w:p>
    <w:p>
      <w:pPr>
        <w:pStyle w:val="TextBody"/>
      </w:pPr>
      <w:r>
        <w:t xml:space="preserve">Róteindir eru tiltölulega þungar agnir með hleðsluna 1+ og massa upp á 1,0073 amu. Nifteindir eru tiltölulega þungar agnir án hleðslu og með massa upp á 1,0087 amu. Rafeindir eru léttar agnir með hleðsluna 1− og massa upp á 0,00055 amu. Fjöldi róteinda í kjarnanum er kallaður sætistala (Z) og er sá eiginleiki sem skilgreinir frumefnisauðkenni atóms. Samanlagður fjöldi róteinda og nifteinda í kjarnanum er kallaður massatala og, gefinn upp í amu, er hann um það bil jafn massa atómsins. Atóm er hlutlaust þegar það inniheldur jafnmargar rafeindir og róteindir.</w:t>
      </w:r>
    </w:p>
    <w:p>
      <w:pPr>
        <w:pStyle w:val="TextBody"/>
      </w:pPr>
      <w:r>
        <w:t xml:space="preserve">Samsætur frumefnis eru atóm með sömu sætistölu en mismunandi massatölur; samsætur frumefnis eru því aðeins frábrugðnar hver annarri í fjölda nifteinda í kjarnanum. Þegar náttúrulegt frumefni er samsett úr nokkrum samsætum táknar atómmassi frumefnisins meðaltal massa viðkomandi samsæta. Efnatákn auðkennir atómin í efni með táknum, sem eru eins, tveggja eða þriggja stafa skammstafanir fyrir atómin.</w:t>
      </w:r>
    </w:p>
    <w:bookmarkEnd w:id="27"/>
    <w:bookmarkEnd w:id="28"/>
    <w:bookmarkStart w:id="31" w:name="fs-idm97603328"/>
    <w:p>
      <w:pPr>
        <w:pStyle w:val="TextBody"/>
      </w:pPr>
      <w:hyperlink r:id="rId29"/>
    </w:p>
    <w:bookmarkStart w:id="30" w:name="chemical-formulas"/>
    <w:p>
      <w:pPr>
        <w:pStyle w:val="Heading3"/>
      </w:pPr>
      <w:r>
        <w:t xml:space="preserve">2.4   Efnaformúlur</w:t>
      </w:r>
    </w:p>
    <w:p>
      <w:pPr>
        <w:pStyle w:val="FirstParagraph"/>
      </w:pPr>
      <w:r>
        <w:t xml:space="preserve">Sameindaformúla notar efnatákn og lágstafi til að gefa til kynna nákvæman fjölda mismunandi atóma í sameind eða efnasambandi. Reynsluformúla gefur einfaldasta heiltöluhlutfall atóma í efnasambandi. Byggingarformúla sýnir tengiskipan atómanna í sameindinni. Kúlu-og-prikalíkön og rýmisfyllilíkön sýna rúmfræðilega uppröðun atóma í sameind. Ísómerur eru efnasambönd með sömu sameindaformúlu en mismunandi uppröðun atóma.</w:t>
      </w:r>
    </w:p>
    <w:bookmarkEnd w:id="30"/>
    <w:bookmarkEnd w:id="31"/>
    <w:bookmarkStart w:id="34" w:name="fs-idm7568752"/>
    <w:p>
      <w:pPr>
        <w:pStyle w:val="TextBody"/>
      </w:pPr>
      <w:hyperlink r:id="rId32"/>
    </w:p>
    <w:bookmarkStart w:id="33" w:name="the-periodic-table"/>
    <w:p>
      <w:pPr>
        <w:pStyle w:val="Heading3"/>
      </w:pPr>
      <w:r>
        <w:t xml:space="preserve">2.5   Lotukerfið</w:t>
      </w:r>
    </w:p>
    <w:p>
      <w:pPr>
        <w:pStyle w:val="FirstParagraph"/>
      </w:pPr>
      <w:r>
        <w:t xml:space="preserve">Uppgötvun á reglubundinni endurkomu svipaðra eiginleika meðal frumefnanna leiddi til mótunar lotukerfisins, þar sem frumefnunum er raðað eftir hækkandi sætistölu í raðir sem kallast lotur og dálka sem kallast flokkar. Frumefni í sama flokki lotukerfisins hafa svipaða efnafræðilega eiginleika. Frumefni má flokka sem málma, málmunga og málmleysingja, eða sem aðalflokka frumefni, hliðarmálma og innri hliðarmálma. Flokkar eru númeraðir 1–18 frá vinstri til hægri. Frumefnin í flokki 1 eru þekkt sem alkalímálmar; þau í flokki 2 eru jarðalkalímálmar; þau í 15 eru pniktógen; þau í 16 eru kalkógen; þau í 17 eru halógen; og þau í 18 eru eðalgös.</w:t>
      </w:r>
    </w:p>
    <w:bookmarkEnd w:id="33"/>
    <w:bookmarkEnd w:id="34"/>
    <w:bookmarkStart w:id="37" w:name="fs-idp184156752"/>
    <w:p>
      <w:pPr>
        <w:pStyle w:val="TextBody"/>
      </w:pPr>
      <w:hyperlink r:id="rId35"/>
    </w:p>
    <w:bookmarkStart w:id="36" w:name="ionic-and-molecular-compounds"/>
    <w:p>
      <w:pPr>
        <w:pStyle w:val="Heading3"/>
      </w:pPr>
      <w:r>
        <w:t xml:space="preserve">2.6   Jóna- og sameindaefni</w:t>
      </w:r>
    </w:p>
    <w:p>
      <w:pPr>
        <w:pStyle w:val="FirstParagraph"/>
      </w:pPr>
      <w:r>
        <w:t xml:space="preserve">Málmar (sérstaklega þeir í flokkum 1 og 2) hafa tilhneigingu til að tapa þeim fjölda rafeinda sem myndi skilja þá eftir með sama fjölda rafeinda og í næsta eðalgasi á undan í lotukerfinu. Þannig myndast jákvætt hlaðin jón. Á svipaðan hátt geta málmleysingjar (sérstaklega þeir í flokkum 16 og 17, og í minna mæli þeir í flokki 15) tekið upp þann fjölda rafeinda sem þarf til að atómin fái sama fjölda rafeinda og í næsta eðalgasi á eftir í lotukerfinu. Þannig hafa málmleysingjar tilhneigingu til að mynda neikvæðar jónir. Jákvætt hlaðnar jónir kallast katjónir og neikvætt hlaðnar jónir kallast anjónir. Jónir geta verið annaðhvort einatóma (innihalda aðeins eitt atóm) eða fjölatóma (innihalda fleiri en eitt atóm).</w:t>
      </w:r>
    </w:p>
    <w:p>
      <w:pPr>
        <w:pStyle w:val="TextBody"/>
      </w:pPr>
      <w:r>
        <w:t xml:space="preserve">Efnasambönd sem innihalda jónir kallast jónasambönd. Jónasambönd myndast yfirleitt úr málmum og málmleysingjum. Efnasambönd sem innihalda ekki jónir, heldur samanstanda af atómum sem eru þétt tengd saman í sameindum (óhlaðnir hópar atóma sem hegða sér sem ein eining), kallast samgild efnasambönd. Samgild efnasambönd myndast venjulega úr tveimur málmleysingjum.</w:t>
      </w:r>
    </w:p>
    <w:bookmarkEnd w:id="36"/>
    <w:bookmarkEnd w:id="37"/>
    <w:bookmarkStart w:id="40" w:name="fs-idp282340144"/>
    <w:p>
      <w:pPr>
        <w:pStyle w:val="TextBody"/>
      </w:pPr>
      <w:hyperlink r:id="rId38"/>
    </w:p>
    <w:bookmarkStart w:id="39" w:name="chemical-nomenclature"/>
    <w:p>
      <w:pPr>
        <w:pStyle w:val="Heading3"/>
      </w:pPr>
      <w:r>
        <w:t xml:space="preserve">2.7   Nafnakerfi efnafræðinnar</w:t>
      </w:r>
    </w:p>
    <w:p>
      <w:pPr>
        <w:pStyle w:val="FirstParagraph"/>
      </w:pPr>
      <w:r>
        <w:t xml:space="preserve">Efnafræðingar nota nafnakerfisreglur til að gefa efnasamböndum skýr nöfn. Jóna- og sameindasambönd eru nefnd með nokkuð mismunandi aðferðum. Tvíundajónasambönd samanstanda yfirleitt af málmi og málmleysingja. Nafn málmsins er skrifað fyrst, á eftir kemur nafn málmleysingjans með endingunni breytt í –</w:t>
      </w:r>
      <w:r>
        <w:rPr>
          <w:i/>
        </w:rPr>
        <w:t>íð</w:t>
      </w:r>
      <w:r>
        <w:t xml:space="preserve">. Til dæmis er K</w:t>
      </w:r>
      <w:r>
        <w:rPr>
          <w:vertAlign w:val="subscript"/>
        </w:rPr>
        <w:t>2</w:t>
      </w:r>
      <w:r>
        <w:t xml:space="preserve">O kallað kalíumoxíð. Ef málmurinn getur myndað jónir með mismunandi hleðslur fylgir rómversk tala í sviga á eftir nafni málmsins til að tilgreina hleðslu hans. Þannig er FeCl</w:t>
      </w:r>
      <w:r>
        <w:rPr>
          <w:vertAlign w:val="subscript"/>
        </w:rPr>
        <w:t>2</w:t>
      </w:r>
      <w:r>
        <w:t xml:space="preserve"> járn(II) klóríð og FeCl</w:t>
      </w:r>
      <w:r>
        <w:rPr>
          <w:vertAlign w:val="subscript"/>
        </w:rPr>
        <w:t>3</w:t>
      </w:r>
      <w:r>
        <w:t xml:space="preserve"> er járn(III) klóríð. Sum efnasambönd innihalda fjölatóma jónir; það ætti að leggja nöfn algengra fjölatóma jóna á minnið. Sameindasambönd geta myndað efnasambönd með mismunandi hlutföllum frumefna sinna, þannig að forskeyti eru notuð til að tilgreina fjölda atóma hvers frumefnis í sameind efnasambandsins. Sem dæmi má nefna SF</w:t>
      </w:r>
      <w:r>
        <w:rPr>
          <w:vertAlign w:val="subscript"/>
        </w:rPr>
        <w:t>6</w:t>
      </w:r>
      <w:r>
        <w:t xml:space="preserve">, brennisteinshexaflúoríð ogN</w:t>
      </w:r>
      <w:r>
        <w:rPr>
          <w:vertAlign w:val="subscript"/>
        </w:rPr>
        <w:t>2</w:t>
      </w:r>
      <w:r>
        <w:t>O</w:t>
      </w:r>
      <w:r>
        <w:rPr>
          <w:vertAlign w:val="subscript"/>
        </w:rPr>
        <w:t>4</w:t>
      </w:r>
      <w:r>
        <w:t xml:space="preserve">, díniturtetroxíð. Sýrur eru mikilvægur flokkur efnasambanda sem innihalda vetni og hafa sérstakar nafnareglur. Tvíundarsýrur eru nefndar með forskeytinu </w:t>
      </w:r>
      <w:r>
        <w:rPr>
          <w:i/>
        </w:rPr>
        <w:t>hýdró-</w:t>
      </w:r>
      <w:r>
        <w:t xml:space="preserve">, viðskeytinu –</w:t>
      </w:r>
      <w:r>
        <w:rPr>
          <w:i/>
        </w:rPr>
        <w:t>íð</w:t>
      </w:r>
      <w:r>
        <w:t xml:space="preserve"> er breytt í –</w:t>
      </w:r>
      <w:r>
        <w:rPr>
          <w:i/>
        </w:rPr>
        <w:t>sýra</w:t>
      </w:r>
      <w:r>
        <w:t xml:space="preserve">; HCl er saltsýra. Oxýsýrur eru nefndar með því að taka </w:t>
      </w:r>
      <w:r>
        <w:rPr>
          <w:i/>
        </w:rPr>
        <w:t xml:space="preserve">heiti efnisins milli vetnis og súrefnis</w:t>
      </w:r>
      <w:r>
        <w:t xml:space="preserve"> og </w:t>
      </w:r>
      <w:r>
        <w:rPr>
          <w:i/>
        </w:rPr>
        <w:t xml:space="preserve">bæta við</w:t>
      </w:r>
      <w:r>
        <w:t xml:space="preserve"> endingunni </w:t>
      </w:r>
      <w:r>
        <w:rPr>
          <w:i/>
        </w:rPr>
        <w:t>„sýra“</w:t>
      </w:r>
      <w:r>
        <w:t xml:space="preserve">; H</w:t>
      </w:r>
      <w:r>
        <w:rPr>
          <w:vertAlign w:val="subscript"/>
        </w:rPr>
        <w:t>2</w:t>
      </w:r>
      <w:r>
        <w:t>CO</w:t>
      </w:r>
      <w:r>
        <w:rPr>
          <w:vertAlign w:val="subscript"/>
        </w:rPr>
        <w:t>3</w:t>
      </w:r>
      <w:r>
        <w:t xml:space="preserve"> er kolsýra.</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2-1-early-ideas-in-atomic-theory" TargetMode="External" /><Relationship Type="http://schemas.openxmlformats.org/officeDocument/2006/relationships/hyperlink" Id="rId23" Target="http://openstax.org/books/chemistry-2e/pages/2-2-evolution-of-atomic-theory" TargetMode="External" /><Relationship Type="http://schemas.openxmlformats.org/officeDocument/2006/relationships/hyperlink" Id="rId26" Target="http://openstax.org/books/chemistry-2e/pages/2-3-atomic-structure-and-symbolism" TargetMode="External" /><Relationship Type="http://schemas.openxmlformats.org/officeDocument/2006/relationships/hyperlink" Id="rId29" Target="http://openstax.org/books/chemistry-2e/pages/2-4-chemical-formulas" TargetMode="External" /><Relationship Type="http://schemas.openxmlformats.org/officeDocument/2006/relationships/hyperlink" Id="rId32" Target="http://openstax.org/books/chemistry-2e/pages/2-5-the-periodic-table" TargetMode="External" /><Relationship Type="http://schemas.openxmlformats.org/officeDocument/2006/relationships/hyperlink" Id="rId35" Target="http://openstax.org/books/chemistry-2e/pages/2-6-ionic-and-molecular-compounds" TargetMode="External" /><Relationship Type="http://schemas.openxmlformats.org/officeDocument/2006/relationships/hyperlink" Id="rId38" Target="http://openstax.org/books/chemistry-2e/pages/2-7-chemical-nomenclatur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2-1-early-ideas-in-atomic-theory" TargetMode="External" /><Relationship Type="http://schemas.openxmlformats.org/officeDocument/2006/relationships/hyperlink" Id="rId23" Target="http://openstax.org/books/chemistry-2e/pages/2-2-evolution-of-atomic-theory" TargetMode="External" /><Relationship Type="http://schemas.openxmlformats.org/officeDocument/2006/relationships/hyperlink" Id="rId26" Target="http://openstax.org/books/chemistry-2e/pages/2-3-atomic-structure-and-symbolism" TargetMode="External" /><Relationship Type="http://schemas.openxmlformats.org/officeDocument/2006/relationships/hyperlink" Id="rId29" Target="http://openstax.org/books/chemistry-2e/pages/2-4-chemical-formulas" TargetMode="External" /><Relationship Type="http://schemas.openxmlformats.org/officeDocument/2006/relationships/hyperlink" Id="rId32" Target="http://openstax.org/books/chemistry-2e/pages/2-5-the-periodic-table" TargetMode="External" /><Relationship Type="http://schemas.openxmlformats.org/officeDocument/2006/relationships/hyperlink" Id="rId35" Target="http://openstax.org/books/chemistry-2e/pages/2-6-ionic-and-molecular-compounds" TargetMode="External" /><Relationship Type="http://schemas.openxmlformats.org/officeDocument/2006/relationships/hyperlink" Id="rId38" Target="http://openstax.org/books/chemistry-2e/pages/2-7-chemical-nomencla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2025-01-24T22:26:49Z</dcterms:created>
  <dcterms:modified xsi:type="dcterms:W3CDTF">2025-01-24T22:26:49Z</dcterms:modified>
</cp:coreProperties>
</file>

<file path=docProps/custom.xml><?xml version="1.0" encoding="utf-8"?>
<Properties xmlns="http://schemas.openxmlformats.org/officeDocument/2006/custom-properties" xmlns:vt="http://schemas.openxmlformats.org/officeDocument/2006/docPropsVTypes"/>
</file>