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osite-page-11"/>
    <w:bookmarkStart w:id="32" w:name="summary"/>
    <w:p>
      <w:pPr>
        <w:pStyle w:val="Heading2"/>
      </w:pPr>
      <w:r>
        <w:t>Samantekt</w:t>
      </w:r>
    </w:p>
    <w:bookmarkStart w:id="22" w:name="fs-idp1413072"/>
    <w:p>
      <w:pPr>
        <w:pStyle w:val="FirstParagraph"/>
      </w:pPr>
      <w:hyperlink r:id="rId20"/>
    </w:p>
    <w:bookmarkStart w:id="21" w:name="formula-mass-and-the-mole-concept"/>
    <w:p>
      <w:pPr>
        <w:pStyle w:val="Heading3"/>
      </w:pPr>
      <w:r>
        <w:t xml:space="preserve">3.1   Formúlumassi og mólhugtakið</w:t>
      </w:r>
    </w:p>
    <w:p>
      <w:pPr>
        <w:pStyle w:val="FirstParagraph"/>
      </w:pPr>
      <w:r>
        <w:t xml:space="preserve">Formúlumassi efnis er summa meðalatómmassa hvers atóms sem táknað er í efnaformúlunni og er gefinn upp í atómmassaeiningum. Formúlumassi samgilds efnasambands er einnig kallaður sameindamassi. Mól er hentug magnseining til að tákna mjög stóran fjölda atóma eða sameinda. Tilraunamælingar hafa leitt í ljós að fjöldi eininga sem mynda 1 mól af efni er  6,022 </w:t>
      </w:r>
      <m:oMath>
        <m:r>
          <m:rPr>
            <m:sty m:val="p"/>
          </m:rPr>
          <m:t>×</m:t>
        </m:r>
      </m:oMath>
      <w:r>
        <w:t xml:space="preserve"> 10</w:t>
      </w:r>
      <w:r>
        <w:rPr>
          <w:vertAlign w:val="superscript"/>
        </w:rPr>
        <w:t>23</w:t>
      </w:r>
      <w:r>
        <w:t xml:space="preserve">, magn sem kallast tala Avogadrosar. Massi í grömmum af 1 móli af efni er mólmassi þess. Vegna notkunar á sama viðmiðunarefni við skilgreiningu á atómmassaeiningunni og mólinu eru formúlumassi (amu) og mólmassi (g/mól) hvers efnis tölulega jafngildir (til dæmis vegur ein H</w:t>
      </w:r>
      <w:r>
        <w:rPr>
          <w:vertAlign w:val="subscript"/>
        </w:rPr>
        <w:t>2</w:t>
      </w:r>
      <w:r>
        <w:t xml:space="preserve">O-sameind um það bil 18 amu og 1 mól af H</w:t>
      </w:r>
      <w:r>
        <w:rPr>
          <w:vertAlign w:val="subscript"/>
        </w:rPr>
        <w:t>2</w:t>
      </w:r>
      <w:r>
        <w:t xml:space="preserve">O-sameindum vegur um það bil 18 g).</w:t>
      </w:r>
    </w:p>
    <w:bookmarkEnd w:id="21"/>
    <w:bookmarkEnd w:id="22"/>
    <w:bookmarkStart w:id="25" w:name="fs-idm130412048"/>
    <w:p>
      <w:pPr>
        <w:pStyle w:val="TextBody"/>
      </w:pPr>
      <w:hyperlink r:id="rId23"/>
    </w:p>
    <w:bookmarkStart w:id="24" w:name="Xc09d3e586dae32b073c4f8c579e1a219881770e"/>
    <w:p>
      <w:pPr>
        <w:pStyle w:val="Heading3"/>
      </w:pPr>
      <w:r>
        <w:t xml:space="preserve">3.2   Ákvörðun reynsluformúla og sameindaformúla</w:t>
      </w:r>
    </w:p>
    <w:p>
      <w:pPr>
        <w:pStyle w:val="FirstParagraph"/>
      </w:pPr>
      <w:r>
        <w:t xml:space="preserve">Efnaauðkenni efnis er skilgreint af gerðum og hlutfallslegum fjölda atóma sem mynda grunneiningar þess (sameindir þegar um er að ræða samgild efnasambönd, jónir þegar um er að ræða jónaefnasambönd). Prósentusamsetning efnasambands gefur upp massaprósentu hvers frumefnis í efnasambandinu og er hún oft ákvörðuð með tilraunum og notuð til að leiða út reynsluformúlu efnasambandsins. Hægt er að bera reynsluformúlumassa samgilds efnasambands saman við sameinda- eða mólmassa efnasambandsins til að leiða út sameindaformúlu.</w:t>
      </w:r>
    </w:p>
    <w:bookmarkEnd w:id="24"/>
    <w:bookmarkEnd w:id="25"/>
    <w:bookmarkStart w:id="28" w:name="fs-idm102255792"/>
    <w:p>
      <w:pPr>
        <w:pStyle w:val="TextBody"/>
      </w:pPr>
      <w:hyperlink r:id="rId26"/>
    </w:p>
    <w:bookmarkStart w:id="27" w:name="molarity"/>
    <w:p>
      <w:pPr>
        <w:pStyle w:val="Heading3"/>
      </w:pPr>
      <w:r>
        <w:t xml:space="preserve">3.3   Mólstyrkur</w:t>
      </w:r>
    </w:p>
    <w:p>
      <w:pPr>
        <w:pStyle w:val="FirstParagraph"/>
      </w:pPr>
      <w:r>
        <w:t xml:space="preserve">Lausnir eru einsleitar blöndur. Margar lausnir innihalda einn efnisþátt, sem kallast leysir, þar sem aðrir efnisþættir, sem kallast uppleyst efni, eru leystir upp. Vatnslausn er lausn þar sem leysirinn er vatn. Styrkur lausnar er mælikvarði á hlutfallslegt magn uppleysts efnis í tilteknu magni af lausn. Hægt er að mæla styrk með ýmsum einingum og er ein mjög gagnleg eining mólstyrkur, sem er skilgreindur sem fjöldi móla af uppleystu efni á hvern lítra af lausn. Hægt er að minnka styrk uppleysts efnis í lausn með því að bæta við leysi, ferli sem kallast þynning. Þynningarjafnan er einfalt samband milli styrks og rúmmáls lausnar fyrir og eftir þynningu.</w:t>
      </w:r>
    </w:p>
    <w:bookmarkEnd w:id="27"/>
    <w:bookmarkEnd w:id="28"/>
    <w:bookmarkStart w:id="31" w:name="fs-idm6539664"/>
    <w:p>
      <w:pPr>
        <w:pStyle w:val="TextBody"/>
      </w:pPr>
      <w:hyperlink r:id="rId29"/>
    </w:p>
    <w:bookmarkStart w:id="30" w:name="other-units-for-solution-concentrations"/>
    <w:p>
      <w:pPr>
        <w:pStyle w:val="Heading3"/>
      </w:pPr>
      <w:r>
        <w:t xml:space="preserve">3.4   Aðrar einingar fyrir styrk lausna</w:t>
      </w:r>
    </w:p>
    <w:p>
      <w:pPr>
        <w:pStyle w:val="FirstParagraph"/>
      </w:pPr>
      <w:r>
        <w:t xml:space="preserve">Auk mólstyrks eru ýmsar aðrar einingar fyrir styrk lausna notaðar í ýmsum tilgangi. Prósentustyrkur sem byggir á massa, rúmmáli eða hvoru tveggja efnisþátta lausnarinnar er gagnlegur til að tákna tiltölulega háan styrk, en lægri styrkur er þægilega gefinn upp með ppm- eða ppb-einingum. Þessar einingar eru vinsælar á sviði umhverfis- og læknisfræði og á öðrum sviðum þar sem einingar byggðar á móli, eins og mólstyrkur, eru ekki jafn algengar.</w:t>
      </w:r>
    </w:p>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3-1-formula-mass-and-the-mole-concept" TargetMode="External" /><Relationship Type="http://schemas.openxmlformats.org/officeDocument/2006/relationships/hyperlink" Id="rId23"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9" Target="http://openstax.org/books/chemistry-2e/pages/3-4-other-units-for-solution-concentrati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3-1-formula-mass-and-the-mole-concept" TargetMode="External" /><Relationship Type="http://schemas.openxmlformats.org/officeDocument/2006/relationships/hyperlink" Id="rId23"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9" Target="http://openstax.org/books/chemistry-2e/pages/3-4-other-units-for-solution-concent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2025-01-24T22:29:47Z</dcterms:created>
  <dcterms:modified xsi:type="dcterms:W3CDTF">2025-01-24T22:29:47Z</dcterms:modified>
</cp:coreProperties>
</file>

<file path=docProps/custom.xml><?xml version="1.0" encoding="utf-8"?>
<Properties xmlns="http://schemas.openxmlformats.org/officeDocument/2006/custom-properties" xmlns:vt="http://schemas.openxmlformats.org/officeDocument/2006/docPropsVTypes"/>
</file>