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15"/>
    <w:bookmarkStart w:id="35" w:name="summary"/>
    <w:p>
      <w:pPr>
        <w:pStyle w:val="Heading2"/>
      </w:pPr>
      <w:r>
        <w:t>Samantekt</w:t>
      </w:r>
    </w:p>
    <w:bookmarkStart w:id="22" w:name="fs-idp114420064"/>
    <w:p>
      <w:pPr>
        <w:pStyle w:val="FirstParagraph"/>
      </w:pPr>
      <w:hyperlink r:id="rId20"/>
    </w:p>
    <w:bookmarkStart w:id="21" w:name="writing-and-balancing-chemical-equations"/>
    <w:p>
      <w:pPr>
        <w:pStyle w:val="Heading3"/>
      </w:pPr>
      <w:r>
        <w:t xml:space="preserve">4.1   Að skrifa og stilla efnajöfnur</w:t>
      </w:r>
    </w:p>
    <w:p>
      <w:pPr>
        <w:pStyle w:val="FirstParagraph"/>
      </w:pPr>
      <w:r>
        <w:t xml:space="preserve">Efnajöfnur eru táknrænar framsetningar á efna- og eðlisfræðilegum breytingum. Formúlur fyrir efnin sem gangast undir breytinguna (hvarfefni) og efnin sem myndast við breytinguna (myndefni) eru aðskildar með ör og á undan þeim koma heiltölustuðlar sem gefa til kynna hlutfallslegan fjölda þeirra. Stillaðar jöfnur eru þær þar sem stuðlarnir leiða til jafns fjölda atóma fyrir hvert frumefni í hvarfefnum og myndefnum. Efnahvörf í vatnslausn sem fela í sér jónísk hvarfefni eða myndefni má setja fram á raunhæfari hátt með fullkomnum jónajöfnum og, á hnitmiðaðri hátt, með nettó jónajöfnum.</w:t>
      </w:r>
    </w:p>
    <w:bookmarkEnd w:id="21"/>
    <w:bookmarkEnd w:id="22"/>
    <w:bookmarkStart w:id="25" w:name="fs-idm51820592"/>
    <w:p>
      <w:pPr>
        <w:pStyle w:val="TextBody"/>
      </w:pPr>
      <w:hyperlink r:id="rId23"/>
    </w:p>
    <w:bookmarkStart w:id="24" w:name="classifying-chemical-reactions"/>
    <w:p>
      <w:pPr>
        <w:pStyle w:val="Heading3"/>
      </w:pPr>
      <w:r>
        <w:t xml:space="preserve">4.2   Flokkun efnahvarfa</w:t>
      </w:r>
    </w:p>
    <w:p>
      <w:pPr>
        <w:pStyle w:val="FirstParagraph"/>
      </w:pPr>
      <w:r>
        <w:t xml:space="preserve">Efnahvörf eru flokkuð eftir svipuðu hegðunarmynstri. Fjöldi mikilvægra hvarfa fellur í þrjá flokka: útfellingu, sýru-basa og oxunar-afoxun (redox). Útfellingarhvörf fela í sér myndun eins eða fleiri torleystra myndefna. Sýru-basahvörf fela í sér flutning vetnisjóna milli hvarfefna. Oxunar-afoxunarhvörf fela í sér breytingu á oxunartölu fyrir eitt eða fleiri frumefni í hvarfefnum. Að skrifa stilltar jöfnur fyrir sum oxunar-afoxunarhvörf sem eiga sér stað í vatnslausnum er einfaldað með því að nota kerfisbundna aðferð sem kallast hálfhvarfsaðferðin.</w:t>
      </w:r>
    </w:p>
    <w:bookmarkEnd w:id="24"/>
    <w:bookmarkEnd w:id="25"/>
    <w:bookmarkStart w:id="28" w:name="fs-idp102563712"/>
    <w:p>
      <w:pPr>
        <w:pStyle w:val="TextBody"/>
      </w:pPr>
      <w:hyperlink r:id="rId26"/>
    </w:p>
    <w:bookmarkStart w:id="27" w:name="reaction-stoichiometry"/>
    <w:p>
      <w:pPr>
        <w:pStyle w:val="Heading3"/>
      </w:pPr>
      <w:r>
        <w:t xml:space="preserve">4.3   Hlutfallaefnafræði hvarfa</w:t>
      </w:r>
    </w:p>
    <w:p>
      <w:pPr>
        <w:pStyle w:val="FirstParagraph"/>
      </w:pPr>
      <w:r>
        <w:t xml:space="preserve">Hægt er að nota stillta efnajöfnu til að lýsa hlutfallaefnafræði hvarfs (tengslin milli magns hvarfefna og myndefna). Stuðlar úr jöfnunni eru notaðir til að leiða út hlutfallaþætti sem síðan má nota fyrir útreikninga sem tengjast massa hvarfefna og myndefna, mólmagni og öðrum magnbundnum eiginleikum.</w:t>
      </w:r>
    </w:p>
    <w:bookmarkEnd w:id="27"/>
    <w:bookmarkEnd w:id="28"/>
    <w:bookmarkStart w:id="31" w:name="fs-idm64875168"/>
    <w:p>
      <w:pPr>
        <w:pStyle w:val="TextBody"/>
      </w:pPr>
      <w:hyperlink r:id="rId29"/>
    </w:p>
    <w:bookmarkStart w:id="30" w:name="reaction-yields"/>
    <w:p>
      <w:pPr>
        <w:pStyle w:val="Heading3"/>
      </w:pPr>
      <w:r>
        <w:t xml:space="preserve">4.4   Heimtur hvarfa</w:t>
      </w:r>
    </w:p>
    <w:p>
      <w:pPr>
        <w:pStyle w:val="FirstParagraph"/>
      </w:pPr>
      <w:r>
        <w:t xml:space="preserve">Þegar hvörf eru framkvæmd með minna en hlutfallslegu magni hvarfefna, ræðst magn myndefnis sem myndast af takmarkandi hvarfefninu. Magn myndefnis sem myndast við efnahvarf eru raunheimtur þess. Þessar heimtur eru oft minni en magn myndefnis sem spáð er fyrir um með hlutfallaefnafræði stilltu efnajöfnunnar sem táknar hvarfið (fræðilegar heimtur þess). Að hve miklu leyti hvarf myndar fræðilegt magn myndefnis er gefið upp sem heimtur í prósentum.</w:t>
      </w:r>
    </w:p>
    <w:bookmarkEnd w:id="30"/>
    <w:bookmarkEnd w:id="31"/>
    <w:bookmarkStart w:id="34" w:name="fs-idp138667680"/>
    <w:p>
      <w:pPr>
        <w:pStyle w:val="TextBody"/>
      </w:pPr>
      <w:hyperlink r:id="rId32"/>
    </w:p>
    <w:bookmarkStart w:id="33" w:name="quantitative-chemical-analysis"/>
    <w:p>
      <w:pPr>
        <w:pStyle w:val="Heading3"/>
      </w:pPr>
      <w:r>
        <w:t xml:space="preserve">4.5   Magnbundin efnagreining</w:t>
      </w:r>
    </w:p>
    <w:p>
      <w:pPr>
        <w:pStyle w:val="FirstParagraph"/>
      </w:pPr>
      <w:r>
        <w:t xml:space="preserve">Hlutfallaefnafræði efnahvarfa getur þjónað sem grundvöllur fyrir magnbundnar efnagreiningaraðferðir. Títranir fela í sér að mæla rúmmál títrantslausnar sem þarf til að hvarfast að fullu við sýnislausn. Þetta rúmmál er síðan notað til að reikna út styrk greiningarefnis í sýninu með því að nota hlutfallaefnafræði títrunarhvarfsins. Þyngdarmælingagreining felur í sér að aðskilja greiningarefnið frá sýninu með eðlisfræðilegu eða efnafræðilegu ferli, ákvarða massa þess og reikna síðan út styrk þess í sýninu út frá hlutfallaefnafræði viðkomandi ferlis. Brunagreining er þyngdarmælingaraðferð sem notuð er til að ákvarða frumefnasamsetningu efnasambands með því að safna og vega loftkennd myndefni bruna þess.</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23"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9" Target="http://openstax.org/books/chemistry-2e/pages/4-4-reaction-yields" TargetMode="External" /><Relationship Type="http://schemas.openxmlformats.org/officeDocument/2006/relationships/hyperlink" Id="rId32" Target="http://openstax.org/books/chemistry-2e/pages/4-5-quantitative-chemical-analy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23"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9" Target="http://openstax.org/books/chemistry-2e/pages/4-4-reaction-yields" TargetMode="External" /><Relationship Type="http://schemas.openxmlformats.org/officeDocument/2006/relationships/hyperlink" Id="rId32" Target="http://openstax.org/books/chemistry-2e/pages/4-5-quantitative-chemical-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2025-01-24T22:28:29Z</dcterms:created>
  <dcterms:modified xsi:type="dcterms:W3CDTF">2025-01-24T22:28:29Z</dcterms:modified>
</cp:coreProperties>
</file>

<file path=docProps/custom.xml><?xml version="1.0" encoding="utf-8"?>
<Properties xmlns="http://schemas.openxmlformats.org/officeDocument/2006/custom-properties" xmlns:vt="http://schemas.openxmlformats.org/officeDocument/2006/docPropsVTypes"/>
</file>