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a620345f1aa44c7662ed9b6e3cf20405c9e269"/>
    <w:bookmarkStart w:id="21" w:name="X32872619a8673205b649dac0b095dec02d31a0b"/>
    <w:p>
      <w:pPr>
        <w:pStyle w:val="Heading1"/>
      </w:pPr>
      <w:r>
        <w:t xml:space="preserve">Appendix</w:t>
      </w:r>
      <w:r>
        <w:t xml:space="preserve"> </w:t>
      </w:r>
      <w:r>
        <w:t xml:space="preserve"> </w:t>
      </w:r>
      <w:r>
        <w:t xml:space="preserve">F</w:t>
      </w:r>
      <w:r>
        <w:t xml:space="preserve"> </w:t>
      </w:r>
      <w:r>
        <w:t xml:space="preserve"> </w:t>
      </w:r>
      <w:r>
        <w:t xml:space="preserve"> </w:t>
      </w:r>
      <w:r>
        <w:t xml:space="preserve">Composition of Commercial Acids and Bases</w:t>
      </w:r>
    </w:p>
    <w:p>
      <w:pPr>
        <w:pStyle w:val="FirstParagraph"/>
      </w:pPr>
      <w:r>
        <w:t xml:space="preserve">Composition of Commercial Acids and Bases</w:t>
      </w:r>
    </w:p>
    <w:bookmarkStart w:id="20" w:name="fs-idp8700128"/>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Acid or Base</w:t>
            </w:r>
            <w:hyperlink w:anchor="fs-idm38171904">
              <w:r>
                <w:rPr>
                  <w:rStyle w:val="InternetLink"/>
                </w:rPr>
                <w:t xml:space="preserve">1</w:t>
              </w:r>
            </w:hyperlink>
          </w:p>
          <w:p>
            <w:pPr>
              <w:pStyle w:val="Compact"/>
              <w:jc w:val="left"/>
            </w:pPr>
            <w:r>
              <w:t xml:space="preserve">1</w:t>
            </w:r>
          </w:p>
          <w:p>
            <w:pPr>
              <w:pStyle w:val="Compact"/>
              <w:jc w:val="left"/>
            </w:pPr>
            <w:r>
              <w:t xml:space="preserve">Acids and bases are commercially available as aqueous solutions. This table lists properties (densities and concentrations) of common acid and base solutions. Nominal values are provided in cases where the manufacturer cites a range of concentrations and densities.</w:t>
            </w:r>
          </w:p>
        </w:tc>
        <w:tc>
          <w:tcPr/>
          <w:p>
            <w:pPr>
              <w:pStyle w:val="Compact"/>
              <w:jc w:val="left"/>
            </w:pPr>
            <w:r>
              <w:t xml:space="preserve">Density (g/mL)</w:t>
            </w:r>
            <w:hyperlink w:anchor="fs-idp90181920">
              <w:r>
                <w:rPr>
                  <w:rStyle w:val="InternetLink"/>
                </w:rPr>
                <w:t xml:space="preserve">2</w:t>
              </w:r>
            </w:hyperlink>
          </w:p>
          <w:p>
            <w:pPr>
              <w:pStyle w:val="Compact"/>
              <w:jc w:val="left"/>
            </w:pPr>
            <w:r>
              <w:t xml:space="preserve">2</w:t>
            </w:r>
          </w:p>
          <w:p>
            <w:pPr>
              <w:pStyle w:val="Compact"/>
              <w:jc w:val="left"/>
            </w:pPr>
            <w:r>
              <w:t xml:space="preserve">This column contains specific gravity data. In the case of this table, specific gravity is the ratio of density of a substance to the density of pure water at the same conditions. Specific gravity is often cited on commercial labels.</w:t>
            </w:r>
          </w:p>
        </w:tc>
        <w:tc>
          <w:tcPr/>
          <w:p>
            <w:pPr>
              <w:pStyle w:val="Compact"/>
              <w:jc w:val="left"/>
            </w:pPr>
            <w:r>
              <w:t xml:space="preserve">Percentage by Mass</w:t>
            </w:r>
          </w:p>
        </w:tc>
        <w:tc>
          <w:tcPr/>
          <w:p>
            <w:pPr>
              <w:pStyle w:val="Compact"/>
              <w:jc w:val="left"/>
            </w:pPr>
            <w:r>
              <w:t xml:space="preserve">Molarity</w:t>
            </w:r>
          </w:p>
        </w:tc>
      </w:tr>
      <w:tr>
        <w:tc>
          <w:tcPr/>
          <w:p>
            <w:pPr>
              <w:pStyle w:val="Compact"/>
              <w:jc w:val="left"/>
            </w:pPr>
            <w:r>
              <w:t xml:space="preserve">acetic acid, glacial</w:t>
            </w:r>
          </w:p>
        </w:tc>
        <w:tc>
          <w:tcPr/>
          <w:p>
            <w:pPr>
              <w:pStyle w:val="Compact"/>
              <w:jc w:val="left"/>
            </w:pPr>
            <w:r>
              <w:t xml:space="preserve">1.05</w:t>
            </w:r>
          </w:p>
        </w:tc>
        <w:tc>
          <w:tcPr/>
          <w:p>
            <w:pPr>
              <w:pStyle w:val="Compact"/>
              <w:jc w:val="left"/>
            </w:pPr>
            <w:r>
              <w:t xml:space="preserve">99.5%</w:t>
            </w:r>
          </w:p>
        </w:tc>
        <w:tc>
          <w:tcPr/>
          <w:p>
            <w:pPr>
              <w:pStyle w:val="Compact"/>
              <w:jc w:val="left"/>
            </w:pPr>
            <w:r>
              <w:t xml:space="preserve">17.4</w:t>
            </w:r>
          </w:p>
        </w:tc>
      </w:tr>
      <w:tr>
        <w:tc>
          <w:tcPr/>
          <w:p>
            <w:pPr>
              <w:pStyle w:val="Compact"/>
              <w:jc w:val="left"/>
            </w:pPr>
            <w:r>
              <w:t xml:space="preserve">aqueous ammonia</w:t>
            </w:r>
            <w:hyperlink w:anchor="fs-idp11725888">
              <w:r>
                <w:rPr>
                  <w:rStyle w:val="InternetLink"/>
                </w:rPr>
                <w:t xml:space="preserve">3</w:t>
              </w:r>
            </w:hyperlink>
          </w:p>
          <w:p>
            <w:pPr>
              <w:pStyle w:val="Compact"/>
              <w:jc w:val="left"/>
            </w:pPr>
            <w:r>
              <w:t xml:space="preserve">3</w:t>
            </w:r>
          </w:p>
          <w:p>
            <w:pPr>
              <w:pStyle w:val="Compact"/>
              <w:jc w:val="left"/>
            </w:pPr>
            <w:r>
              <w:t xml:space="preserve">This solution is sometimes called “ammonium hydroxide,” although this term is not chemically accurate.</w:t>
            </w:r>
          </w:p>
        </w:tc>
        <w:tc>
          <w:tcPr/>
          <w:p>
            <w:pPr>
              <w:pStyle w:val="Compact"/>
              <w:jc w:val="left"/>
            </w:pPr>
            <w:r>
              <w:t xml:space="preserve">0.90</w:t>
            </w:r>
          </w:p>
        </w:tc>
        <w:tc>
          <w:tcPr/>
          <w:p>
            <w:pPr>
              <w:pStyle w:val="Compact"/>
              <w:jc w:val="left"/>
            </w:pPr>
            <w:r>
              <w:t xml:space="preserve">28%</w:t>
            </w:r>
          </w:p>
        </w:tc>
        <w:tc>
          <w:tcPr/>
          <w:p>
            <w:pPr>
              <w:pStyle w:val="Compact"/>
              <w:jc w:val="left"/>
            </w:pPr>
            <w:r>
              <w:t xml:space="preserve">14.8</w:t>
            </w:r>
          </w:p>
        </w:tc>
      </w:tr>
      <w:tr>
        <w:tc>
          <w:tcPr/>
          <w:p>
            <w:pPr>
              <w:pStyle w:val="Compact"/>
              <w:jc w:val="left"/>
            </w:pPr>
            <w:r>
              <w:t xml:space="preserve">hydrochloric acid</w:t>
            </w:r>
          </w:p>
        </w:tc>
        <w:tc>
          <w:tcPr/>
          <w:p>
            <w:pPr>
              <w:pStyle w:val="Compact"/>
              <w:jc w:val="left"/>
            </w:pPr>
            <w:r>
              <w:t xml:space="preserve">1.18</w:t>
            </w:r>
          </w:p>
        </w:tc>
        <w:tc>
          <w:tcPr/>
          <w:p>
            <w:pPr>
              <w:pStyle w:val="Compact"/>
              <w:jc w:val="left"/>
            </w:pPr>
            <w:r>
              <w:t xml:space="preserve">36%</w:t>
            </w:r>
          </w:p>
        </w:tc>
        <w:tc>
          <w:tcPr/>
          <w:p>
            <w:pPr>
              <w:pStyle w:val="Compact"/>
              <w:jc w:val="left"/>
            </w:pPr>
            <w:r>
              <w:t xml:space="preserve">11.6</w:t>
            </w:r>
          </w:p>
        </w:tc>
      </w:tr>
      <w:tr>
        <w:tc>
          <w:tcPr/>
          <w:p>
            <w:pPr>
              <w:pStyle w:val="Compact"/>
              <w:jc w:val="left"/>
            </w:pPr>
            <w:r>
              <w:t xml:space="preserve">nitric acid</w:t>
            </w:r>
          </w:p>
        </w:tc>
        <w:tc>
          <w:tcPr/>
          <w:p>
            <w:pPr>
              <w:pStyle w:val="Compact"/>
              <w:jc w:val="left"/>
            </w:pPr>
            <w:r>
              <w:t xml:space="preserve">1.42</w:t>
            </w:r>
          </w:p>
        </w:tc>
        <w:tc>
          <w:tcPr/>
          <w:p>
            <w:pPr>
              <w:pStyle w:val="Compact"/>
              <w:jc w:val="left"/>
            </w:pPr>
            <w:r>
              <w:t xml:space="preserve">71%</w:t>
            </w:r>
          </w:p>
        </w:tc>
        <w:tc>
          <w:tcPr/>
          <w:p>
            <w:pPr>
              <w:pStyle w:val="Compact"/>
              <w:jc w:val="left"/>
            </w:pPr>
            <w:r>
              <w:t xml:space="preserve">16.0</w:t>
            </w:r>
          </w:p>
        </w:tc>
      </w:tr>
      <w:tr>
        <w:tc>
          <w:tcPr/>
          <w:p>
            <w:pPr>
              <w:pStyle w:val="Compact"/>
              <w:jc w:val="left"/>
            </w:pPr>
            <w:r>
              <w:t xml:space="preserve">perchloric acid</w:t>
            </w:r>
          </w:p>
        </w:tc>
        <w:tc>
          <w:tcPr/>
          <w:p>
            <w:pPr>
              <w:pStyle w:val="Compact"/>
              <w:jc w:val="left"/>
            </w:pPr>
            <w:r>
              <w:t xml:space="preserve">1.67</w:t>
            </w:r>
          </w:p>
        </w:tc>
        <w:tc>
          <w:tcPr/>
          <w:p>
            <w:pPr>
              <w:pStyle w:val="Compact"/>
              <w:jc w:val="left"/>
            </w:pPr>
            <w:r>
              <w:t xml:space="preserve">70%</w:t>
            </w:r>
          </w:p>
        </w:tc>
        <w:tc>
          <w:tcPr/>
          <w:p>
            <w:pPr>
              <w:pStyle w:val="Compact"/>
              <w:jc w:val="left"/>
            </w:pPr>
            <w:r>
              <w:t xml:space="preserve">11.65</w:t>
            </w:r>
          </w:p>
        </w:tc>
      </w:tr>
      <w:tr>
        <w:tc>
          <w:tcPr/>
          <w:p>
            <w:pPr>
              <w:pStyle w:val="Compact"/>
              <w:jc w:val="left"/>
            </w:pPr>
            <w:r>
              <w:t xml:space="preserve">phosphoric acid</w:t>
            </w:r>
          </w:p>
        </w:tc>
        <w:tc>
          <w:tcPr/>
          <w:p>
            <w:pPr>
              <w:pStyle w:val="Compact"/>
              <w:jc w:val="left"/>
            </w:pPr>
            <w:r>
              <w:t xml:space="preserve">1.70</w:t>
            </w:r>
          </w:p>
        </w:tc>
        <w:tc>
          <w:tcPr/>
          <w:p>
            <w:pPr>
              <w:pStyle w:val="Compact"/>
              <w:jc w:val="left"/>
            </w:pPr>
            <w:r>
              <w:t xml:space="preserve">85%</w:t>
            </w:r>
          </w:p>
        </w:tc>
        <w:tc>
          <w:tcPr/>
          <w:p>
            <w:pPr>
              <w:pStyle w:val="Compact"/>
              <w:jc w:val="left"/>
            </w:pPr>
            <w:r>
              <w:t xml:space="preserve">14.7</w:t>
            </w:r>
          </w:p>
        </w:tc>
      </w:tr>
      <w:tr>
        <w:tc>
          <w:tcPr/>
          <w:p>
            <w:pPr>
              <w:pStyle w:val="Compact"/>
              <w:jc w:val="left"/>
            </w:pPr>
            <w:r>
              <w:t xml:space="preserve">sodium hydroxide</w:t>
            </w:r>
          </w:p>
        </w:tc>
        <w:tc>
          <w:tcPr/>
          <w:p>
            <w:pPr>
              <w:pStyle w:val="Compact"/>
              <w:jc w:val="left"/>
            </w:pPr>
            <w:r>
              <w:t xml:space="preserve">1.53</w:t>
            </w:r>
          </w:p>
        </w:tc>
        <w:tc>
          <w:tcPr/>
          <w:p>
            <w:pPr>
              <w:pStyle w:val="Compact"/>
              <w:jc w:val="left"/>
            </w:pPr>
            <w:r>
              <w:t xml:space="preserve">50%</w:t>
            </w:r>
          </w:p>
        </w:tc>
        <w:tc>
          <w:tcPr/>
          <w:p>
            <w:pPr>
              <w:pStyle w:val="Compact"/>
              <w:jc w:val="left"/>
            </w:pPr>
            <w:r>
              <w:t xml:space="preserve">19.1</w:t>
            </w:r>
          </w:p>
        </w:tc>
      </w:tr>
      <w:tr>
        <w:tc>
          <w:tcPr/>
          <w:p>
            <w:pPr>
              <w:pStyle w:val="Compact"/>
              <w:jc w:val="left"/>
            </w:pPr>
            <w:r>
              <w:t xml:space="preserve">sulfuric acid</w:t>
            </w:r>
          </w:p>
        </w:tc>
        <w:tc>
          <w:tcPr/>
          <w:p>
            <w:pPr>
              <w:pStyle w:val="Compact"/>
              <w:jc w:val="left"/>
            </w:pPr>
            <w:r>
              <w:t xml:space="preserve">1.84</w:t>
            </w:r>
          </w:p>
        </w:tc>
        <w:tc>
          <w:tcPr/>
          <w:p>
            <w:pPr>
              <w:pStyle w:val="Compact"/>
              <w:jc w:val="left"/>
            </w:pPr>
            <w:r>
              <w:t xml:space="preserve">96%</w:t>
            </w:r>
          </w:p>
        </w:tc>
        <w:tc>
          <w:tcPr/>
          <w:p>
            <w:pPr>
              <w:pStyle w:val="Compact"/>
              <w:jc w:val="left"/>
            </w:pPr>
            <w:r>
              <w:t xml:space="preserve">18.0</w:t>
            </w:r>
          </w:p>
        </w:tc>
      </w:tr>
    </w:tbl>
    <w:bookmarkEnd w:id="20"/>
    <w:p>
      <w:pPr>
        <w:pStyle w:val="TextBody"/>
      </w:pPr>
      <w:r>
        <w:t xml:space="preserve">Table</w:t>
      </w:r>
      <w:r>
        <w:t xml:space="preserve"> </w:t>
      </w:r>
      <w:r>
        <w:t xml:space="preserve"> </w:t>
      </w:r>
      <w:r>
        <w:t xml:space="preserve">F1</w:t>
      </w:r>
      <w:r>
        <w:t xml:space="preserve"> </w:t>
      </w:r>
      <w:r>
        <w:t xml:space="preserve"> </w:t>
      </w:r>
      <w:r>
        <w:t xml:space="preserve"> </w:t>
      </w:r>
      <w:r>
        <w:t xml:space="preserve"> </w:t>
      </w:r>
    </w:p>
    <w:bookmarkEnd w:id="21"/>
    <w:bookmarkEnd w:id="2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2025-01-24T22:26:10Z</dcterms:created>
  <dcterms:modified xsi:type="dcterms:W3CDTF">2025-01-24T22:26:10Z</dcterms:modified>
</cp:coreProperties>
</file>

<file path=docProps/custom.xml><?xml version="1.0" encoding="utf-8"?>
<Properties xmlns="http://schemas.openxmlformats.org/officeDocument/2006/custom-properties" xmlns:vt="http://schemas.openxmlformats.org/officeDocument/2006/docPropsVTypes"/>
</file>