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c3116f83c9114c1a51775008e6591491f4e597f"/>
    <w:bookmarkStart w:id="21" w:name="appendix-j-solubility-products"/>
    <w:p>
      <w:pPr>
        <w:pStyle w:val="Heading1"/>
      </w:pPr>
      <w:r>
        <w:t xml:space="preserve">Appendix</w:t>
      </w:r>
      <w:r>
        <w:t xml:space="preserve"> </w:t>
      </w:r>
      <w:r>
        <w:t xml:space="preserve"> </w:t>
      </w:r>
      <w:r>
        <w:t xml:space="preserve">J</w:t>
      </w:r>
      <w:r>
        <w:t xml:space="preserve"> </w:t>
      </w:r>
      <w:r>
        <w:t xml:space="preserve"> </w:t>
      </w:r>
      <w:r>
        <w:t xml:space="preserve"> </w:t>
      </w:r>
      <w:r>
        <w:t xml:space="preserve">Solubility Products</w:t>
      </w:r>
    </w:p>
    <w:p>
      <w:pPr>
        <w:pStyle w:val="FirstParagraph"/>
      </w:pPr>
      <w:r>
        <w:t xml:space="preserve">Solubility Products</w:t>
      </w:r>
    </w:p>
    <w:bookmarkStart w:id="20" w:name="fs-idm454814336"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Substance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K</w:t>
            </w:r>
            <w:r>
              <w:rPr>
                <w:vertAlign w:val="subscript"/>
              </w:rPr>
              <w:t xml:space="preserve">sp</w:t>
            </w:r>
            <w:r>
              <w:t xml:space="preserve"> </w:t>
            </w:r>
            <w:r>
              <w:t xml:space="preserve">at 25 °C</w:t>
            </w:r>
          </w:p>
        </w:tc>
      </w:tr>
      <w:tr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aluminum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Al(OH)</w:t>
            </w:r>
            <w:r>
              <w:rPr>
                <w:vertAlign w:val="subscript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−32</w:t>
            </w:r>
          </w:p>
        </w:tc>
      </w:tr>
      <w:tr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barium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BaCO</w:t>
            </w:r>
            <w:r>
              <w:rPr>
                <w:vertAlign w:val="subscript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</w:t>
            </w:r>
            <w:r>
              <w:rPr>
                <w:vertAlign w:val="subscript"/>
              </w:rPr>
              <w:t xml:space="preserve">2</w:t>
            </w:r>
            <w:r>
              <w:t xml:space="preserve">O</w:t>
            </w:r>
            <w:r>
              <w:rPr>
                <w:vertAlign w:val="subscript"/>
              </w:rPr>
              <w:t xml:space="preserve">4</w:t>
            </w:r>
            <w:r>
              <w:t xml:space="preserve">·2H</w:t>
            </w:r>
            <w:r>
              <w:rPr>
                <w:vertAlign w:val="subscript"/>
              </w:rPr>
              <w:t xml:space="preserve">2</w:t>
            </w: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BaSO</w:t>
            </w:r>
            <w:r>
              <w:rPr>
                <w:vertAlign w:val="subscript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BaCrO</w:t>
            </w:r>
            <w:r>
              <w:rPr>
                <w:vertAlign w:val="subscript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BaF</w:t>
            </w:r>
            <w:r>
              <w:rPr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Ba(OH)</w:t>
            </w:r>
            <w:r>
              <w:rPr>
                <w:vertAlign w:val="subscript"/>
              </w:rPr>
              <w:t xml:space="preserve">2</w:t>
            </w:r>
            <w:r>
              <w:t xml:space="preserve">·8H</w:t>
            </w:r>
            <w:r>
              <w:rPr>
                <w:vertAlign w:val="subscript"/>
              </w:rPr>
              <w:t xml:space="preserve">2</w:t>
            </w: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</w:t>
            </w:r>
            <w:r>
              <w:rPr>
                <w:vertAlign w:val="subscript"/>
              </w:rPr>
              <w:t xml:space="preserve">3</w:t>
            </w:r>
            <w:r>
              <w:t xml:space="preserve">(PO</w:t>
            </w:r>
            <w:r>
              <w:rPr>
                <w:vertAlign w:val="subscript"/>
              </w:rPr>
              <w:t xml:space="preserve">4</w:t>
            </w:r>
            <w:r>
              <w:t xml:space="preserve">)</w:t>
            </w:r>
            <w:r>
              <w:rPr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</w:t>
            </w:r>
            <w:r>
              <w:rPr>
                <w:vertAlign w:val="subscript"/>
              </w:rPr>
              <w:t xml:space="preserve">3</w:t>
            </w:r>
            <w:r>
              <w:t xml:space="preserve">(AsO</w:t>
            </w:r>
            <w:r>
              <w:rPr>
                <w:vertAlign w:val="subscript"/>
              </w:rPr>
              <w:t xml:space="preserve">4</w:t>
            </w:r>
            <w:r>
              <w:t xml:space="preserve">)</w:t>
            </w:r>
            <w:r>
              <w:rPr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−13</w:t>
            </w:r>
          </w:p>
        </w:tc>
      </w:tr>
      <w:tr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bismuth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BiO(OH)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BiOCl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</w:t>
            </w:r>
            <w:r>
              <w:rPr>
                <w:vertAlign w:val="subscript"/>
              </w:rPr>
              <w:t xml:space="preserve">2</w:t>
            </w:r>
            <w:r>
              <w:t xml:space="preserve">S</w:t>
            </w:r>
            <w:r>
              <w:rPr>
                <w:vertAlign w:val="subscript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−97</w:t>
            </w:r>
          </w:p>
        </w:tc>
      </w:tr>
      <w:tr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cadmium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Cd(OH)</w:t>
            </w:r>
            <w:r>
              <w:rPr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5.9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CdCO</w:t>
            </w:r>
            <w:r>
              <w:rPr>
                <w:vertAlign w:val="subscript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−12</w:t>
            </w:r>
          </w:p>
        </w:tc>
      </w:tr>
      <w:tr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calcium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Ca(OH)</w:t>
            </w:r>
            <w:r>
              <w:rPr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CaCO</w:t>
            </w:r>
            <w:r>
              <w:rPr>
                <w:vertAlign w:val="subscript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8.7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CaSO4·2H</w:t>
            </w:r>
            <w:r>
              <w:rPr>
                <w:vertAlign w:val="subscript"/>
              </w:rPr>
              <w:t xml:space="preserve">2</w:t>
            </w: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CaC</w:t>
            </w:r>
            <w:r>
              <w:rPr>
                <w:vertAlign w:val="subscript"/>
              </w:rPr>
              <w:t xml:space="preserve">2</w:t>
            </w:r>
            <w:r>
              <w:t xml:space="preserve">O</w:t>
            </w:r>
            <w:r>
              <w:rPr>
                <w:vertAlign w:val="subscript"/>
              </w:rPr>
              <w:t xml:space="preserve">4</w:t>
            </w:r>
            <w:r>
              <w:t xml:space="preserve">·H</w:t>
            </w:r>
            <w:r>
              <w:rPr>
                <w:vertAlign w:val="subscript"/>
              </w:rPr>
              <w:t xml:space="preserve">2</w:t>
            </w: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1.96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</w:t>
            </w:r>
            <w:r>
              <w:rPr>
                <w:vertAlign w:val="subscript"/>
              </w:rPr>
              <w:t xml:space="preserve">3</w:t>
            </w:r>
            <w:r>
              <w:t xml:space="preserve">(PO</w:t>
            </w:r>
            <w:r>
              <w:rPr>
                <w:vertAlign w:val="subscript"/>
              </w:rPr>
              <w:t xml:space="preserve">4</w:t>
            </w:r>
            <w:r>
              <w:t xml:space="preserve">)</w:t>
            </w:r>
            <w:r>
              <w:rPr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CaHPO</w:t>
            </w:r>
            <w:r>
              <w:rPr>
                <w:vertAlign w:val="subscript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CaF</w:t>
            </w:r>
            <w:r>
              <w:rPr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−11</w:t>
            </w:r>
          </w:p>
        </w:tc>
      </w:tr>
      <w:tr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chromium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Cr(OH)</w:t>
            </w:r>
            <w:r>
              <w:rPr>
                <w:vertAlign w:val="subscript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6.7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−31</w:t>
            </w:r>
          </w:p>
        </w:tc>
      </w:tr>
      <w:tr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cobalt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Co(OH)</w:t>
            </w:r>
            <w:r>
              <w:rPr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CoS(</w:t>
            </w:r>
            <w:r>
              <w:rPr>
                <w:iCs/>
                <w:i/>
              </w:rPr>
              <w:t xml:space="preserve">α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CoS(</w:t>
            </w:r>
            <w:r>
              <w:rPr>
                <w:iCs/>
                <w:i/>
              </w:rPr>
              <w:t xml:space="preserve">β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CoCO</w:t>
            </w:r>
            <w:r>
              <w:rPr>
                <w:vertAlign w:val="subscript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Co(OH)</w:t>
            </w:r>
            <w:r>
              <w:rPr>
                <w:vertAlign w:val="subscript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−43</w:t>
            </w:r>
          </w:p>
        </w:tc>
      </w:tr>
      <w:tr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copper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CuBr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6.27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1.27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</w:t>
            </w:r>
            <w:r>
              <w:rPr>
                <w:vertAlign w:val="subscript"/>
              </w:rPr>
              <w:t xml:space="preserve">2</w:t>
            </w: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Cu(OH)</w:t>
            </w:r>
            <w:r>
              <w:rPr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CuCO</w:t>
            </w:r>
            <w:r>
              <w:rPr>
                <w:vertAlign w:val="subscript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−10</w:t>
            </w:r>
          </w:p>
        </w:tc>
      </w:tr>
      <w:tr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iron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Fe(OH)</w:t>
            </w:r>
            <w:r>
              <w:rPr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FeCO</w:t>
            </w:r>
            <w:r>
              <w:rPr>
                <w:vertAlign w:val="subscript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Fe(OH)</w:t>
            </w:r>
            <w:r>
              <w:rPr>
                <w:vertAlign w:val="subscript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−38</w:t>
            </w:r>
          </w:p>
        </w:tc>
      </w:tr>
      <w:tr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Pb(OH)</w:t>
            </w:r>
            <w:r>
              <w:rPr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PbF</w:t>
            </w:r>
            <w:r>
              <w:rPr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PbCl</w:t>
            </w:r>
            <w:r>
              <w:rPr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PbBr</w:t>
            </w:r>
            <w:r>
              <w:rPr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PbI</w:t>
            </w:r>
            <w:r>
              <w:rPr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PbCO</w:t>
            </w:r>
            <w:r>
              <w:rPr>
                <w:vertAlign w:val="subscript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PbCrO</w:t>
            </w:r>
            <w:r>
              <w:rPr>
                <w:vertAlign w:val="subscript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PbSO</w:t>
            </w:r>
            <w:r>
              <w:rPr>
                <w:vertAlign w:val="subscript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Pb</w:t>
            </w:r>
            <w:r>
              <w:rPr>
                <w:vertAlign w:val="subscript"/>
              </w:rPr>
              <w:t xml:space="preserve">3</w:t>
            </w:r>
            <w:r>
              <w:t xml:space="preserve">(PO</w:t>
            </w:r>
            <w:r>
              <w:rPr>
                <w:vertAlign w:val="subscript"/>
              </w:rPr>
              <w:t xml:space="preserve">4</w:t>
            </w:r>
            <w:r>
              <w:t xml:space="preserve">)</w:t>
            </w:r>
            <w:r>
              <w:rPr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−54</w:t>
            </w:r>
          </w:p>
        </w:tc>
      </w:tr>
      <w:tr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magnesium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Mg(OH)</w:t>
            </w:r>
            <w:r>
              <w:rPr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8.9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MgCO</w:t>
            </w:r>
            <w:r>
              <w:rPr>
                <w:vertAlign w:val="subscript"/>
              </w:rPr>
              <w:t xml:space="preserve">3</w:t>
            </w:r>
            <w:r>
              <w:t xml:space="preserve">·3H</w:t>
            </w:r>
            <w:r>
              <w:rPr>
                <w:vertAlign w:val="subscript"/>
              </w:rPr>
              <w:t xml:space="preserve">2</w:t>
            </w: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ca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MgNH</w:t>
            </w:r>
            <w:r>
              <w:rPr>
                <w:vertAlign w:val="subscript"/>
              </w:rPr>
              <w:t xml:space="preserve">4</w:t>
            </w:r>
            <w:r>
              <w:t xml:space="preserve">PO</w:t>
            </w:r>
            <w:r>
              <w:rPr>
                <w:vertAlign w:val="subscript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MgF</w:t>
            </w:r>
            <w:r>
              <w:rPr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6.4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MgC</w:t>
            </w:r>
            <w:r>
              <w:rPr>
                <w:vertAlign w:val="subscript"/>
              </w:rPr>
              <w:t xml:space="preserve">2</w:t>
            </w:r>
            <w:r>
              <w:t xml:space="preserve">O</w:t>
            </w:r>
            <w:r>
              <w:rPr>
                <w:vertAlign w:val="subscript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−7</w:t>
            </w:r>
          </w:p>
        </w:tc>
      </w:tr>
      <w:tr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manganese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Mn(OH)</w:t>
            </w:r>
            <w:r>
              <w:rPr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MnCO</w:t>
            </w:r>
            <w:r>
              <w:rPr>
                <w:vertAlign w:val="subscript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8.8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−13</w:t>
            </w:r>
          </w:p>
        </w:tc>
      </w:tr>
      <w:tr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mercury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Hg</w:t>
            </w:r>
            <w:r>
              <w:rPr>
                <w:vertAlign w:val="subscript"/>
              </w:rPr>
              <w:t xml:space="preserve">2</w:t>
            </w:r>
            <w:r>
              <w:t xml:space="preserve">O·H</w:t>
            </w:r>
            <w:r>
              <w:rPr>
                <w:vertAlign w:val="subscript"/>
              </w:rPr>
              <w:t xml:space="preserve">2</w:t>
            </w: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Hg</w:t>
            </w:r>
            <w:r>
              <w:rPr>
                <w:vertAlign w:val="subscript"/>
              </w:rPr>
              <w:t xml:space="preserve">2</w:t>
            </w:r>
            <w:r>
              <w:t xml:space="preserve">Cl</w:t>
            </w:r>
            <w:r>
              <w:rPr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Hg</w:t>
            </w:r>
            <w:r>
              <w:rPr>
                <w:vertAlign w:val="subscript"/>
              </w:rPr>
              <w:t xml:space="preserve">2</w:t>
            </w:r>
            <w:r>
              <w:t xml:space="preserve">Br</w:t>
            </w:r>
            <w:r>
              <w:rPr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Hg</w:t>
            </w:r>
            <w:r>
              <w:rPr>
                <w:vertAlign w:val="subscript"/>
              </w:rPr>
              <w:t xml:space="preserve">2</w:t>
            </w:r>
            <w:r>
              <w:t xml:space="preserve">I</w:t>
            </w:r>
            <w:r>
              <w:rPr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Hg</w:t>
            </w:r>
            <w:r>
              <w:rPr>
                <w:vertAlign w:val="subscript"/>
              </w:rPr>
              <w:t xml:space="preserve">2</w:t>
            </w:r>
            <w:r>
              <w:t xml:space="preserve">CO</w:t>
            </w:r>
            <w:r>
              <w:rPr>
                <w:vertAlign w:val="subscript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Hg</w:t>
            </w:r>
            <w:r>
              <w:rPr>
                <w:vertAlign w:val="subscript"/>
              </w:rPr>
              <w:t xml:space="preserve">2</w:t>
            </w:r>
            <w:r>
              <w:t xml:space="preserve">SO</w:t>
            </w:r>
            <w:r>
              <w:rPr>
                <w:vertAlign w:val="subscript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Hg</w:t>
            </w:r>
            <w:r>
              <w:rPr>
                <w:vertAlign w:val="subscript"/>
              </w:rPr>
              <w:t xml:space="preserve">2</w:t>
            </w: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Hg</w:t>
            </w:r>
            <w:r>
              <w:rPr>
                <w:vertAlign w:val="subscript"/>
              </w:rPr>
              <w:t xml:space="preserve">2</w:t>
            </w:r>
            <w:r>
              <w:t xml:space="preserve">CrO</w:t>
            </w:r>
            <w:r>
              <w:rPr>
                <w:vertAlign w:val="subscript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−54</w:t>
            </w:r>
          </w:p>
        </w:tc>
      </w:tr>
      <w:tr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nickel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Ni(OH)</w:t>
            </w:r>
            <w:r>
              <w:rPr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NiCO</w:t>
            </w:r>
            <w:r>
              <w:rPr>
                <w:vertAlign w:val="subscript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NiS(</w:t>
            </w:r>
            <w:r>
              <w:rPr>
                <w:iCs/>
                <w:i/>
              </w:rPr>
              <w:t xml:space="preserve">α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NiS(</w:t>
            </w:r>
            <w:r>
              <w:rPr>
                <w:iCs/>
                <w:i/>
              </w:rPr>
              <w:t xml:space="preserve">β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−25</w:t>
            </w:r>
          </w:p>
        </w:tc>
      </w:tr>
      <w:tr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potassium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KClO</w:t>
            </w:r>
            <w:r>
              <w:rPr>
                <w:vertAlign w:val="subscript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1.05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</w:t>
            </w:r>
            <w:r>
              <w:rPr>
                <w:vertAlign w:val="subscript"/>
              </w:rPr>
              <w:t xml:space="preserve">2</w:t>
            </w:r>
            <w:r>
              <w:t xml:space="preserve">PtCl</w:t>
            </w:r>
            <w:r>
              <w:rPr>
                <w:vertAlign w:val="subscript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7.48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KHC</w:t>
            </w:r>
            <w:r>
              <w:rPr>
                <w:vertAlign w:val="subscript"/>
              </w:rPr>
              <w:t xml:space="preserve">4</w:t>
            </w:r>
            <w:r>
              <w:t xml:space="preserve">H</w:t>
            </w:r>
            <w:r>
              <w:rPr>
                <w:vertAlign w:val="subscript"/>
              </w:rPr>
              <w:t xml:space="preserve">4</w:t>
            </w:r>
            <w:r>
              <w:t xml:space="preserve">O</w:t>
            </w:r>
            <w:r>
              <w:rPr>
                <w:vertAlign w:val="subscript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−4</w:t>
            </w:r>
          </w:p>
        </w:tc>
      </w:tr>
      <w:tr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silver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​</m:t>
                  </m:r>
                </m:e>
                <m:sub>
                  <m:r>
                    <m:t>2</m:t>
                  </m:r>
                </m:sub>
                <m:sup>
                  <m:r>
                    <m:t>1</m:t>
                  </m:r>
                </m:sup>
              </m:sSubSup>
              <m:r>
                <m:rPr>
                  <m:nor/>
                  <m:sty m:val="p"/>
                </m:rPr>
                <m:t>A</m:t>
              </m:r>
              <m:sSub>
                <m:e>
                  <m:r>
                    <m:rPr>
                      <m:nor/>
                      <m:sty m:val="p"/>
                    </m:rPr>
                    <m:t>g</m:t>
                  </m:r>
                </m:e>
                <m:sub>
                  <m:r>
                    <m:rPr>
                      <m:nor/>
                      <m:sty m:val="p"/>
                    </m:rPr>
                    <m:t>2</m:t>
                  </m:r>
                </m:sub>
              </m:sSub>
              <m:r>
                <m:rPr>
                  <m:nor/>
                  <m:sty m:val="p"/>
                </m:rP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Ag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OH</m:t>
                      </m:r>
                    </m:e>
                    <m:sup>
                      <m:r>
                        <m:rPr>
                          <m:nor/>
                          <m:sty m:val="p"/>
                        </m:rPr>
                        <m:t>−</m:t>
                      </m:r>
                    </m:sup>
                  </m:sSup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AgBr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AgSCN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</w:t>
            </w:r>
            <w:r>
              <w:rPr>
                <w:vertAlign w:val="subscript"/>
              </w:rPr>
              <w:t xml:space="preserve">2</w:t>
            </w: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</w:t>
            </w:r>
            <w:r>
              <w:rPr>
                <w:vertAlign w:val="subscript"/>
              </w:rPr>
              <w:t xml:space="preserve">2</w:t>
            </w:r>
            <w:r>
              <w:t xml:space="preserve">CO</w:t>
            </w:r>
            <w:r>
              <w:rPr>
                <w:vertAlign w:val="subscript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</w:t>
            </w:r>
            <w:r>
              <w:rPr>
                <w:vertAlign w:val="subscript"/>
              </w:rPr>
              <w:t xml:space="preserve">2</w:t>
            </w:r>
            <w:r>
              <w:t xml:space="preserve">CrO</w:t>
            </w:r>
            <w:r>
              <w:rPr>
                <w:vertAlign w:val="subscript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</w:t>
            </w:r>
            <w:r>
              <w:rPr>
                <w:vertAlign w:val="subscript"/>
              </w:rPr>
              <w:t xml:space="preserve">4</w:t>
            </w:r>
            <w:r>
              <w:t xml:space="preserve">Fe(CN)</w:t>
            </w:r>
            <w:r>
              <w:rPr>
                <w:vertAlign w:val="subscript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1.55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</w:t>
            </w:r>
            <w:r>
              <w:rPr>
                <w:vertAlign w:val="subscript"/>
              </w:rPr>
              <w:t xml:space="preserve">2</w:t>
            </w:r>
            <w:r>
              <w:t xml:space="preserve">SO</w:t>
            </w:r>
            <w:r>
              <w:rPr>
                <w:vertAlign w:val="subscript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</w:t>
            </w:r>
            <w:r>
              <w:rPr>
                <w:vertAlign w:val="subscript"/>
              </w:rPr>
              <w:t xml:space="preserve">3</w:t>
            </w:r>
            <w:r>
              <w:t xml:space="preserve">PO</w:t>
            </w:r>
            <w:r>
              <w:rPr>
                <w:vertAlign w:val="subscript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−18</w:t>
            </w:r>
          </w:p>
        </w:tc>
      </w:tr>
      <w:tr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strontium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Sr(OH)</w:t>
            </w:r>
            <w:r>
              <w:rPr>
                <w:vertAlign w:val="subscript"/>
              </w:rPr>
              <w:t xml:space="preserve">2</w:t>
            </w:r>
            <w:r>
              <w:t xml:space="preserve">·8H</w:t>
            </w:r>
            <w:r>
              <w:rPr>
                <w:vertAlign w:val="subscript"/>
              </w:rPr>
              <w:t xml:space="preserve">2</w:t>
            </w: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SrCO</w:t>
            </w:r>
            <w:r>
              <w:rPr>
                <w:vertAlign w:val="subscript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SrCrO</w:t>
            </w:r>
            <w:r>
              <w:rPr>
                <w:vertAlign w:val="subscript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SrSO</w:t>
            </w:r>
            <w:r>
              <w:rPr>
                <w:vertAlign w:val="subscript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SrC</w:t>
            </w:r>
            <w:r>
              <w:rPr>
                <w:vertAlign w:val="subscript"/>
              </w:rPr>
              <w:t xml:space="preserve">2</w:t>
            </w:r>
            <w:r>
              <w:t xml:space="preserve">O</w:t>
            </w:r>
            <w:r>
              <w:rPr>
                <w:vertAlign w:val="subscript"/>
              </w:rPr>
              <w:t xml:space="preserve">4</w:t>
            </w:r>
            <w:r>
              <w:t xml:space="preserve">·H</w:t>
            </w:r>
            <w:r>
              <w:rPr>
                <w:vertAlign w:val="subscript"/>
              </w:rPr>
              <w:t xml:space="preserve">2</w:t>
            </w: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−7</w:t>
            </w:r>
          </w:p>
        </w:tc>
      </w:tr>
      <w:tr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thallium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TlCl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TlSCN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Tl</w:t>
            </w:r>
            <w:r>
              <w:rPr>
                <w:vertAlign w:val="subscript"/>
              </w:rPr>
              <w:t xml:space="preserve">2</w:t>
            </w: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Tl(OH)</w:t>
            </w:r>
            <w:r>
              <w:rPr>
                <w:vertAlign w:val="subscript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−46</w:t>
            </w:r>
          </w:p>
        </w:tc>
      </w:tr>
      <w:tr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tin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Sn(OH)</w:t>
            </w:r>
            <w:r>
              <w:rPr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Sn(OH)</w:t>
            </w:r>
            <w:r>
              <w:rPr>
                <w:vertAlign w:val="subscript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−57</w:t>
            </w:r>
          </w:p>
        </w:tc>
      </w:tr>
      <w:tr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zinc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ZnCO</w:t>
            </w:r>
            <w:r>
              <w:rPr>
                <w:vertAlign w:val="subscript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−10</w:t>
            </w:r>
          </w:p>
        </w:tc>
      </w:tr>
    </w:tbl>
    <w:bookmarkEnd w:id="20"/>
    <w:p>
      <w:pPr>
        <w:pStyle w:val="TextBody"/>
      </w:pPr>
      <w:r>
        <w:t xml:space="preserve">Table</w:t>
      </w:r>
      <w:r>
        <w:t xml:space="preserve"> </w:t>
      </w:r>
      <w:r>
        <w:t xml:space="preserve"> </w:t>
      </w:r>
      <w:r>
        <w:t xml:space="preserve">J1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bookmarkEnd w:id="21"/>
    <w:bookmarkEnd w:id="22"/>
    <w:sectPr>
      <w:footerReference r:id="rId9" w:type="default"/>
      <w:footnotePr>
        <w:numFmt w:val="decimal"/>
      </w:footnotePr>
      <w:type w:val="nextPage"/>
      <w:pgSz w:h="15840" w:w="12240"/>
      <w:pgMar w:bottom="1440" w:footer="72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/>
      <w:t xml:space="preserve">Access for free at </w:t>
    </w:r>
    <w:hyperlink r:id="rId1">
      <w:r>
        <w:rPr>
          <w:rStyle w:val="InternetLink"/>
        </w:rPr>
        <w:t>https://openstax.org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bidi="" w:eastAsia="ja-JP" w:val="en-U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bidi w:val="0"/>
      <w:spacing w:after="200" w:before="0"/>
      <w:jc w:val="left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TextBody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cs="" w:cstheme="majorBidi" w:eastAsia="ＭＳ ゴシック" w:eastAsiaTheme="majorEastAsia" w:hAnsi="Calibri" w:hAnsiTheme="majorHAnsi"/>
      <w:bCs/>
      <w:i/>
      <w:color w:themeColor="accent1" w:val="4F81BD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" w:cstheme="majorBidi" w:eastAsia="ＭＳ ゴシック" w:eastAsiaTheme="majorEastAsia" w:hAnsi="Calibri" w:hAnsiTheme="majorHAnsi"/>
      <w:iCs/>
      <w:color w:themeColor="accent1" w:val="4F81BD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CaptionChar" w:type="character">
    <w:name w:val="Caption Char"/>
    <w:basedOn w:val="DefaultParagraphFont"/>
    <w:link w:val="Caption"/>
    <w:qFormat/>
    <w:rPr/>
  </w:style>
  <w:style w:customStyle="1" w:styleId="VerbatimChar" w:type="character">
    <w:name w:val="Verbatim Char"/>
    <w:basedOn w:val="CaptionChar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Hyperlink"/>
    <w:basedOn w:val="CaptionChar"/>
    <w:rPr>
      <w:color w:themeColor="accent1" w:val="4F81BD"/>
    </w:rPr>
  </w:style>
  <w:style w:customStyle="1" w:styleId="HeaderChar" w:type="character">
    <w:name w:val="Header Char"/>
    <w:basedOn w:val="DefaultParagraphFont"/>
    <w:link w:val="Header"/>
    <w:qFormat/>
    <w:rsid w:val="00cb1f69"/>
    <w:rPr/>
  </w:style>
  <w:style w:customStyle="1" w:styleId="FooterChar" w:type="character">
    <w:name w:val="Footer Char"/>
    <w:basedOn w:val="DefaultParagraphFont"/>
    <w:link w:val="Footer"/>
    <w:qFormat/>
    <w:rsid w:val="00cb1f69"/>
    <w:rPr/>
  </w:style>
  <w:style w:styleId="UnresolvedMention" w:type="character">
    <w:name w:val="Unresolved Mention"/>
    <w:basedOn w:val="DefaultParagraphFont"/>
    <w:uiPriority w:val="99"/>
    <w:semiHidden/>
    <w:unhideWhenUsed/>
    <w:qFormat/>
    <w:rsid w:val="00cb1f69"/>
    <w:rPr>
      <w:color w:val="605E5C"/>
      <w:shd w:fill="E1DFDD" w:val="clear"/>
    </w:rPr>
  </w:style>
  <w:style w:styleId="EndnoteAnchor" w:type="character">
    <w:name w:val="Endnote Anchor"/>
    <w:rPr>
      <w:vertAlign w:val="superscript"/>
    </w:rPr>
  </w:style>
  <w:style w:styleId="EndnoteCharacters" w:type="character">
    <w:name w:val="Endnote Characters"/>
    <w:qFormat/>
    <w:rPr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Arial Unicode MS" w:eastAsia="PingFang SC" w:hAnsi="Liberation Sans"/>
      <w:sz w:val="28"/>
      <w:szCs w:val="28"/>
    </w:rPr>
  </w:style>
  <w:style w:styleId="TextBody" w:type="paragraph">
    <w:name w:val="Body Text"/>
    <w:basedOn w:val="Normal"/>
    <w:qFormat/>
    <w:pPr>
      <w:spacing w:after="180" w:before="180"/>
    </w:pPr>
    <w:rPr/>
  </w:style>
  <w:style w:styleId="List" w:type="paragraph">
    <w:name w:val="List"/>
    <w:basedOn w:val="TextBody"/>
    <w:pPr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FirstParagraph" w:type="paragraph">
    <w:name w:val="First Paragraph"/>
    <w:basedOn w:val="TextBody"/>
    <w:next w:val="TextBody"/>
    <w:qFormat/>
    <w:pPr/>
    <w:rPr/>
  </w:style>
  <w:style w:customStyle="1" w:styleId="Compact" w:type="paragraph">
    <w:name w:val="Compact"/>
    <w:basedOn w:val="TextBody"/>
    <w:qFormat/>
    <w:pPr>
      <w:spacing w:after="36" w:before="36"/>
    </w:pPr>
    <w:rPr/>
  </w:style>
  <w:style w:styleId="Title" w:type="paragraph">
    <w:name w:val="Title"/>
    <w:basedOn w:val="Normal"/>
    <w:next w:val="TextBody"/>
    <w:qFormat/>
    <w:pPr>
      <w:keepNext w:val="true"/>
      <w:keepLines/>
      <w:spacing w:after="240" w:before="480"/>
      <w:jc w:val="center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TextBody"/>
    <w:qFormat/>
    <w:pPr>
      <w:spacing w:after="240" w:before="240"/>
    </w:pPr>
    <w:rPr>
      <w:sz w:val="30"/>
      <w:szCs w:val="30"/>
    </w:rPr>
  </w:style>
  <w:style w:customStyle="1" w:styleId="Author" w:type="paragraph">
    <w:name w:val="Author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  <w:ind w:hanging="0" w:left="480" w:right="480"/>
    </w:pPr>
    <w:rPr/>
  </w:style>
  <w:style w:styleId="Footnote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  <w:rPr/>
  </w:style>
  <w:style w:customStyle="1" w:styleId="ImageCaption" w:type="paragraph">
    <w:name w:val="Image Caption"/>
    <w:basedOn w:val="Caption1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TOC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</w:pPr>
    <w:rPr>
      <w:b w:val="false"/>
      <w:bCs w:val="false"/>
      <w:color w:themeColor="accent1" w:themeShade="bf" w:val="365F91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Footer" w:type="paragraph">
    <w:name w:val="Footer"/>
    <w:basedOn w:val="Normal"/>
    <w:link w:val="Foot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Heading9Grey" w:type="paragraph">
    <w:name w:val="Heading9Grey"/>
    <w:basedOn w:val="Heading9"/>
    <w:qFormat/>
    <w:pPr>
      <w:shd w:fill="DDDDDD" w:val="clear"/>
      <w:spacing w:after="200" w:before="0"/>
    </w:pPr>
    <w:rPr/>
  </w:style>
  <w:style w:styleId="Heading1Grey" w:type="paragraph">
    <w:name w:val="Heading1Grey"/>
    <w:basedOn w:val="Heading1"/>
    <w:qFormat/>
    <w:pPr>
      <w:shd w:fill="DDDDDD" w:val="clear"/>
    </w:pPr>
    <w:rPr/>
  </w:style>
  <w:style w:styleId="Heading2Grey" w:type="paragraph">
    <w:name w:val="Heading2Grey"/>
    <w:basedOn w:val="Heading2"/>
    <w:qFormat/>
    <w:pPr>
      <w:shd w:fill="DDDDDD" w:val="clear"/>
    </w:pPr>
    <w:rPr/>
  </w:style>
  <w:style w:styleId="Heading3Grey" w:type="paragraph">
    <w:name w:val="Heading3Grey"/>
    <w:basedOn w:val="Heading3"/>
    <w:qFormat/>
    <w:pPr>
      <w:shd w:fill="DDDDDD" w:val="clear"/>
    </w:pPr>
    <w:rPr/>
  </w:style>
  <w:style w:styleId="Heading4Grey" w:type="paragraph">
    <w:name w:val="Heading4Grey"/>
    <w:basedOn w:val="Heading4"/>
    <w:qFormat/>
    <w:pPr>
      <w:shd w:fill="DDDDDD" w:val="clear"/>
    </w:pPr>
    <w:rPr/>
  </w:style>
  <w:style w:styleId="Heading5Grey" w:type="paragraph">
    <w:name w:val="Heading5Grey"/>
    <w:basedOn w:val="Heading5"/>
    <w:qFormat/>
    <w:pPr>
      <w:shd w:fill="DDDDDD" w:val="clear"/>
    </w:pPr>
    <w:rPr/>
  </w:style>
  <w:style w:styleId="Heading6Grey" w:type="paragraph">
    <w:name w:val="Heading6Grey"/>
    <w:basedOn w:val="Heading6"/>
    <w:qFormat/>
    <w:pPr>
      <w:shd w:fill="DDDDDD" w:val="clear"/>
    </w:pPr>
    <w:rPr/>
  </w:style>
  <w:style w:styleId="Heading7Grey" w:type="paragraph">
    <w:name w:val="Heading7Grey"/>
    <w:basedOn w:val="Heading7"/>
    <w:qFormat/>
    <w:pPr>
      <w:shd w:fill="DDDDDD" w:val="clear"/>
    </w:pPr>
    <w:rPr/>
  </w:style>
  <w:style w:styleId="Heading8Grey" w:type="paragraph">
    <w:name w:val="Heading8Grey"/>
    <w:basedOn w:val="Heading8"/>
    <w:qFormat/>
    <w:pPr>
      <w:shd w:fill="DDDDDD" w:val="clear"/>
    </w:pPr>
    <w:rPr/>
  </w:style>
  <w:style w:styleId="NoteExampleGrey" w:type="paragraph">
    <w:name w:val="NoteExampleGrey"/>
    <w:basedOn w:val="Normal"/>
    <w:qFormat/>
    <w:pPr>
      <w:shd w:fill="DDDDDD" w:val="clear"/>
    </w:pPr>
    <w:rPr/>
  </w:style>
  <w:style w:styleId="SmallWhiteGap" w:type="paragraph">
    <w:name w:val="SmallWhiteGap"/>
    <w:basedOn w:val="TextBody"/>
    <w:next w:val="TextBody"/>
    <w:qFormat/>
    <w:pPr>
      <w:spacing w:after="181" w:before="181"/>
    </w:pPr>
    <w:rPr>
      <w:sz w:val="10"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0c6f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9D9D9" w:themeFill="background1" w:themeFillShade="d9" w:val="clear"/>
    </w:tc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openstax.org/" TargetMode="External"/>
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LibreOffice/7.0.0.3$MacOSX_X86_64 LibreOffice_project/8061b3e9204bef6b321a21033174034a5e2ea88e</Application>
  <Pages>2</Pages>
  <Words>69</Words>
  <Characters>452</Characters>
  <CharactersWithSpaces>561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2025-01-24T22:28:43Z</dcterms:created>
  <dcterms:modified xsi:type="dcterms:W3CDTF">2025-01-24T22:28:43Z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