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51.so" ContentType="application/octet-stream"/>
  <Override PartName="/word/media/rId71.so" ContentType="application/octet-stream"/>
  <Override PartName="/word/media/rId24.so" ContentType="application/octet-stream"/>
  <Override PartName="/word/media/rId47.so" ContentType="application/octet-stream"/>
  <Override PartName="/word/media/rId39.so" ContentType="application/octet-stream"/>
  <Override PartName="/word/media/rId33.so" ContentType="application/octet-stream"/>
  <Override PartName="/word/media/rId43.so" ContentType="application/octet-stream"/>
  <Override PartName="/word/media/rId75.so" ContentType="application/octet-stream"/>
  <Override PartName="/word/media/rId55.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3" w:name="Xbed16b85c9266c022ca0551138dfb3c55c133ea"/>
    <w:bookmarkStart w:id="82" w:name="Xdabe85c1b9afb56c677535e1afd8b8da3acc5b8"/>
    <w:p>
      <w:pPr>
        <w:pStyle w:val="Heading2"/>
      </w:pPr>
      <w:r>
        <w:t xml:space="preserve">7.5</w:t>
      </w:r>
      <w:r>
        <w:t xml:space="preserve"> </w:t>
      </w:r>
      <w:r>
        <w:t xml:space="preserve"> </w:t>
      </w:r>
      <w:r>
        <w:t xml:space="preserve"> </w:t>
      </w:r>
      <w:r>
        <w:t xml:space="preserve">Strengths of Ionic and Covalent Bonds</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the energetics of covalent and ionic bond formation and breakage</w:t>
      </w:r>
    </w:p>
    <w:p>
      <w:pPr>
        <w:numPr>
          <w:ilvl w:val="0"/>
          <w:numId w:val="1001"/>
        </w:numPr>
        <w:pStyle w:val="Compact"/>
      </w:pPr>
      <w:r>
        <w:t xml:space="preserve">Use the Born-Haber cycle to compute lattice energies for ionic compounds</w:t>
      </w:r>
    </w:p>
    <w:p>
      <w:pPr>
        <w:numPr>
          <w:ilvl w:val="0"/>
          <w:numId w:val="1001"/>
        </w:numPr>
        <w:pStyle w:val="Compact"/>
      </w:pPr>
      <w:r>
        <w:t xml:space="preserve">Use average covalent bond energies to estimate enthalpies of reaction</w:t>
      </w:r>
    </w:p>
    <w:bookmarkEnd w:id="20"/>
    <w:p>
      <w:pPr>
        <w:pStyle w:val="FirstParagraph"/>
      </w:pPr>
      <w:r>
        <w:t xml:space="preserve">A bond’s strength describes how strongly each atom is joined to another atom, and therefore how much energy is required to break the bond between the two atoms. In this section, you will learn about the bond strength of covalent bonds, and then compare that to the strength of ionic bonds, which is related to the lattice energy of a compound.</w:t>
      </w:r>
    </w:p>
    <w:bookmarkStart w:id="62" w:name="fs-idp66065152"/>
    <w:bookmarkStart w:id="61" w:name="bond-strength-covalent-bonds"/>
    <w:p>
      <w:pPr>
        <w:pStyle w:val="Heading3"/>
      </w:pPr>
      <w:r>
        <w:t xml:space="preserve">Bond Strength: Covalent Bonds</w:t>
      </w:r>
    </w:p>
    <w:p>
      <w:pPr>
        <w:pStyle w:val="FirstParagraph"/>
      </w:pPr>
      <w:r>
        <w:t xml:space="preserve">Stable molecules exist because covalent bonds hold the atoms together. We measure the strength of a covalent bond by the energy required to break it, that is, the energy necessary to separate the bonded atoms. Separating any pair of bonded atoms requires energy (see</w:t>
      </w:r>
      <w:r>
        <w:t xml:space="preserve"> </w:t>
      </w:r>
      <w:hyperlink r:id="rId21">
        <w:r>
          <w:rPr>
            <w:rStyle w:val="InternetLink"/>
          </w:rPr>
          <w:t xml:space="preserve">Figure 7.4</w:t>
        </w:r>
      </w:hyperlink>
      <w:r>
        <w:t xml:space="preserve">). The stronger a bond, the greater the energy required to break it.</w:t>
      </w:r>
    </w:p>
    <w:p>
      <w:pPr>
        <w:pStyle w:val="TextBody"/>
      </w:pPr>
      <w:r>
        <w:t xml:space="preserve">The energy required to break a specific covalent bond in one mole of gaseous molecules is called the bond energy or the bond dissociation energy. The bond energy for a diatomic molecule, D</w:t>
      </w:r>
      <w:r>
        <w:rPr>
          <w:vertAlign w:val="subscript"/>
        </w:rPr>
        <w:t xml:space="preserve">X–Y</w:t>
      </w:r>
      <w:r>
        <w:t xml:space="preserve">, is defined as the standard enthalpy change for the endothermic reaction:</w:t>
      </w:r>
    </w:p>
    <w:bookmarkStart w:id="22" w:name="fs-idm36464112"/>
    <w:p>
      <w:pPr>
        <w:pStyle w:val="TextBody"/>
      </w:pPr>
      <m:oMath>
        <m:r>
          <m:rPr>
            <m:nor/>
            <m:sty m:val="p"/>
          </m:rPr>
          <m:t>XY</m:t>
        </m:r>
        <m:d>
          <m:dPr>
            <m:begChr m:val="("/>
            <m:endChr m:val=")"/>
            <m:sepChr m:val=""/>
            <m:grow/>
          </m:dPr>
          <m:e>
            <m:r>
              <m:t>g</m:t>
            </m:r>
          </m:e>
        </m:d>
        <m:r>
          <m:t> </m:t>
        </m:r>
        <m:r>
          <m:rPr>
            <m:sty m:val="p"/>
          </m:rPr>
          <m:t>→</m:t>
        </m:r>
        <m:r>
          <m:t> </m:t>
        </m:r>
        <m:r>
          <m:rPr>
            <m:nor/>
            <m:sty m:val="p"/>
          </m:rPr>
          <m:t>X</m:t>
        </m:r>
        <m:d>
          <m:dPr>
            <m:begChr m:val="("/>
            <m:endChr m:val=")"/>
            <m:sepChr m:val=""/>
            <m:grow/>
          </m:dPr>
          <m:e>
            <m:r>
              <m:t>g</m:t>
            </m:r>
          </m:e>
        </m:d>
        <m:r>
          <m:rPr>
            <m:sty m:val="p"/>
          </m:rPr>
          <m:t>+</m:t>
        </m:r>
        <m:r>
          <m:rPr>
            <m:nor/>
            <m:sty m:val="p"/>
          </m:rPr>
          <m:t>Y</m:t>
        </m:r>
        <m:d>
          <m:dPr>
            <m:begChr m:val="("/>
            <m:endChr m:val=")"/>
            <m:sepChr m:val=""/>
            <m:grow/>
          </m:dPr>
          <m:e>
            <m:r>
              <m:t>g</m:t>
            </m:r>
          </m:e>
        </m:d>
        <m:r>
          <m:t>  </m:t>
        </m:r>
        <m:sSub>
          <m:e>
            <m:r>
              <m:rPr>
                <m:nor/>
                <m:sty m:val="p"/>
              </m:rPr>
              <m:t>D</m:t>
            </m:r>
          </m:e>
          <m:sub>
            <m:r>
              <m:rPr>
                <m:nor/>
                <m:sty m:val="p"/>
              </m:rPr>
              <m:t>X−Y</m:t>
            </m:r>
          </m:sub>
        </m:sSub>
        <m:r>
          <m:rPr>
            <m:sty m:val="p"/>
          </m:rPr>
          <m:t>=</m:t>
        </m:r>
        <m:r>
          <m:rPr>
            <m:nor/>
            <m:sty m:val="p"/>
          </m:rPr>
          <m:t>Δ</m:t>
        </m:r>
        <m:r>
          <m:t>H</m:t>
        </m:r>
        <m:r>
          <m:rPr>
            <m:nor/>
            <m:sty m:val="p"/>
          </m:rPr>
          <m:t>°</m:t>
        </m:r>
      </m:oMath>
    </w:p>
    <w:bookmarkEnd w:id="22"/>
    <w:p>
      <w:pPr>
        <w:pStyle w:val="TextBody"/>
      </w:pPr>
      <w:r>
        <w:t xml:space="preserve">For example, the bond energy of the pure covalent H–H bond, D</w:t>
      </w:r>
      <w:r>
        <w:rPr>
          <w:vertAlign w:val="subscript"/>
        </w:rPr>
        <w:t xml:space="preserve">H–H</w:t>
      </w:r>
      <w:r>
        <w:t xml:space="preserve">, is 436 kJ per mole of H–H bonds broken:</w:t>
      </w:r>
    </w:p>
    <w:bookmarkStart w:id="23" w:name="fs-idp119487888"/>
    <w:p>
      <w:pPr>
        <w:pStyle w:val="TextBody"/>
      </w:pPr>
      <m:oMath>
        <m:sSub>
          <m:e>
            <m:r>
              <m:rPr>
                <m:nor/>
                <m:sty m:val="p"/>
              </m:rPr>
              <m:t>H</m:t>
            </m:r>
          </m:e>
          <m:sub>
            <m:r>
              <m:rPr>
                <m:nor/>
                <m:sty m:val="p"/>
              </m:rPr>
              <m:t>2</m:t>
            </m:r>
          </m:sub>
        </m:sSub>
        <m:d>
          <m:dPr>
            <m:begChr m:val="("/>
            <m:endChr m:val=")"/>
            <m:sepChr m:val=""/>
            <m:grow/>
          </m:dPr>
          <m:e>
            <m:r>
              <m:t>g</m:t>
            </m:r>
          </m:e>
        </m:d>
        <m:r>
          <m:t> </m:t>
        </m:r>
        <m:r>
          <m:rPr>
            <m:sty m:val="p"/>
          </m:rPr>
          <m:t>→</m:t>
        </m:r>
        <m:r>
          <m:t> </m:t>
        </m:r>
        <m:r>
          <m:t>2</m:t>
        </m:r>
        <m:r>
          <m:rPr>
            <m:nor/>
            <m:sty m:val="p"/>
          </m:rPr>
          <m:t>H</m:t>
        </m:r>
        <m:d>
          <m:dPr>
            <m:begChr m:val="("/>
            <m:endChr m:val=")"/>
            <m:sepChr m:val=""/>
            <m:grow/>
          </m:dPr>
          <m:e>
            <m:r>
              <m:t>g</m:t>
            </m:r>
          </m:e>
        </m:d>
        <m:r>
          <m:t>  </m:t>
        </m:r>
        <m:sSub>
          <m:e>
            <m:r>
              <m:rPr>
                <m:nor/>
                <m:sty m:val="p"/>
              </m:rPr>
              <m:t>D</m:t>
            </m:r>
          </m:e>
          <m:sub>
            <m:r>
              <m:rPr>
                <m:nor/>
                <m:sty m:val="p"/>
              </m:rPr>
              <m:t>H−H</m:t>
            </m:r>
          </m:sub>
        </m:sSub>
        <m:r>
          <m:rPr>
            <m:sty m:val="p"/>
          </m:rPr>
          <m:t>=</m:t>
        </m:r>
        <m:r>
          <m:rPr>
            <m:nor/>
            <m:sty m:val="p"/>
          </m:rPr>
          <m:t>Δ</m:t>
        </m:r>
        <m:r>
          <m:t>H</m:t>
        </m:r>
        <m:r>
          <m:rPr>
            <m:nor/>
            <m:sty m:val="p"/>
          </m:rPr>
          <m:t>°</m:t>
        </m:r>
        <m:r>
          <m:rPr>
            <m:sty m:val="p"/>
          </m:rPr>
          <m:t>=</m:t>
        </m:r>
        <m:r>
          <m:t>436</m:t>
        </m:r>
        <m:r>
          <m:t> </m:t>
        </m:r>
        <m:r>
          <m:rPr>
            <m:nor/>
            <m:sty m:val="p"/>
          </m:rPr>
          <m:t>kJ</m:t>
        </m:r>
      </m:oMath>
    </w:p>
    <w:bookmarkEnd w:id="23"/>
    <w:p>
      <w:pPr>
        <w:pStyle w:val="TextBody"/>
      </w:pPr>
      <w:r>
        <w:t xml:space="preserve">Molecules with three or more atoms have two or more bonds. The sum of all bond energies in such a molecule is equal to the standard enthalpy change for the endothermic reaction that breaks all the bonds in the molecule. For example, the sum of the four C–H bond energies in CH</w:t>
      </w:r>
      <w:r>
        <w:rPr>
          <w:vertAlign w:val="subscript"/>
        </w:rPr>
        <w:t xml:space="preserve">4</w:t>
      </w:r>
      <w:r>
        <w:t xml:space="preserve">, 1660 kJ, is equal to the standard enthalpy change of the reaction:</w:t>
      </w:r>
    </w:p>
    <w:p>
      <w:pPr>
        <w:pStyle w:val="TextBody"/>
      </w:pPr>
      <w:bookmarkStart w:id="27" w:name="fs-idp286503296"/>
      <w:r>
        <w:t xml:space="preserve"> </w:t>
      </w:r>
      <w:r>
        <w:drawing>
          <wp:inline>
            <wp:extent cx="4457700" cy="658368"/>
            <wp:effectExtent b="0" l="0" r="0" t="0"/>
            <wp:docPr descr="A reaction is shown with Lewis structures. The first structure shows a carbon atom single bonded to four hydrogen atoms with the symbol, “( g )” written next to it. A right-facing arrow points to the letter “C” and the symbol “( g ),” which is followed by a plus sign. Next is the number 4, the letter “H” and the symbol, “( g ).” To the right of this equation is another equation: capital delta H superscript degree symbol equals 1660 k J." title="" id="25" name="Picture"/>
            <a:graphic>
              <a:graphicData uri="http://schemas.openxmlformats.org/drawingml/2006/picture">
                <pic:pic>
                  <pic:nvPicPr>
                    <pic:cNvPr descr="../resources/14508db702607b0d0aa18c3f0aef76b89d52ae7a" id="26" name="Picture"/>
                    <pic:cNvPicPr>
                      <a:picLocks noChangeArrowheads="1" noChangeAspect="1"/>
                    </pic:cNvPicPr>
                  </pic:nvPicPr>
                  <pic:blipFill>
                    <a:blip r:embed="rId24"/>
                    <a:stretch>
                      <a:fillRect/>
                    </a:stretch>
                  </pic:blipFill>
                  <pic:spPr bwMode="auto">
                    <a:xfrm>
                      <a:off x="0" y="0"/>
                      <a:ext cx="4457700" cy="658368"/>
                    </a:xfrm>
                    <a:prstGeom prst="rect">
                      <a:avLst/>
                    </a:prstGeom>
                    <a:noFill/>
                    <a:ln w="9525">
                      <a:noFill/>
                      <a:headEnd/>
                      <a:tailEnd/>
                    </a:ln>
                  </pic:spPr>
                </pic:pic>
              </a:graphicData>
            </a:graphic>
          </wp:inline>
        </w:drawing>
      </w:r>
      <w:r>
        <w:t xml:space="preserve"> </w:t>
      </w:r>
      <w:bookmarkEnd w:id="27"/>
    </w:p>
    <w:p>
      <w:pPr>
        <w:pStyle w:val="TextBody"/>
      </w:pPr>
      <w:r>
        <w:t xml:space="preserve">The average C–H bond energy, D</w:t>
      </w:r>
      <w:r>
        <w:rPr>
          <w:vertAlign w:val="subscript"/>
        </w:rPr>
        <w:t xml:space="preserve">C–H</w:t>
      </w:r>
      <w:r>
        <w:t xml:space="preserve">, is 1660/4 = 415 kJ/mol because there are four moles of C–H bonds broken per mole of the reaction. Although the four C–H bonds are equivalent in the original molecule, they do not each require the same energy to break; once the first bond is broken (which requires 439 kJ/mol), the remaining bonds are easier to break. The 415 kJ/mol value is the average, not the exact value required to break any one bond.</w:t>
      </w:r>
    </w:p>
    <w:p>
      <w:pPr>
        <w:pStyle w:val="TextBody"/>
      </w:pPr>
      <w:r>
        <w:t xml:space="preserve">The strength of a bond between two atoms increases as the number of electron pairs in the bond increases. Generally, as the bond strength increases, the bond length decreases. Thus, we find that triple bonds are stronger and shorter than double bonds between the same two atoms; likewise, double bonds are stronger and shorter than single bonds between the same two atoms. Average bond energies for some common bonds appear in</w:t>
      </w:r>
      <w:r>
        <w:t xml:space="preserve"> </w:t>
      </w:r>
      <w:hyperlink w:anchor="fs-idp13638832">
        <w:r>
          <w:rPr>
            <w:rStyle w:val="InternetLink"/>
          </w:rPr>
          <w:t xml:space="preserve">Table 7.2</w:t>
        </w:r>
      </w:hyperlink>
      <w:r>
        <w:t xml:space="preserve">, and a comparison of bond lengths and bond strengths for some common bonds appears in</w:t>
      </w:r>
      <w:r>
        <w:t xml:space="preserve"> </w:t>
      </w:r>
      <w:hyperlink w:anchor="fs-idm44464336">
        <w:r>
          <w:rPr>
            <w:rStyle w:val="InternetLink"/>
          </w:rPr>
          <w:t xml:space="preserve">Table 7.3</w:t>
        </w:r>
      </w:hyperlink>
      <w:r>
        <w:t xml:space="preserve">. When one atom bonds to various atoms in a group, the bond strength typically decreases as we move down the group. For example, C–F is 439 kJ/mol, C–Cl is 330 kJ/mol, and C–Br is 275 kJ/mol.</w:t>
      </w:r>
    </w:p>
    <w:bookmarkStart w:id="28" w:name="fs-idp13638832"/>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gridSpan w:val="6"/>
          </w:tcPr>
          <w:p>
            <w:pPr>
              <w:pStyle w:val="Compact"/>
              <w:jc w:val="left"/>
            </w:pPr>
            <w:r>
              <w:t xml:space="preserve">Bond Energies (kJ/mol)</w:t>
            </w:r>
          </w:p>
        </w:tc>
      </w:tr>
      <w:tr>
        <w:trPr>
          <w:tblHeader w:val="true"/>
        </w:trPr>
        <w:tc>
          <w:tcPr/>
          <w:p>
            <w:pPr>
              <w:pStyle w:val="Compact"/>
              <w:jc w:val="left"/>
            </w:pPr>
            <w:r>
              <w:t xml:space="preserve">Bond</w:t>
            </w:r>
          </w:p>
        </w:tc>
        <w:tc>
          <w:tcPr/>
          <w:p>
            <w:pPr>
              <w:pStyle w:val="Compact"/>
              <w:jc w:val="left"/>
            </w:pPr>
            <w:r>
              <w:t xml:space="preserve">Bond Energy</w:t>
            </w:r>
          </w:p>
        </w:tc>
        <w:tc>
          <w:tcPr/>
          <w:p>
            <w:pPr>
              <w:pStyle w:val="Compact"/>
              <w:jc w:val="left"/>
            </w:pPr>
            <w:r>
              <w:t xml:space="preserve">Bond</w:t>
            </w:r>
          </w:p>
        </w:tc>
        <w:tc>
          <w:tcPr/>
          <w:p>
            <w:pPr>
              <w:pStyle w:val="Compact"/>
              <w:jc w:val="left"/>
            </w:pPr>
            <w:r>
              <w:t xml:space="preserve">Bond Energy</w:t>
            </w:r>
          </w:p>
        </w:tc>
        <w:tc>
          <w:tcPr/>
          <w:p>
            <w:pPr>
              <w:pStyle w:val="Compact"/>
              <w:jc w:val="left"/>
            </w:pPr>
            <w:r>
              <w:t xml:space="preserve">Bond</w:t>
            </w:r>
          </w:p>
        </w:tc>
        <w:tc>
          <w:tcPr/>
          <w:p>
            <w:pPr>
              <w:pStyle w:val="Compact"/>
              <w:jc w:val="left"/>
            </w:pPr>
            <w:r>
              <w:t xml:space="preserve">Bond Energy</w:t>
            </w:r>
          </w:p>
        </w:tc>
      </w:tr>
      <w:tr>
        <w:tc>
          <w:tcPr/>
          <w:p>
            <w:pPr>
              <w:pStyle w:val="Compact"/>
              <w:jc w:val="left"/>
            </w:pPr>
            <w:r>
              <w:t xml:space="preserve">H–H</w:t>
            </w:r>
          </w:p>
        </w:tc>
        <w:tc>
          <w:tcPr/>
          <w:p>
            <w:pPr>
              <w:pStyle w:val="Compact"/>
              <w:jc w:val="left"/>
            </w:pPr>
            <w:r>
              <w:t xml:space="preserve">436</w:t>
            </w:r>
          </w:p>
        </w:tc>
        <w:tc>
          <w:tcPr/>
          <w:p>
            <w:pPr>
              <w:pStyle w:val="Compact"/>
              <w:jc w:val="left"/>
            </w:pPr>
            <w:r>
              <w:t xml:space="preserve">C–S</w:t>
            </w:r>
          </w:p>
        </w:tc>
        <w:tc>
          <w:tcPr/>
          <w:p>
            <w:pPr>
              <w:pStyle w:val="Compact"/>
              <w:jc w:val="left"/>
            </w:pPr>
            <w:r>
              <w:t xml:space="preserve">260</w:t>
            </w:r>
          </w:p>
        </w:tc>
        <w:tc>
          <w:tcPr/>
          <w:p>
            <w:pPr>
              <w:pStyle w:val="Compact"/>
              <w:jc w:val="left"/>
            </w:pPr>
            <w:r>
              <w:t xml:space="preserve">F–Cl</w:t>
            </w:r>
          </w:p>
        </w:tc>
        <w:tc>
          <w:tcPr/>
          <w:p>
            <w:pPr>
              <w:pStyle w:val="Compact"/>
              <w:jc w:val="left"/>
            </w:pPr>
            <w:r>
              <w:t xml:space="preserve">255</w:t>
            </w:r>
          </w:p>
        </w:tc>
      </w:tr>
      <w:tr>
        <w:tc>
          <w:tcPr/>
          <w:p>
            <w:pPr>
              <w:pStyle w:val="Compact"/>
              <w:jc w:val="left"/>
            </w:pPr>
            <w:r>
              <w:t xml:space="preserve">H–C</w:t>
            </w:r>
          </w:p>
        </w:tc>
        <w:tc>
          <w:tcPr/>
          <w:p>
            <w:pPr>
              <w:pStyle w:val="Compact"/>
              <w:jc w:val="left"/>
            </w:pPr>
            <w:r>
              <w:t xml:space="preserve">415</w:t>
            </w:r>
          </w:p>
        </w:tc>
        <w:tc>
          <w:tcPr/>
          <w:p>
            <w:pPr>
              <w:pStyle w:val="Compact"/>
              <w:jc w:val="left"/>
            </w:pPr>
            <w:r>
              <w:t xml:space="preserve">C–Cl</w:t>
            </w:r>
          </w:p>
        </w:tc>
        <w:tc>
          <w:tcPr/>
          <w:p>
            <w:pPr>
              <w:pStyle w:val="Compact"/>
              <w:jc w:val="left"/>
            </w:pPr>
            <w:r>
              <w:t xml:space="preserve">330</w:t>
            </w:r>
          </w:p>
        </w:tc>
        <w:tc>
          <w:tcPr/>
          <w:p>
            <w:pPr>
              <w:pStyle w:val="Compact"/>
              <w:jc w:val="left"/>
            </w:pPr>
            <w:r>
              <w:t xml:space="preserve">F–Br</w:t>
            </w:r>
          </w:p>
        </w:tc>
        <w:tc>
          <w:tcPr/>
          <w:p>
            <w:pPr>
              <w:pStyle w:val="Compact"/>
              <w:jc w:val="left"/>
            </w:pPr>
            <w:r>
              <w:t xml:space="preserve">235</w:t>
            </w:r>
          </w:p>
        </w:tc>
      </w:tr>
      <w:tr>
        <w:tc>
          <w:tcPr/>
          <w:p>
            <w:pPr>
              <w:pStyle w:val="Compact"/>
              <w:jc w:val="left"/>
            </w:pPr>
            <w:r>
              <w:t xml:space="preserve">H–N</w:t>
            </w:r>
          </w:p>
        </w:tc>
        <w:tc>
          <w:tcPr/>
          <w:p>
            <w:pPr>
              <w:pStyle w:val="Compact"/>
              <w:jc w:val="left"/>
            </w:pPr>
            <w:r>
              <w:t xml:space="preserve">390</w:t>
            </w:r>
          </w:p>
        </w:tc>
        <w:tc>
          <w:tcPr/>
          <w:p>
            <w:pPr>
              <w:pStyle w:val="Compact"/>
              <w:jc w:val="left"/>
            </w:pPr>
            <w:r>
              <w:t xml:space="preserve">C–Br</w:t>
            </w:r>
          </w:p>
        </w:tc>
        <w:tc>
          <w:tcPr/>
          <w:p>
            <w:pPr>
              <w:pStyle w:val="Compact"/>
              <w:jc w:val="left"/>
            </w:pPr>
            <w:r>
              <w:t xml:space="preserve">275</w:t>
            </w:r>
          </w:p>
        </w:tc>
        <w:tc>
          <w:tcPr/>
          <w:p>
            <w:pPr>
              <w:pStyle w:val="Compact"/>
              <w:jc w:val="left"/>
            </w:pPr>
            <w:r>
              <w:t xml:space="preserve">Si–Si</w:t>
            </w:r>
          </w:p>
        </w:tc>
        <w:tc>
          <w:tcPr/>
          <w:p>
            <w:pPr>
              <w:pStyle w:val="Compact"/>
              <w:jc w:val="left"/>
            </w:pPr>
            <w:r>
              <w:t xml:space="preserve">230</w:t>
            </w:r>
          </w:p>
        </w:tc>
      </w:tr>
      <w:tr>
        <w:tc>
          <w:tcPr/>
          <w:p>
            <w:pPr>
              <w:pStyle w:val="Compact"/>
              <w:jc w:val="left"/>
            </w:pPr>
            <w:r>
              <w:t xml:space="preserve">H–O</w:t>
            </w:r>
          </w:p>
        </w:tc>
        <w:tc>
          <w:tcPr/>
          <w:p>
            <w:pPr>
              <w:pStyle w:val="Compact"/>
              <w:jc w:val="left"/>
            </w:pPr>
            <w:r>
              <w:t xml:space="preserve">464</w:t>
            </w:r>
          </w:p>
        </w:tc>
        <w:tc>
          <w:tcPr/>
          <w:p>
            <w:pPr>
              <w:pStyle w:val="Compact"/>
              <w:jc w:val="left"/>
            </w:pPr>
            <w:r>
              <w:t xml:space="preserve">C–I</w:t>
            </w:r>
          </w:p>
        </w:tc>
        <w:tc>
          <w:tcPr/>
          <w:p>
            <w:pPr>
              <w:pStyle w:val="Compact"/>
              <w:jc w:val="left"/>
            </w:pPr>
            <w:r>
              <w:t xml:space="preserve">240</w:t>
            </w:r>
          </w:p>
        </w:tc>
        <w:tc>
          <w:tcPr/>
          <w:p>
            <w:pPr>
              <w:pStyle w:val="Compact"/>
              <w:jc w:val="left"/>
            </w:pPr>
            <w:r>
              <w:t xml:space="preserve">Si–P</w:t>
            </w:r>
          </w:p>
        </w:tc>
        <w:tc>
          <w:tcPr/>
          <w:p>
            <w:pPr>
              <w:pStyle w:val="Compact"/>
              <w:jc w:val="left"/>
            </w:pPr>
            <w:r>
              <w:t xml:space="preserve">215</w:t>
            </w:r>
          </w:p>
        </w:tc>
      </w:tr>
      <w:tr>
        <w:tc>
          <w:tcPr/>
          <w:p>
            <w:pPr>
              <w:pStyle w:val="Compact"/>
              <w:jc w:val="left"/>
            </w:pPr>
            <w:r>
              <w:t xml:space="preserve">H–F</w:t>
            </w:r>
          </w:p>
        </w:tc>
        <w:tc>
          <w:tcPr/>
          <w:p>
            <w:pPr>
              <w:pStyle w:val="Compact"/>
              <w:jc w:val="left"/>
            </w:pPr>
            <w:r>
              <w:t xml:space="preserve">569</w:t>
            </w:r>
          </w:p>
        </w:tc>
        <w:tc>
          <w:tcPr/>
          <w:p>
            <w:pPr>
              <w:pStyle w:val="Compact"/>
              <w:jc w:val="left"/>
            </w:pPr>
            <w:r>
              <w:t xml:space="preserve">N–N</w:t>
            </w:r>
          </w:p>
        </w:tc>
        <w:tc>
          <w:tcPr/>
          <w:p>
            <w:pPr>
              <w:pStyle w:val="Compact"/>
              <w:jc w:val="left"/>
            </w:pPr>
            <w:r>
              <w:t xml:space="preserve">160</w:t>
            </w:r>
          </w:p>
        </w:tc>
        <w:tc>
          <w:tcPr/>
          <w:p>
            <w:pPr>
              <w:pStyle w:val="Compact"/>
              <w:jc w:val="left"/>
            </w:pPr>
            <w:r>
              <w:t xml:space="preserve">Si–S</w:t>
            </w:r>
          </w:p>
        </w:tc>
        <w:tc>
          <w:tcPr/>
          <w:p>
            <w:pPr>
              <w:pStyle w:val="Compact"/>
              <w:jc w:val="left"/>
            </w:pPr>
            <w:r>
              <w:t xml:space="preserve">225</w:t>
            </w:r>
          </w:p>
        </w:tc>
      </w:tr>
      <w:tr>
        <w:tc>
          <w:tcPr/>
          <w:p>
            <w:pPr>
              <w:pStyle w:val="Compact"/>
              <w:jc w:val="left"/>
            </w:pPr>
            <w:r>
              <w:t xml:space="preserve">H–Si</w:t>
            </w:r>
          </w:p>
        </w:tc>
        <w:tc>
          <w:tcPr/>
          <w:p>
            <w:pPr>
              <w:pStyle w:val="Compact"/>
              <w:jc w:val="left"/>
            </w:pPr>
            <w:r>
              <w:t xml:space="preserve">395</w:t>
            </w:r>
          </w:p>
        </w:tc>
        <w:tc>
          <w:tcPr/>
          <w:p>
            <w:pPr>
              <w:pStyle w:val="Compact"/>
              <w:jc w:val="left"/>
            </w:pPr>
            <m:oMath>
              <m:r>
                <m:rPr>
                  <m:nor/>
                  <m:sty m:val="p"/>
                </m:rPr>
                <m:t>N</m:t>
              </m:r>
              <m:r>
                <m:rPr>
                  <m:sty m:val="p"/>
                </m:rPr>
                <m:t>=</m:t>
              </m:r>
              <m:r>
                <m:rPr>
                  <m:nor/>
                  <m:sty m:val="p"/>
                </m:rPr>
                <m:t>N</m:t>
              </m:r>
            </m:oMath>
          </w:p>
        </w:tc>
        <w:tc>
          <w:tcPr/>
          <w:p>
            <w:pPr>
              <w:pStyle w:val="Compact"/>
              <w:jc w:val="left"/>
            </w:pPr>
            <w:r>
              <w:t xml:space="preserve">418</w:t>
            </w:r>
          </w:p>
        </w:tc>
        <w:tc>
          <w:tcPr/>
          <w:p>
            <w:pPr>
              <w:pStyle w:val="Compact"/>
              <w:jc w:val="left"/>
            </w:pPr>
            <w:r>
              <w:t xml:space="preserve">Si–Cl</w:t>
            </w:r>
          </w:p>
        </w:tc>
        <w:tc>
          <w:tcPr/>
          <w:p>
            <w:pPr>
              <w:pStyle w:val="Compact"/>
              <w:jc w:val="left"/>
            </w:pPr>
            <w:r>
              <w:t xml:space="preserve">359</w:t>
            </w:r>
          </w:p>
        </w:tc>
      </w:tr>
      <w:tr>
        <w:tc>
          <w:tcPr/>
          <w:p>
            <w:pPr>
              <w:pStyle w:val="Compact"/>
              <w:jc w:val="left"/>
            </w:pPr>
            <w:r>
              <w:t xml:space="preserve">H–P</w:t>
            </w:r>
          </w:p>
        </w:tc>
        <w:tc>
          <w:tcPr/>
          <w:p>
            <w:pPr>
              <w:pStyle w:val="Compact"/>
              <w:jc w:val="left"/>
            </w:pPr>
            <w:r>
              <w:t xml:space="preserve">320</w:t>
            </w:r>
          </w:p>
        </w:tc>
        <w:tc>
          <w:tcPr/>
          <w:p>
            <w:pPr>
              <w:pStyle w:val="Compact"/>
              <w:jc w:val="left"/>
            </w:pPr>
            <m:oMath>
              <m:r>
                <m:rPr>
                  <m:nor/>
                  <m:sty m:val="p"/>
                </m:rPr>
                <m:t>N</m:t>
              </m:r>
              <m:r>
                <m:rPr>
                  <m:sty m:val="p"/>
                </m:rPr>
                <m:t>≡</m:t>
              </m:r>
              <m:r>
                <m:rPr>
                  <m:nor/>
                  <m:sty m:val="p"/>
                </m:rPr>
                <m:t>N</m:t>
              </m:r>
            </m:oMath>
          </w:p>
        </w:tc>
        <w:tc>
          <w:tcPr/>
          <w:p>
            <w:pPr>
              <w:pStyle w:val="Compact"/>
              <w:jc w:val="left"/>
            </w:pPr>
            <w:r>
              <w:t xml:space="preserve">946</w:t>
            </w:r>
          </w:p>
        </w:tc>
        <w:tc>
          <w:tcPr/>
          <w:p>
            <w:pPr>
              <w:pStyle w:val="Compact"/>
              <w:jc w:val="left"/>
            </w:pPr>
            <w:r>
              <w:t xml:space="preserve">Si–Br</w:t>
            </w:r>
          </w:p>
        </w:tc>
        <w:tc>
          <w:tcPr/>
          <w:p>
            <w:pPr>
              <w:pStyle w:val="Compact"/>
              <w:jc w:val="left"/>
            </w:pPr>
            <w:r>
              <w:t xml:space="preserve">290</w:t>
            </w:r>
          </w:p>
        </w:tc>
      </w:tr>
      <w:tr>
        <w:tc>
          <w:tcPr/>
          <w:p>
            <w:pPr>
              <w:pStyle w:val="Compact"/>
              <w:jc w:val="left"/>
            </w:pPr>
            <w:r>
              <w:t xml:space="preserve">H–S</w:t>
            </w:r>
          </w:p>
        </w:tc>
        <w:tc>
          <w:tcPr/>
          <w:p>
            <w:pPr>
              <w:pStyle w:val="Compact"/>
              <w:jc w:val="left"/>
            </w:pPr>
            <w:r>
              <w:t xml:space="preserve">340</w:t>
            </w:r>
          </w:p>
        </w:tc>
        <w:tc>
          <w:tcPr/>
          <w:p>
            <w:pPr>
              <w:pStyle w:val="Compact"/>
              <w:jc w:val="left"/>
            </w:pPr>
            <w:r>
              <w:t xml:space="preserve">N–O</w:t>
            </w:r>
          </w:p>
        </w:tc>
        <w:tc>
          <w:tcPr/>
          <w:p>
            <w:pPr>
              <w:pStyle w:val="Compact"/>
              <w:jc w:val="left"/>
            </w:pPr>
            <w:r>
              <w:t xml:space="preserve">200</w:t>
            </w:r>
          </w:p>
        </w:tc>
        <w:tc>
          <w:tcPr/>
          <w:p>
            <w:pPr>
              <w:pStyle w:val="Compact"/>
              <w:jc w:val="left"/>
            </w:pPr>
            <w:r>
              <w:t xml:space="preserve">Si–I</w:t>
            </w:r>
          </w:p>
        </w:tc>
        <w:tc>
          <w:tcPr/>
          <w:p>
            <w:pPr>
              <w:pStyle w:val="Compact"/>
              <w:jc w:val="left"/>
            </w:pPr>
            <w:r>
              <w:t xml:space="preserve">215</w:t>
            </w:r>
          </w:p>
        </w:tc>
      </w:tr>
      <w:tr>
        <w:tc>
          <w:tcPr/>
          <w:p>
            <w:pPr>
              <w:pStyle w:val="Compact"/>
              <w:jc w:val="left"/>
            </w:pPr>
            <w:r>
              <w:t xml:space="preserve">H–Cl</w:t>
            </w:r>
          </w:p>
        </w:tc>
        <w:tc>
          <w:tcPr/>
          <w:p>
            <w:pPr>
              <w:pStyle w:val="Compact"/>
              <w:jc w:val="left"/>
            </w:pPr>
            <w:r>
              <w:t xml:space="preserve">432</w:t>
            </w:r>
          </w:p>
        </w:tc>
        <w:tc>
          <w:tcPr/>
          <w:p>
            <w:pPr>
              <w:pStyle w:val="Compact"/>
              <w:jc w:val="left"/>
            </w:pPr>
            <w:r>
              <w:t xml:space="preserve">N–F</w:t>
            </w:r>
          </w:p>
        </w:tc>
        <w:tc>
          <w:tcPr/>
          <w:p>
            <w:pPr>
              <w:pStyle w:val="Compact"/>
              <w:jc w:val="left"/>
            </w:pPr>
            <w:r>
              <w:t xml:space="preserve">270</w:t>
            </w:r>
          </w:p>
        </w:tc>
        <w:tc>
          <w:tcPr/>
          <w:p>
            <w:pPr>
              <w:pStyle w:val="Compact"/>
              <w:jc w:val="left"/>
            </w:pPr>
            <w:r>
              <w:t xml:space="preserve">P–P</w:t>
            </w:r>
          </w:p>
        </w:tc>
        <w:tc>
          <w:tcPr/>
          <w:p>
            <w:pPr>
              <w:pStyle w:val="Compact"/>
              <w:jc w:val="left"/>
            </w:pPr>
            <w:r>
              <w:t xml:space="preserve">215</w:t>
            </w:r>
          </w:p>
        </w:tc>
      </w:tr>
      <w:tr>
        <w:tc>
          <w:tcPr/>
          <w:p>
            <w:pPr>
              <w:pStyle w:val="Compact"/>
              <w:jc w:val="left"/>
            </w:pPr>
            <w:r>
              <w:t xml:space="preserve">H–Br</w:t>
            </w:r>
          </w:p>
        </w:tc>
        <w:tc>
          <w:tcPr/>
          <w:p>
            <w:pPr>
              <w:pStyle w:val="Compact"/>
              <w:jc w:val="left"/>
            </w:pPr>
            <w:r>
              <w:t xml:space="preserve">370</w:t>
            </w:r>
          </w:p>
        </w:tc>
        <w:tc>
          <w:tcPr/>
          <w:p>
            <w:pPr>
              <w:pStyle w:val="Compact"/>
              <w:jc w:val="left"/>
            </w:pPr>
            <w:r>
              <w:t xml:space="preserve">N–P</w:t>
            </w:r>
          </w:p>
        </w:tc>
        <w:tc>
          <w:tcPr/>
          <w:p>
            <w:pPr>
              <w:pStyle w:val="Compact"/>
              <w:jc w:val="left"/>
            </w:pPr>
            <w:r>
              <w:t xml:space="preserve">210</w:t>
            </w:r>
          </w:p>
        </w:tc>
        <w:tc>
          <w:tcPr/>
          <w:p>
            <w:pPr>
              <w:pStyle w:val="Compact"/>
              <w:jc w:val="left"/>
            </w:pPr>
            <w:r>
              <w:t xml:space="preserve">P–S</w:t>
            </w:r>
          </w:p>
        </w:tc>
        <w:tc>
          <w:tcPr/>
          <w:p>
            <w:pPr>
              <w:pStyle w:val="Compact"/>
              <w:jc w:val="left"/>
            </w:pPr>
            <w:r>
              <w:t xml:space="preserve">230</w:t>
            </w:r>
          </w:p>
        </w:tc>
      </w:tr>
      <w:tr>
        <w:tc>
          <w:tcPr/>
          <w:p>
            <w:pPr>
              <w:pStyle w:val="Compact"/>
              <w:jc w:val="left"/>
            </w:pPr>
            <w:r>
              <w:t xml:space="preserve">H–I</w:t>
            </w:r>
          </w:p>
        </w:tc>
        <w:tc>
          <w:tcPr/>
          <w:p>
            <w:pPr>
              <w:pStyle w:val="Compact"/>
              <w:jc w:val="left"/>
            </w:pPr>
            <w:r>
              <w:t xml:space="preserve">295</w:t>
            </w:r>
          </w:p>
        </w:tc>
        <w:tc>
          <w:tcPr/>
          <w:p>
            <w:pPr>
              <w:pStyle w:val="Compact"/>
              <w:jc w:val="left"/>
            </w:pPr>
            <w:r>
              <w:t xml:space="preserve">N–Cl</w:t>
            </w:r>
          </w:p>
        </w:tc>
        <w:tc>
          <w:tcPr/>
          <w:p>
            <w:pPr>
              <w:pStyle w:val="Compact"/>
              <w:jc w:val="left"/>
            </w:pPr>
            <w:r>
              <w:t xml:space="preserve">200</w:t>
            </w:r>
          </w:p>
        </w:tc>
        <w:tc>
          <w:tcPr/>
          <w:p>
            <w:pPr>
              <w:pStyle w:val="Compact"/>
              <w:jc w:val="left"/>
            </w:pPr>
            <w:r>
              <w:t xml:space="preserve">P–Cl</w:t>
            </w:r>
          </w:p>
        </w:tc>
        <w:tc>
          <w:tcPr/>
          <w:p>
            <w:pPr>
              <w:pStyle w:val="Compact"/>
              <w:jc w:val="left"/>
            </w:pPr>
            <w:r>
              <w:t xml:space="preserve">330</w:t>
            </w:r>
          </w:p>
        </w:tc>
      </w:tr>
      <w:tr>
        <w:tc>
          <w:tcPr/>
          <w:p>
            <w:pPr>
              <w:pStyle w:val="Compact"/>
              <w:jc w:val="left"/>
            </w:pPr>
            <w:r>
              <w:t xml:space="preserve">C–C</w:t>
            </w:r>
          </w:p>
        </w:tc>
        <w:tc>
          <w:tcPr/>
          <w:p>
            <w:pPr>
              <w:pStyle w:val="Compact"/>
              <w:jc w:val="left"/>
            </w:pPr>
            <w:r>
              <w:t xml:space="preserve">345</w:t>
            </w:r>
          </w:p>
        </w:tc>
        <w:tc>
          <w:tcPr/>
          <w:p>
            <w:pPr>
              <w:pStyle w:val="Compact"/>
              <w:jc w:val="left"/>
            </w:pPr>
            <w:r>
              <w:t xml:space="preserve">N–Br</w:t>
            </w:r>
          </w:p>
        </w:tc>
        <w:tc>
          <w:tcPr/>
          <w:p>
            <w:pPr>
              <w:pStyle w:val="Compact"/>
              <w:jc w:val="left"/>
            </w:pPr>
            <w:r>
              <w:t xml:space="preserve">245</w:t>
            </w:r>
          </w:p>
        </w:tc>
        <w:tc>
          <w:tcPr/>
          <w:p>
            <w:pPr>
              <w:pStyle w:val="Compact"/>
              <w:jc w:val="left"/>
            </w:pPr>
            <w:r>
              <w:t xml:space="preserve">P–Br</w:t>
            </w:r>
          </w:p>
        </w:tc>
        <w:tc>
          <w:tcPr/>
          <w:p>
            <w:pPr>
              <w:pStyle w:val="Compact"/>
              <w:jc w:val="left"/>
            </w:pPr>
            <w:r>
              <w:t xml:space="preserve">270</w:t>
            </w:r>
          </w:p>
        </w:tc>
      </w:tr>
      <w:tr>
        <w:tc>
          <w:tcPr/>
          <w:p>
            <w:pPr>
              <w:pStyle w:val="Compact"/>
              <w:jc w:val="left"/>
            </w:pPr>
            <m:oMath>
              <m:r>
                <m:rPr>
                  <m:nor/>
                  <m:sty m:val="p"/>
                </m:rPr>
                <m:t>C</m:t>
              </m:r>
              <m:r>
                <m:rPr>
                  <m:sty m:val="p"/>
                </m:rPr>
                <m:t>=</m:t>
              </m:r>
              <m:r>
                <m:rPr>
                  <m:nor/>
                  <m:sty m:val="p"/>
                </m:rPr>
                <m:t>C</m:t>
              </m:r>
            </m:oMath>
          </w:p>
        </w:tc>
        <w:tc>
          <w:tcPr/>
          <w:p>
            <w:pPr>
              <w:pStyle w:val="Compact"/>
              <w:jc w:val="left"/>
            </w:pPr>
            <w:r>
              <w:t xml:space="preserve">611</w:t>
            </w:r>
          </w:p>
        </w:tc>
        <w:tc>
          <w:tcPr/>
          <w:p>
            <w:pPr>
              <w:pStyle w:val="Compact"/>
              <w:jc w:val="left"/>
            </w:pPr>
            <w:r>
              <w:t xml:space="preserve">O–O</w:t>
            </w:r>
          </w:p>
        </w:tc>
        <w:tc>
          <w:tcPr/>
          <w:p>
            <w:pPr>
              <w:pStyle w:val="Compact"/>
              <w:jc w:val="left"/>
            </w:pPr>
            <w:r>
              <w:t xml:space="preserve">140</w:t>
            </w:r>
          </w:p>
        </w:tc>
        <w:tc>
          <w:tcPr/>
          <w:p>
            <w:pPr>
              <w:pStyle w:val="Compact"/>
              <w:jc w:val="left"/>
            </w:pPr>
            <w:r>
              <w:t xml:space="preserve">P–I</w:t>
            </w:r>
          </w:p>
        </w:tc>
        <w:tc>
          <w:tcPr/>
          <w:p>
            <w:pPr>
              <w:pStyle w:val="Compact"/>
              <w:jc w:val="left"/>
            </w:pPr>
            <w:r>
              <w:t xml:space="preserve">215</w:t>
            </w:r>
          </w:p>
        </w:tc>
      </w:tr>
      <w:tr>
        <w:tc>
          <w:tcPr/>
          <w:p>
            <w:pPr>
              <w:pStyle w:val="Compact"/>
              <w:jc w:val="left"/>
            </w:pPr>
            <m:oMath>
              <m:r>
                <m:rPr>
                  <m:nor/>
                  <m:sty m:val="p"/>
                </m:rPr>
                <m:t>C</m:t>
              </m:r>
              <m:r>
                <m:rPr>
                  <m:sty m:val="p"/>
                </m:rPr>
                <m:t>≡</m:t>
              </m:r>
              <m:r>
                <m:rPr>
                  <m:nor/>
                  <m:sty m:val="p"/>
                </m:rPr>
                <m:t>C</m:t>
              </m:r>
            </m:oMath>
          </w:p>
        </w:tc>
        <w:tc>
          <w:tcPr/>
          <w:p>
            <w:pPr>
              <w:pStyle w:val="Compact"/>
              <w:jc w:val="left"/>
            </w:pPr>
            <w:r>
              <w:t xml:space="preserve">837</w:t>
            </w:r>
          </w:p>
        </w:tc>
        <w:tc>
          <w:tcPr/>
          <w:p>
            <w:pPr>
              <w:pStyle w:val="Compact"/>
              <w:jc w:val="left"/>
            </w:pPr>
            <m:oMath>
              <m:r>
                <m:rPr>
                  <m:nor/>
                  <m:sty m:val="p"/>
                </m:rPr>
                <m:t>O</m:t>
              </m:r>
              <m:r>
                <m:rPr>
                  <m:sty m:val="p"/>
                </m:rPr>
                <m:t>=</m:t>
              </m:r>
              <m:r>
                <m:rPr>
                  <m:nor/>
                  <m:sty m:val="p"/>
                </m:rPr>
                <m:t>O</m:t>
              </m:r>
            </m:oMath>
          </w:p>
        </w:tc>
        <w:tc>
          <w:tcPr/>
          <w:p>
            <w:pPr>
              <w:pStyle w:val="Compact"/>
              <w:jc w:val="left"/>
            </w:pPr>
            <w:r>
              <w:t xml:space="preserve">498</w:t>
            </w:r>
          </w:p>
        </w:tc>
        <w:tc>
          <w:tcPr/>
          <w:p>
            <w:pPr>
              <w:pStyle w:val="Compact"/>
              <w:jc w:val="left"/>
            </w:pPr>
            <w:r>
              <w:t xml:space="preserve">S–S</w:t>
            </w:r>
          </w:p>
        </w:tc>
        <w:tc>
          <w:tcPr/>
          <w:p>
            <w:pPr>
              <w:pStyle w:val="Compact"/>
              <w:jc w:val="left"/>
            </w:pPr>
            <w:r>
              <w:t xml:space="preserve">215</w:t>
            </w:r>
          </w:p>
        </w:tc>
      </w:tr>
      <w:tr>
        <w:tc>
          <w:tcPr/>
          <w:p>
            <w:pPr>
              <w:pStyle w:val="Compact"/>
              <w:jc w:val="left"/>
            </w:pPr>
            <w:r>
              <w:t xml:space="preserve">C–N</w:t>
            </w:r>
          </w:p>
        </w:tc>
        <w:tc>
          <w:tcPr/>
          <w:p>
            <w:pPr>
              <w:pStyle w:val="Compact"/>
              <w:jc w:val="left"/>
            </w:pPr>
            <w:r>
              <w:t xml:space="preserve">290</w:t>
            </w:r>
          </w:p>
        </w:tc>
        <w:tc>
          <w:tcPr/>
          <w:p>
            <w:pPr>
              <w:pStyle w:val="Compact"/>
              <w:jc w:val="left"/>
            </w:pPr>
            <w:r>
              <w:t xml:space="preserve">O–F</w:t>
            </w:r>
          </w:p>
        </w:tc>
        <w:tc>
          <w:tcPr/>
          <w:p>
            <w:pPr>
              <w:pStyle w:val="Compact"/>
              <w:jc w:val="left"/>
            </w:pPr>
            <w:r>
              <w:t xml:space="preserve">160</w:t>
            </w:r>
          </w:p>
        </w:tc>
        <w:tc>
          <w:tcPr/>
          <w:p>
            <w:pPr>
              <w:pStyle w:val="Compact"/>
              <w:jc w:val="left"/>
            </w:pPr>
            <w:r>
              <w:t xml:space="preserve">S–Cl</w:t>
            </w:r>
          </w:p>
        </w:tc>
        <w:tc>
          <w:tcPr/>
          <w:p>
            <w:pPr>
              <w:pStyle w:val="Compact"/>
              <w:jc w:val="left"/>
            </w:pPr>
            <w:r>
              <w:t xml:space="preserve">250</w:t>
            </w:r>
          </w:p>
        </w:tc>
      </w:tr>
      <w:tr>
        <w:tc>
          <w:tcPr/>
          <w:p>
            <w:pPr>
              <w:pStyle w:val="Compact"/>
              <w:jc w:val="left"/>
            </w:pPr>
            <m:oMath>
              <m:r>
                <m:rPr>
                  <m:nor/>
                  <m:sty m:val="p"/>
                </m:rPr>
                <m:t>C</m:t>
              </m:r>
              <m:r>
                <m:rPr>
                  <m:sty m:val="p"/>
                </m:rPr>
                <m:t>=</m:t>
              </m:r>
              <m:r>
                <m:rPr>
                  <m:nor/>
                  <m:sty m:val="p"/>
                </m:rPr>
                <m:t>N</m:t>
              </m:r>
            </m:oMath>
          </w:p>
        </w:tc>
        <w:tc>
          <w:tcPr/>
          <w:p>
            <w:pPr>
              <w:pStyle w:val="Compact"/>
              <w:jc w:val="left"/>
            </w:pPr>
            <w:r>
              <w:t xml:space="preserve">615</w:t>
            </w:r>
          </w:p>
        </w:tc>
        <w:tc>
          <w:tcPr/>
          <w:p>
            <w:pPr>
              <w:pStyle w:val="Compact"/>
              <w:jc w:val="left"/>
            </w:pPr>
            <w:r>
              <w:t xml:space="preserve">O–Si</w:t>
            </w:r>
          </w:p>
        </w:tc>
        <w:tc>
          <w:tcPr/>
          <w:p>
            <w:pPr>
              <w:pStyle w:val="Compact"/>
              <w:jc w:val="left"/>
            </w:pPr>
            <w:r>
              <w:t xml:space="preserve">370</w:t>
            </w:r>
          </w:p>
        </w:tc>
        <w:tc>
          <w:tcPr/>
          <w:p>
            <w:pPr>
              <w:pStyle w:val="Compact"/>
              <w:jc w:val="left"/>
            </w:pPr>
            <w:r>
              <w:t xml:space="preserve">S–Br</w:t>
            </w:r>
          </w:p>
        </w:tc>
        <w:tc>
          <w:tcPr/>
          <w:p>
            <w:pPr>
              <w:pStyle w:val="Compact"/>
              <w:jc w:val="left"/>
            </w:pPr>
            <w:r>
              <w:t xml:space="preserve">215</w:t>
            </w:r>
          </w:p>
        </w:tc>
      </w:tr>
      <w:tr>
        <w:tc>
          <w:tcPr/>
          <w:p>
            <w:pPr>
              <w:pStyle w:val="Compact"/>
              <w:jc w:val="left"/>
            </w:pPr>
            <m:oMath>
              <m:r>
                <m:rPr>
                  <m:nor/>
                  <m:sty m:val="p"/>
                </m:rPr>
                <m:t>C</m:t>
              </m:r>
              <m:r>
                <m:rPr>
                  <m:sty m:val="p"/>
                </m:rPr>
                <m:t>≡</m:t>
              </m:r>
              <m:r>
                <m:rPr>
                  <m:nor/>
                  <m:sty m:val="p"/>
                </m:rPr>
                <m:t>N</m:t>
              </m:r>
            </m:oMath>
          </w:p>
        </w:tc>
        <w:tc>
          <w:tcPr/>
          <w:p>
            <w:pPr>
              <w:pStyle w:val="Compact"/>
              <w:jc w:val="left"/>
            </w:pPr>
            <w:r>
              <w:t xml:space="preserve">891</w:t>
            </w:r>
          </w:p>
        </w:tc>
        <w:tc>
          <w:tcPr/>
          <w:p>
            <w:pPr>
              <w:pStyle w:val="Compact"/>
              <w:jc w:val="left"/>
            </w:pPr>
            <w:r>
              <w:t xml:space="preserve">O–P</w:t>
            </w:r>
          </w:p>
        </w:tc>
        <w:tc>
          <w:tcPr/>
          <w:p>
            <w:pPr>
              <w:pStyle w:val="Compact"/>
              <w:jc w:val="left"/>
            </w:pPr>
            <w:r>
              <w:t xml:space="preserve">350</w:t>
            </w:r>
          </w:p>
        </w:tc>
        <w:tc>
          <w:tcPr/>
          <w:p>
            <w:pPr>
              <w:pStyle w:val="Compact"/>
              <w:jc w:val="left"/>
            </w:pPr>
            <w:r>
              <w:t xml:space="preserve">Cl–Cl</w:t>
            </w:r>
          </w:p>
        </w:tc>
        <w:tc>
          <w:tcPr/>
          <w:p>
            <w:pPr>
              <w:pStyle w:val="Compact"/>
              <w:jc w:val="left"/>
            </w:pPr>
            <w:r>
              <w:t xml:space="preserve">243</w:t>
            </w:r>
          </w:p>
        </w:tc>
      </w:tr>
      <w:tr>
        <w:tc>
          <w:tcPr/>
          <w:p>
            <w:pPr>
              <w:pStyle w:val="Compact"/>
              <w:jc w:val="left"/>
            </w:pPr>
            <w:r>
              <w:t xml:space="preserve">C–O</w:t>
            </w:r>
          </w:p>
        </w:tc>
        <w:tc>
          <w:tcPr/>
          <w:p>
            <w:pPr>
              <w:pStyle w:val="Compact"/>
              <w:jc w:val="left"/>
            </w:pPr>
            <w:r>
              <w:t xml:space="preserve">350</w:t>
            </w:r>
          </w:p>
        </w:tc>
        <w:tc>
          <w:tcPr/>
          <w:p>
            <w:pPr>
              <w:pStyle w:val="Compact"/>
              <w:jc w:val="left"/>
            </w:pPr>
            <w:r>
              <w:t xml:space="preserve">O–Cl</w:t>
            </w:r>
          </w:p>
        </w:tc>
        <w:tc>
          <w:tcPr/>
          <w:p>
            <w:pPr>
              <w:pStyle w:val="Compact"/>
              <w:jc w:val="left"/>
            </w:pPr>
            <w:r>
              <w:t xml:space="preserve">205</w:t>
            </w:r>
          </w:p>
        </w:tc>
        <w:tc>
          <w:tcPr/>
          <w:p>
            <w:pPr>
              <w:pStyle w:val="Compact"/>
              <w:jc w:val="left"/>
            </w:pPr>
            <w:r>
              <w:t xml:space="preserve">Cl–Br</w:t>
            </w:r>
          </w:p>
        </w:tc>
        <w:tc>
          <w:tcPr/>
          <w:p>
            <w:pPr>
              <w:pStyle w:val="Compact"/>
              <w:jc w:val="left"/>
            </w:pPr>
            <w:r>
              <w:t xml:space="preserve">220</w:t>
            </w:r>
          </w:p>
        </w:tc>
      </w:tr>
      <w:tr>
        <w:tc>
          <w:tcPr/>
          <w:p>
            <w:pPr>
              <w:pStyle w:val="Compact"/>
              <w:jc w:val="left"/>
            </w:pPr>
            <m:oMath>
              <m:r>
                <m:rPr>
                  <m:nor/>
                  <m:sty m:val="p"/>
                </m:rPr>
                <m:t>C</m:t>
              </m:r>
              <m:r>
                <m:rPr>
                  <m:sty m:val="p"/>
                </m:rPr>
                <m:t>=</m:t>
              </m:r>
              <m:r>
                <m:rPr>
                  <m:nor/>
                  <m:sty m:val="p"/>
                </m:rPr>
                <m:t>O</m:t>
              </m:r>
            </m:oMath>
          </w:p>
        </w:tc>
        <w:tc>
          <w:tcPr/>
          <w:p>
            <w:pPr>
              <w:pStyle w:val="Compact"/>
              <w:jc w:val="left"/>
            </w:pPr>
            <w:r>
              <w:t xml:space="preserve">741</w:t>
            </w:r>
          </w:p>
        </w:tc>
        <w:tc>
          <w:tcPr/>
          <w:p>
            <w:pPr>
              <w:pStyle w:val="Compact"/>
              <w:jc w:val="left"/>
            </w:pPr>
            <w:r>
              <w:t xml:space="preserve">O–I</w:t>
            </w:r>
          </w:p>
        </w:tc>
        <w:tc>
          <w:tcPr/>
          <w:p>
            <w:pPr>
              <w:pStyle w:val="Compact"/>
              <w:jc w:val="left"/>
            </w:pPr>
            <w:r>
              <w:t xml:space="preserve">200</w:t>
            </w:r>
          </w:p>
        </w:tc>
        <w:tc>
          <w:tcPr/>
          <w:p>
            <w:pPr>
              <w:pStyle w:val="Compact"/>
              <w:jc w:val="left"/>
            </w:pPr>
            <w:r>
              <w:t xml:space="preserve">Cl–I</w:t>
            </w:r>
          </w:p>
        </w:tc>
        <w:tc>
          <w:tcPr/>
          <w:p>
            <w:pPr>
              <w:pStyle w:val="Compact"/>
              <w:jc w:val="left"/>
            </w:pPr>
            <w:r>
              <w:t xml:space="preserve">210</w:t>
            </w:r>
          </w:p>
        </w:tc>
      </w:tr>
      <w:tr>
        <w:tc>
          <w:tcPr/>
          <w:p>
            <w:pPr>
              <w:pStyle w:val="Compact"/>
              <w:jc w:val="left"/>
            </w:pPr>
            <m:oMath>
              <m:r>
                <m:rPr>
                  <m:nor/>
                  <m:sty m:val="p"/>
                </m:rPr>
                <m:t>C</m:t>
              </m:r>
              <m:r>
                <m:rPr>
                  <m:sty m:val="p"/>
                </m:rPr>
                <m:t>≡</m:t>
              </m:r>
              <m:r>
                <m:rPr>
                  <m:nor/>
                  <m:sty m:val="p"/>
                </m:rPr>
                <m:t>O</m:t>
              </m:r>
            </m:oMath>
          </w:p>
        </w:tc>
        <w:tc>
          <w:tcPr/>
          <w:p>
            <w:pPr>
              <w:pStyle w:val="Compact"/>
              <w:jc w:val="left"/>
            </w:pPr>
            <w:r>
              <w:t xml:space="preserve">1080</w:t>
            </w:r>
          </w:p>
        </w:tc>
        <w:tc>
          <w:tcPr/>
          <w:p>
            <w:pPr>
              <w:pStyle w:val="Compact"/>
              <w:jc w:val="left"/>
            </w:pPr>
            <w:r>
              <w:t xml:space="preserve">F–F</w:t>
            </w:r>
          </w:p>
        </w:tc>
        <w:tc>
          <w:tcPr/>
          <w:p>
            <w:pPr>
              <w:pStyle w:val="Compact"/>
              <w:jc w:val="left"/>
            </w:pPr>
            <w:r>
              <w:t xml:space="preserve">160</w:t>
            </w:r>
          </w:p>
        </w:tc>
        <w:tc>
          <w:tcPr/>
          <w:p>
            <w:pPr>
              <w:pStyle w:val="Compact"/>
              <w:jc w:val="left"/>
            </w:pPr>
            <w:r>
              <w:t xml:space="preserve">Br–Br</w:t>
            </w:r>
          </w:p>
        </w:tc>
        <w:tc>
          <w:tcPr/>
          <w:p>
            <w:pPr>
              <w:pStyle w:val="Compact"/>
              <w:jc w:val="left"/>
            </w:pPr>
            <w:r>
              <w:t xml:space="preserve">190</w:t>
            </w:r>
          </w:p>
        </w:tc>
      </w:tr>
      <w:tr>
        <w:tc>
          <w:tcPr/>
          <w:p>
            <w:pPr>
              <w:pStyle w:val="Compact"/>
              <w:jc w:val="left"/>
            </w:pPr>
            <w:r>
              <w:t xml:space="preserve">C–F</w:t>
            </w:r>
          </w:p>
        </w:tc>
        <w:tc>
          <w:tcPr/>
          <w:p>
            <w:pPr>
              <w:pStyle w:val="Compact"/>
              <w:jc w:val="left"/>
            </w:pPr>
            <w:r>
              <w:t xml:space="preserve">439</w:t>
            </w:r>
          </w:p>
        </w:tc>
        <w:tc>
          <w:tcPr/>
          <w:p>
            <w:pPr>
              <w:pStyle w:val="Compact"/>
              <w:jc w:val="left"/>
            </w:pPr>
            <w:r>
              <w:t xml:space="preserve">F–Si</w:t>
            </w:r>
          </w:p>
        </w:tc>
        <w:tc>
          <w:tcPr/>
          <w:p>
            <w:pPr>
              <w:pStyle w:val="Compact"/>
              <w:jc w:val="left"/>
            </w:pPr>
            <w:r>
              <w:t xml:space="preserve">540</w:t>
            </w:r>
          </w:p>
        </w:tc>
        <w:tc>
          <w:tcPr/>
          <w:p>
            <w:pPr>
              <w:pStyle w:val="Compact"/>
              <w:jc w:val="left"/>
            </w:pPr>
            <w:r>
              <w:t xml:space="preserve">Br–I</w:t>
            </w:r>
          </w:p>
        </w:tc>
        <w:tc>
          <w:tcPr/>
          <w:p>
            <w:pPr>
              <w:pStyle w:val="Compact"/>
              <w:jc w:val="left"/>
            </w:pPr>
            <w:r>
              <w:t xml:space="preserve">180</w:t>
            </w:r>
          </w:p>
        </w:tc>
      </w:tr>
      <w:tr>
        <w:tc>
          <w:tcPr/>
          <w:p>
            <w:pPr>
              <w:pStyle w:val="Compact"/>
              <w:jc w:val="left"/>
            </w:pPr>
            <w:r>
              <w:t xml:space="preserve">C–Si</w:t>
            </w:r>
          </w:p>
        </w:tc>
        <w:tc>
          <w:tcPr/>
          <w:p>
            <w:pPr>
              <w:pStyle w:val="Compact"/>
              <w:jc w:val="left"/>
            </w:pPr>
            <w:r>
              <w:t xml:space="preserve">360</w:t>
            </w:r>
          </w:p>
        </w:tc>
        <w:tc>
          <w:tcPr/>
          <w:p>
            <w:pPr>
              <w:pStyle w:val="Compact"/>
              <w:jc w:val="left"/>
            </w:pPr>
            <w:r>
              <w:t xml:space="preserve">F–P</w:t>
            </w:r>
          </w:p>
        </w:tc>
        <w:tc>
          <w:tcPr/>
          <w:p>
            <w:pPr>
              <w:pStyle w:val="Compact"/>
              <w:jc w:val="left"/>
            </w:pPr>
            <w:r>
              <w:t xml:space="preserve">489</w:t>
            </w:r>
          </w:p>
        </w:tc>
        <w:tc>
          <w:tcPr/>
          <w:p>
            <w:pPr>
              <w:pStyle w:val="Compact"/>
              <w:jc w:val="left"/>
            </w:pPr>
            <w:r>
              <w:t xml:space="preserve">I–I</w:t>
            </w:r>
          </w:p>
        </w:tc>
        <w:tc>
          <w:tcPr/>
          <w:p>
            <w:pPr>
              <w:pStyle w:val="Compact"/>
              <w:jc w:val="left"/>
            </w:pPr>
            <w:r>
              <w:t xml:space="preserve">150</w:t>
            </w:r>
          </w:p>
        </w:tc>
      </w:tr>
      <w:tr>
        <w:tc>
          <w:tcPr/>
          <w:p>
            <w:pPr>
              <w:pStyle w:val="Compact"/>
              <w:jc w:val="left"/>
            </w:pPr>
            <w:r>
              <w:t xml:space="preserve">C–P</w:t>
            </w:r>
          </w:p>
        </w:tc>
        <w:tc>
          <w:tcPr/>
          <w:p>
            <w:pPr>
              <w:pStyle w:val="Compact"/>
              <w:jc w:val="left"/>
            </w:pPr>
            <w:r>
              <w:t xml:space="preserve">265</w:t>
            </w:r>
          </w:p>
        </w:tc>
        <w:tc>
          <w:tcPr/>
          <w:p>
            <w:pPr>
              <w:pStyle w:val="Compact"/>
              <w:jc w:val="left"/>
            </w:pPr>
            <w:r>
              <w:t xml:space="preserve">F–S</w:t>
            </w:r>
          </w:p>
        </w:tc>
        <w:tc>
          <w:tcPr/>
          <w:p>
            <w:pPr>
              <w:pStyle w:val="Compact"/>
              <w:jc w:val="left"/>
            </w:pPr>
            <w:r>
              <w:t xml:space="preserve">285</w:t>
            </w:r>
          </w:p>
        </w:tc>
        <w:tc>
          <w:tcPr/>
          <w:p>
            <w:pPr>
              <w:pStyle w:val="Compact"/>
            </w:pPr>
          </w:p>
        </w:tc>
        <w:tc>
          <w:tcPr/>
          <w:p>
            <w:pPr>
              <w:pStyle w:val="Compact"/>
            </w:pPr>
          </w:p>
        </w:tc>
      </w:tr>
    </w:tbl>
    <w:bookmarkEnd w:id="28"/>
    <w:p>
      <w:pPr>
        <w:pStyle w:val="TextBody"/>
      </w:pPr>
      <w:r>
        <w:t xml:space="preserve">Table</w:t>
      </w:r>
      <w:r>
        <w:t xml:space="preserve"> </w:t>
      </w:r>
      <w:r>
        <w:t xml:space="preserve"> </w:t>
      </w:r>
      <w:r>
        <w:t xml:space="preserve">7.2</w:t>
      </w:r>
      <w:r>
        <w:t xml:space="preserve"> </w:t>
      </w:r>
      <w:r>
        <w:t xml:space="preserve"> </w:t>
      </w:r>
      <w:r>
        <w:t xml:space="preserve"> </w:t>
      </w:r>
      <w:r>
        <w:t xml:space="preserve"> </w:t>
      </w:r>
    </w:p>
    <w:p>
      <w:pPr>
        <w:pStyle w:val="TextBody"/>
      </w:pPr>
      <w:r>
        <w:t xml:space="preserve">Average Bond Lengths and Bond Energies for Some Common Bonds</w:t>
      </w:r>
    </w:p>
    <w:bookmarkStart w:id="29" w:name="fs-idm44464336"/>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Bond</w:t>
            </w:r>
          </w:p>
        </w:tc>
        <w:tc>
          <w:tcPr/>
          <w:p>
            <w:pPr>
              <w:pStyle w:val="Compact"/>
              <w:jc w:val="left"/>
            </w:pPr>
            <w:r>
              <w:t xml:space="preserve">Bond Length (Å)</w:t>
            </w:r>
          </w:p>
        </w:tc>
        <w:tc>
          <w:tcPr/>
          <w:p>
            <w:pPr>
              <w:pStyle w:val="Compact"/>
              <w:jc w:val="left"/>
            </w:pPr>
            <w:r>
              <w:t xml:space="preserve">Bond Energy (kJ/mol)</w:t>
            </w:r>
          </w:p>
        </w:tc>
      </w:tr>
      <w:tr>
        <w:tc>
          <w:tcPr/>
          <w:p>
            <w:pPr>
              <w:pStyle w:val="Compact"/>
              <w:jc w:val="left"/>
            </w:pPr>
            <w:r>
              <w:t xml:space="preserve">C–C</w:t>
            </w:r>
          </w:p>
        </w:tc>
        <w:tc>
          <w:tcPr/>
          <w:p>
            <w:pPr>
              <w:pStyle w:val="Compact"/>
              <w:jc w:val="left"/>
            </w:pPr>
            <w:r>
              <w:t xml:space="preserve">1.54</w:t>
            </w:r>
          </w:p>
        </w:tc>
        <w:tc>
          <w:tcPr/>
          <w:p>
            <w:pPr>
              <w:pStyle w:val="Compact"/>
              <w:jc w:val="left"/>
            </w:pPr>
            <w:r>
              <w:t xml:space="preserve">345</w:t>
            </w:r>
          </w:p>
        </w:tc>
      </w:tr>
      <w:tr>
        <w:tc>
          <w:tcPr/>
          <w:p>
            <w:pPr>
              <w:pStyle w:val="Compact"/>
              <w:jc w:val="left"/>
            </w:pPr>
            <m:oMath>
              <m:r>
                <m:rPr>
                  <m:nor/>
                  <m:sty m:val="p"/>
                </m:rPr>
                <m:t>C</m:t>
              </m:r>
              <m:r>
                <m:rPr>
                  <m:sty m:val="p"/>
                </m:rPr>
                <m:t>=</m:t>
              </m:r>
              <m:r>
                <m:rPr>
                  <m:nor/>
                  <m:sty m:val="p"/>
                </m:rPr>
                <m:t>C</m:t>
              </m:r>
            </m:oMath>
          </w:p>
        </w:tc>
        <w:tc>
          <w:tcPr/>
          <w:p>
            <w:pPr>
              <w:pStyle w:val="Compact"/>
              <w:jc w:val="left"/>
            </w:pPr>
            <w:r>
              <w:t xml:space="preserve">1.34</w:t>
            </w:r>
          </w:p>
        </w:tc>
        <w:tc>
          <w:tcPr/>
          <w:p>
            <w:pPr>
              <w:pStyle w:val="Compact"/>
              <w:jc w:val="left"/>
            </w:pPr>
            <w:r>
              <w:t xml:space="preserve">611</w:t>
            </w:r>
          </w:p>
        </w:tc>
      </w:tr>
      <w:tr>
        <w:tc>
          <w:tcPr/>
          <w:p>
            <w:pPr>
              <w:pStyle w:val="Compact"/>
              <w:jc w:val="left"/>
            </w:pPr>
            <m:oMath>
              <m:r>
                <m:rPr>
                  <m:nor/>
                  <m:sty m:val="p"/>
                </m:rPr>
                <m:t>C</m:t>
              </m:r>
              <m:r>
                <m:rPr>
                  <m:sty m:val="p"/>
                </m:rPr>
                <m:t>≡</m:t>
              </m:r>
              <m:r>
                <m:rPr>
                  <m:nor/>
                  <m:sty m:val="p"/>
                </m:rPr>
                <m:t>C</m:t>
              </m:r>
            </m:oMath>
          </w:p>
        </w:tc>
        <w:tc>
          <w:tcPr/>
          <w:p>
            <w:pPr>
              <w:pStyle w:val="Compact"/>
              <w:jc w:val="left"/>
            </w:pPr>
            <w:r>
              <w:t xml:space="preserve">1.20</w:t>
            </w:r>
          </w:p>
        </w:tc>
        <w:tc>
          <w:tcPr/>
          <w:p>
            <w:pPr>
              <w:pStyle w:val="Compact"/>
              <w:jc w:val="left"/>
            </w:pPr>
            <w:r>
              <w:t xml:space="preserve">837</w:t>
            </w:r>
          </w:p>
        </w:tc>
      </w:tr>
      <w:tr>
        <w:tc>
          <w:tcPr/>
          <w:p>
            <w:pPr>
              <w:pStyle w:val="Compact"/>
              <w:jc w:val="left"/>
            </w:pPr>
            <w:r>
              <w:t xml:space="preserve">C–N</w:t>
            </w:r>
          </w:p>
        </w:tc>
        <w:tc>
          <w:tcPr/>
          <w:p>
            <w:pPr>
              <w:pStyle w:val="Compact"/>
              <w:jc w:val="left"/>
            </w:pPr>
            <w:r>
              <w:t xml:space="preserve">1.43</w:t>
            </w:r>
          </w:p>
        </w:tc>
        <w:tc>
          <w:tcPr/>
          <w:p>
            <w:pPr>
              <w:pStyle w:val="Compact"/>
              <w:jc w:val="left"/>
            </w:pPr>
            <w:r>
              <w:t xml:space="preserve">290</w:t>
            </w:r>
          </w:p>
        </w:tc>
      </w:tr>
      <w:tr>
        <w:tc>
          <w:tcPr/>
          <w:p>
            <w:pPr>
              <w:pStyle w:val="Compact"/>
              <w:jc w:val="left"/>
            </w:pPr>
            <m:oMath>
              <m:r>
                <m:rPr>
                  <m:nor/>
                  <m:sty m:val="p"/>
                </m:rPr>
                <m:t>C</m:t>
              </m:r>
              <m:r>
                <m:rPr>
                  <m:sty m:val="p"/>
                </m:rPr>
                <m:t>=</m:t>
              </m:r>
              <m:r>
                <m:rPr>
                  <m:nor/>
                  <m:sty m:val="p"/>
                </m:rPr>
                <m:t>N</m:t>
              </m:r>
            </m:oMath>
          </w:p>
        </w:tc>
        <w:tc>
          <w:tcPr/>
          <w:p>
            <w:pPr>
              <w:pStyle w:val="Compact"/>
              <w:jc w:val="left"/>
            </w:pPr>
            <w:r>
              <w:t xml:space="preserve">1.38</w:t>
            </w:r>
          </w:p>
        </w:tc>
        <w:tc>
          <w:tcPr/>
          <w:p>
            <w:pPr>
              <w:pStyle w:val="Compact"/>
              <w:jc w:val="left"/>
            </w:pPr>
            <w:r>
              <w:t xml:space="preserve">615</w:t>
            </w:r>
          </w:p>
        </w:tc>
      </w:tr>
      <w:tr>
        <w:tc>
          <w:tcPr/>
          <w:p>
            <w:pPr>
              <w:pStyle w:val="Compact"/>
              <w:jc w:val="left"/>
            </w:pPr>
            <m:oMath>
              <m:r>
                <m:rPr>
                  <m:nor/>
                  <m:sty m:val="p"/>
                </m:rPr>
                <m:t>C</m:t>
              </m:r>
              <m:r>
                <m:rPr>
                  <m:sty m:val="p"/>
                </m:rPr>
                <m:t>≡</m:t>
              </m:r>
              <m:r>
                <m:rPr>
                  <m:nor/>
                  <m:sty m:val="p"/>
                </m:rPr>
                <m:t>N</m:t>
              </m:r>
            </m:oMath>
          </w:p>
        </w:tc>
        <w:tc>
          <w:tcPr/>
          <w:p>
            <w:pPr>
              <w:pStyle w:val="Compact"/>
              <w:jc w:val="left"/>
            </w:pPr>
            <w:r>
              <w:t xml:space="preserve">1.16</w:t>
            </w:r>
          </w:p>
        </w:tc>
        <w:tc>
          <w:tcPr/>
          <w:p>
            <w:pPr>
              <w:pStyle w:val="Compact"/>
              <w:jc w:val="left"/>
            </w:pPr>
            <w:r>
              <w:t xml:space="preserve">891</w:t>
            </w:r>
          </w:p>
        </w:tc>
      </w:tr>
      <w:tr>
        <w:tc>
          <w:tcPr/>
          <w:p>
            <w:pPr>
              <w:pStyle w:val="Compact"/>
              <w:jc w:val="left"/>
            </w:pPr>
            <w:r>
              <w:t xml:space="preserve">C–O</w:t>
            </w:r>
          </w:p>
        </w:tc>
        <w:tc>
          <w:tcPr/>
          <w:p>
            <w:pPr>
              <w:pStyle w:val="Compact"/>
              <w:jc w:val="left"/>
            </w:pPr>
            <w:r>
              <w:t xml:space="preserve">1.43</w:t>
            </w:r>
          </w:p>
        </w:tc>
        <w:tc>
          <w:tcPr/>
          <w:p>
            <w:pPr>
              <w:pStyle w:val="Compact"/>
              <w:jc w:val="left"/>
            </w:pPr>
            <w:r>
              <w:t xml:space="preserve">350</w:t>
            </w:r>
          </w:p>
        </w:tc>
      </w:tr>
      <w:tr>
        <w:tc>
          <w:tcPr/>
          <w:p>
            <w:pPr>
              <w:pStyle w:val="Compact"/>
              <w:jc w:val="left"/>
            </w:pPr>
            <m:oMath>
              <m:r>
                <m:rPr>
                  <m:nor/>
                  <m:sty m:val="p"/>
                </m:rPr>
                <m:t>C</m:t>
              </m:r>
              <m:r>
                <m:rPr>
                  <m:sty m:val="p"/>
                </m:rPr>
                <m:t>=</m:t>
              </m:r>
              <m:r>
                <m:rPr>
                  <m:nor/>
                  <m:sty m:val="p"/>
                </m:rPr>
                <m:t>O</m:t>
              </m:r>
            </m:oMath>
          </w:p>
        </w:tc>
        <w:tc>
          <w:tcPr/>
          <w:p>
            <w:pPr>
              <w:pStyle w:val="Compact"/>
              <w:jc w:val="left"/>
            </w:pPr>
            <w:r>
              <w:t xml:space="preserve">1.23</w:t>
            </w:r>
          </w:p>
        </w:tc>
        <w:tc>
          <w:tcPr/>
          <w:p>
            <w:pPr>
              <w:pStyle w:val="Compact"/>
              <w:jc w:val="left"/>
            </w:pPr>
            <w:r>
              <w:t xml:space="preserve">741</w:t>
            </w:r>
          </w:p>
        </w:tc>
      </w:tr>
      <w:tr>
        <w:tc>
          <w:tcPr/>
          <w:p>
            <w:pPr>
              <w:pStyle w:val="Compact"/>
              <w:jc w:val="left"/>
            </w:pPr>
            <m:oMath>
              <m:r>
                <m:rPr>
                  <m:nor/>
                  <m:sty m:val="p"/>
                </m:rPr>
                <m:t>C</m:t>
              </m:r>
              <m:r>
                <m:rPr>
                  <m:sty m:val="p"/>
                </m:rPr>
                <m:t>≡</m:t>
              </m:r>
              <m:r>
                <m:rPr>
                  <m:nor/>
                  <m:sty m:val="p"/>
                </m:rPr>
                <m:t>O</m:t>
              </m:r>
            </m:oMath>
          </w:p>
        </w:tc>
        <w:tc>
          <w:tcPr/>
          <w:p>
            <w:pPr>
              <w:pStyle w:val="Compact"/>
              <w:jc w:val="left"/>
            </w:pPr>
            <w:r>
              <w:t xml:space="preserve">1.13</w:t>
            </w:r>
          </w:p>
        </w:tc>
        <w:tc>
          <w:tcPr/>
          <w:p>
            <w:pPr>
              <w:pStyle w:val="Compact"/>
              <w:jc w:val="left"/>
            </w:pPr>
            <w:r>
              <w:t xml:space="preserve">1080</w:t>
            </w:r>
          </w:p>
        </w:tc>
      </w:tr>
    </w:tbl>
    <w:bookmarkEnd w:id="29"/>
    <w:p>
      <w:pPr>
        <w:pStyle w:val="TextBody"/>
      </w:pPr>
      <w:r>
        <w:t xml:space="preserve">Table</w:t>
      </w:r>
      <w:r>
        <w:t xml:space="preserve"> </w:t>
      </w:r>
      <w:r>
        <w:t xml:space="preserve"> </w:t>
      </w:r>
      <w:r>
        <w:t xml:space="preserve">7.3</w:t>
      </w:r>
      <w:r>
        <w:t xml:space="preserve"> </w:t>
      </w:r>
      <w:r>
        <w:t xml:space="preserve"> </w:t>
      </w:r>
      <w:r>
        <w:t xml:space="preserve"> </w:t>
      </w:r>
      <w:r>
        <w:t xml:space="preserve"> </w:t>
      </w:r>
    </w:p>
    <w:p>
      <w:pPr>
        <w:pStyle w:val="TextBody"/>
      </w:pPr>
      <w:r>
        <w:t xml:space="preserve">We can use bond energies to calculate approximate enthalpy changes for reactions where enthalpies of formation are not available. Calculations of this type will also tell us whether a reaction is exothermic or endothermic. An exothermic reaction (Δ</w:t>
      </w:r>
      <w:r>
        <w:rPr>
          <w:iCs/>
          <w:i/>
        </w:rPr>
        <w:t xml:space="preserve">H</w:t>
      </w:r>
      <w:r>
        <w:t xml:space="preserve"> </w:t>
      </w:r>
      <w:r>
        <w:t xml:space="preserve">negative, heat produced) results when the bonds in the products are stronger than the bonds in the reactants. An endothermic reaction (Δ</w:t>
      </w:r>
      <w:r>
        <w:rPr>
          <w:iCs/>
          <w:i/>
        </w:rPr>
        <w:t xml:space="preserve">H</w:t>
      </w:r>
      <w:r>
        <w:t xml:space="preserve"> </w:t>
      </w:r>
      <w:r>
        <w:t xml:space="preserve">positive, heat absorbed) results when the bonds in the products are weaker than those in the reactants.</w:t>
      </w:r>
    </w:p>
    <w:p>
      <w:pPr>
        <w:pStyle w:val="TextBody"/>
      </w:pPr>
      <w:r>
        <w:t xml:space="preserve">The enthalpy change, Δ</w:t>
      </w:r>
      <w:r>
        <w:rPr>
          <w:iCs/>
          <w:i/>
        </w:rPr>
        <w:t xml:space="preserve">H</w:t>
      </w:r>
      <w:r>
        <w:t xml:space="preserve">, for a chemical reaction is approximately equal to the sum of the energy required to break all bonds in the reactants (energy “in”, positive sign) plus the energy released when all bonds are formed in the products (energy “out,” negative sign). This can be expressed mathematically in the following way:</w:t>
      </w:r>
    </w:p>
    <w:bookmarkStart w:id="30" w:name="fs-idm40243760"/>
    <w:p>
      <w:pPr>
        <w:pStyle w:val="TextBody"/>
      </w:pPr>
      <m:oMath>
        <m:r>
          <m:rPr>
            <m:nor/>
            <m:sty m:val="p"/>
          </m:rPr>
          <m:t>Δ</m:t>
        </m:r>
        <m:r>
          <m:t>H</m:t>
        </m:r>
        <m:r>
          <m:rPr>
            <m:sty m:val="p"/>
          </m:rPr>
          <m:t>=</m:t>
        </m:r>
        <m:sSub>
          <m:e>
            <m:r>
              <m:rPr>
                <m:nor/>
                <m:sty m:val="p"/>
              </m:rPr>
              <m:t>ƩD</m:t>
            </m:r>
          </m:e>
          <m:sub>
            <m:r>
              <m:rPr>
                <m:nor/>
                <m:sty m:val="p"/>
              </m:rPr>
              <m:t>bonds broken</m:t>
            </m:r>
          </m:sub>
        </m:sSub>
        <m:r>
          <m:rPr>
            <m:sty m:val="p"/>
          </m:rPr>
          <m:t>−</m:t>
        </m:r>
        <m:sSub>
          <m:e>
            <m:r>
              <m:rPr>
                <m:nor/>
                <m:sty m:val="p"/>
              </m:rPr>
              <m:t>ƩD</m:t>
            </m:r>
          </m:e>
          <m:sub>
            <m:r>
              <m:rPr>
                <m:nor/>
                <m:sty m:val="p"/>
              </m:rPr>
              <m:t>bonds formed</m:t>
            </m:r>
          </m:sub>
        </m:sSub>
      </m:oMath>
    </w:p>
    <w:bookmarkEnd w:id="30"/>
    <w:p>
      <w:pPr>
        <w:pStyle w:val="TextBody"/>
      </w:pPr>
      <w:r>
        <w:t xml:space="preserve">In this expression, the symbol Ʃ means “the sum of” and D represents the bond energy in kilojoules per mole, which is always a positive number. The bond energy is obtained from a table (like</w:t>
      </w:r>
      <w:r>
        <w:t xml:space="preserve"> </w:t>
      </w:r>
      <w:hyperlink w:anchor="fs-idm44464336">
        <w:r>
          <w:rPr>
            <w:rStyle w:val="InternetLink"/>
          </w:rPr>
          <w:t xml:space="preserve">Table 7.3</w:t>
        </w:r>
      </w:hyperlink>
      <w:r>
        <w:t xml:space="preserve">) and will depend on whether the particular bond is a single, double, or triple bond. Thus, in calculating enthalpies in this manner, it is important that we consider the bonding in all reactants and products. Because D values are typically averages for one type of bond in many different molecules, this calculation provides a rough estimate, not an exact value, for the enthalpy of reaction.</w:t>
      </w:r>
    </w:p>
    <w:p>
      <w:pPr>
        <w:pStyle w:val="TextBody"/>
      </w:pPr>
      <w:r>
        <w:t xml:space="preserve">Consider the following reaction:</w:t>
      </w:r>
    </w:p>
    <w:bookmarkStart w:id="31" w:name="fs-idp51383312"/>
    <w:p>
      <w:pPr>
        <w:pStyle w:val="TextBody"/>
      </w:pPr>
      <m:oMath>
        <m:sSub>
          <m:e>
            <m:r>
              <m:rPr>
                <m:nor/>
                <m:sty m:val="p"/>
              </m:rPr>
              <m:t>H</m:t>
            </m:r>
          </m:e>
          <m:sub>
            <m:r>
              <m:t>2</m:t>
            </m:r>
          </m:sub>
        </m:sSub>
        <m:d>
          <m:dPr>
            <m:begChr m:val="("/>
            <m:endChr m:val=")"/>
            <m:sepChr m:val=""/>
            <m:grow/>
          </m:dPr>
          <m:e>
            <m:r>
              <m:t>g</m:t>
            </m:r>
          </m:e>
        </m:d>
        <m:r>
          <m:rPr>
            <m:sty m:val="p"/>
          </m:rPr>
          <m:t>+</m:t>
        </m:r>
        <m:sSub>
          <m:e>
            <m:r>
              <m:rPr>
                <m:nor/>
                <m:sty m:val="p"/>
              </m:rPr>
              <m:t>Cl</m:t>
            </m:r>
          </m:e>
          <m:sub>
            <m:r>
              <m:t>2</m:t>
            </m:r>
          </m:sub>
        </m:sSub>
        <m:d>
          <m:dPr>
            <m:begChr m:val="("/>
            <m:endChr m:val=")"/>
            <m:sepChr m:val=""/>
            <m:grow/>
          </m:dPr>
          <m:e>
            <m:r>
              <m:t>g</m:t>
            </m:r>
          </m:e>
        </m:d>
        <m:r>
          <m:t> </m:t>
        </m:r>
        <m:r>
          <m:rPr>
            <m:sty m:val="p"/>
          </m:rPr>
          <m:t>→</m:t>
        </m:r>
        <m:r>
          <m:t> </m:t>
        </m:r>
        <m:r>
          <m:t>2</m:t>
        </m:r>
        <m:r>
          <m:rPr>
            <m:nor/>
            <m:sty m:val="p"/>
          </m:rPr>
          <m:t>HCl</m:t>
        </m:r>
        <m:d>
          <m:dPr>
            <m:begChr m:val="("/>
            <m:endChr m:val=")"/>
            <m:sepChr m:val=""/>
            <m:grow/>
          </m:dPr>
          <m:e>
            <m:r>
              <m:t>g</m:t>
            </m:r>
          </m:e>
        </m:d>
      </m:oMath>
    </w:p>
    <w:bookmarkEnd w:id="31"/>
    <w:p>
      <w:pPr>
        <w:pStyle w:val="TextBody"/>
      </w:pPr>
      <w:r>
        <w:t xml:space="preserve">or</w:t>
      </w:r>
    </w:p>
    <w:bookmarkStart w:id="32" w:name="fs-idp56299152"/>
    <w:p>
      <w:pPr>
        <w:pStyle w:val="TextBody"/>
      </w:pPr>
      <m:oMath>
        <m:r>
          <m:rPr>
            <m:nor/>
            <m:sty m:val="p"/>
          </m:rPr>
          <m:t>H–H</m:t>
        </m:r>
        <m:d>
          <m:dPr>
            <m:begChr m:val="("/>
            <m:endChr m:val=")"/>
            <m:sepChr m:val=""/>
            <m:grow/>
          </m:dPr>
          <m:e>
            <m:r>
              <m:t>g</m:t>
            </m:r>
          </m:e>
        </m:d>
        <m:r>
          <m:rPr>
            <m:sty m:val="p"/>
          </m:rPr>
          <m:t>+</m:t>
        </m:r>
        <m:r>
          <m:rPr>
            <m:nor/>
            <m:sty m:val="p"/>
          </m:rPr>
          <m:t>Cl–Cl</m:t>
        </m:r>
        <m:d>
          <m:dPr>
            <m:begChr m:val="("/>
            <m:endChr m:val=")"/>
            <m:sepChr m:val=""/>
            <m:grow/>
          </m:dPr>
          <m:e>
            <m:r>
              <m:t>g</m:t>
            </m:r>
          </m:e>
        </m:d>
        <m:r>
          <m:t> </m:t>
        </m:r>
        <m:r>
          <m:rPr>
            <m:sty m:val="p"/>
          </m:rPr>
          <m:t>→</m:t>
        </m:r>
        <m:r>
          <m:t> </m:t>
        </m:r>
        <m:r>
          <m:t>2</m:t>
        </m:r>
        <m:r>
          <m:rPr>
            <m:nor/>
            <m:sty m:val="p"/>
          </m:rPr>
          <m:t>H–Cl</m:t>
        </m:r>
        <m:d>
          <m:dPr>
            <m:begChr m:val="("/>
            <m:endChr m:val=")"/>
            <m:sepChr m:val=""/>
            <m:grow/>
          </m:dPr>
          <m:e>
            <m:r>
              <m:t>g</m:t>
            </m:r>
          </m:e>
        </m:d>
      </m:oMath>
    </w:p>
    <w:bookmarkEnd w:id="32"/>
    <w:p>
      <w:pPr>
        <w:pStyle w:val="TextBody"/>
      </w:pPr>
      <w:r>
        <w:t xml:space="preserve">To form two moles of HCl, one mole of H–H bonds and one mole of Cl–Cl bonds must be broken. The energy required to break these bonds is the sum of the bond energy of the H–H bond (436 kJ/mol) and the Cl–Cl bond (243 kJ/mol). During the reaction, two moles of H–Cl bonds are formed (bond energy = 432 kJ/mol), releasing 2</w:t>
      </w:r>
      <w:r>
        <w:t xml:space="preserve"> </w:t>
      </w:r>
      <m:oMath>
        <m:r>
          <m:rPr>
            <m:sty m:val="p"/>
          </m:rPr>
          <m:t>×</m:t>
        </m:r>
      </m:oMath>
      <w:r>
        <w:t xml:space="preserve"> </w:t>
      </w:r>
      <w:r>
        <w:t xml:space="preserve">432 kJ; or 864 kJ. Because the bonds in the products are stronger than those in the reactants, the reaction releases more energy than it consumes:</w:t>
      </w:r>
    </w:p>
    <w:bookmarkStart w:id="36" w:name="fs-idp14860448"/>
    <w:p>
      <w:pPr>
        <w:pStyle w:val="TextBody"/>
      </w:pPr>
      <w:r>
        <w:drawing>
          <wp:inline>
            <wp:extent cx="2628900" cy="561975"/>
            <wp:effectExtent b="0" l="0" r="0" t="0"/>
            <wp:docPr descr="None" title="" id="34" name="Picture"/>
            <a:graphic>
              <a:graphicData uri="http://schemas.openxmlformats.org/drawingml/2006/picture">
                <pic:pic>
                  <pic:nvPicPr>
                    <pic:cNvPr descr="../resources/2c9b3e4087e00938a04516e4c977c190f7551436" id="35" name="Picture"/>
                    <pic:cNvPicPr>
                      <a:picLocks noChangeArrowheads="1" noChangeAspect="1"/>
                    </pic:cNvPicPr>
                  </pic:nvPicPr>
                  <pic:blipFill>
                    <a:blip r:embed="rId33"/>
                    <a:stretch>
                      <a:fillRect/>
                    </a:stretch>
                  </pic:blipFill>
                  <pic:spPr bwMode="auto">
                    <a:xfrm>
                      <a:off x="0" y="0"/>
                      <a:ext cx="2628900" cy="561975"/>
                    </a:xfrm>
                    <a:prstGeom prst="rect">
                      <a:avLst/>
                    </a:prstGeom>
                    <a:noFill/>
                    <a:ln w="9525">
                      <a:noFill/>
                      <a:headEnd/>
                      <a:tailEnd/>
                    </a:ln>
                  </pic:spPr>
                </pic:pic>
              </a:graphicData>
            </a:graphic>
          </wp:inline>
        </w:drawing>
      </w:r>
    </w:p>
    <w:bookmarkEnd w:id="36"/>
    <w:p>
      <w:pPr>
        <w:pStyle w:val="TextBody"/>
      </w:pPr>
      <w:r>
        <w:t xml:space="preserve">This excess energy is released as heat, so the reaction is exothermic.</w:t>
      </w:r>
      <w:r>
        <w:t xml:space="preserve"> </w:t>
      </w:r>
      <w:hyperlink r:id="rId37">
        <w:r>
          <w:rPr>
            <w:rStyle w:val="InternetLink"/>
          </w:rPr>
          <w:t xml:space="preserve">Appendix G</w:t>
        </w:r>
      </w:hyperlink>
      <w:r>
        <w:t xml:space="preserve"> </w:t>
      </w:r>
      <w:r>
        <w:t xml:space="preserve">gives a value for the standard molar enthalpy of formation of HCl(g),</w:t>
      </w:r>
      <w:r>
        <w:t xml:space="preserve"> </w:t>
      </w:r>
      <m:oMath>
        <m:r>
          <m:rPr>
            <m:nor/>
            <m:sty m:val="p"/>
          </m:rPr>
          <m:t>Δ</m:t>
        </m:r>
        <m:sSubSup>
          <m:e>
            <m:r>
              <m:t>H</m:t>
            </m:r>
          </m:e>
          <m:sub>
            <m:r>
              <m:rPr>
                <m:nor/>
                <m:sty m:val="p"/>
              </m:rPr>
              <m:t>f</m:t>
            </m:r>
          </m:sub>
          <m:sup>
            <m:sSup>
              <m:e>
                <m:r>
                  <m:t>​</m:t>
                </m:r>
              </m:e>
              <m:sup>
                <m:r>
                  <m:rPr>
                    <m:sty m:val="p"/>
                  </m:rPr>
                  <m:t>∘</m:t>
                </m:r>
              </m:sup>
            </m:sSup>
          </m:sup>
        </m:sSubSup>
        <m:r>
          <m:rPr>
            <m:sty m:val="p"/>
          </m:rPr>
          <m:t>,</m:t>
        </m:r>
      </m:oMath>
      <w:r>
        <w:t xml:space="preserve"> </w:t>
      </w:r>
      <w:r>
        <w:t xml:space="preserve">of –92.307 kJ/mol. Twice that value is –184.6 kJ, which agrees well with the answer obtained earlier for the formation of two moles of HCl.</w:t>
      </w:r>
    </w:p>
    <w:bookmarkStart w:id="60" w:name="fs-idm33428592"/>
    <w:p>
      <w:pPr>
        <w:pStyle w:val="Heading3Grey"/>
      </w:pPr>
      <w:r>
        <w:t xml:space="preserve">Example</w:t>
      </w:r>
      <w:r>
        <w:t xml:space="preserve"> </w:t>
      </w:r>
      <w:r>
        <w:t xml:space="preserve"> </w:t>
      </w:r>
      <w:r>
        <w:t xml:space="preserve">7.9</w:t>
      </w:r>
      <w:r>
        <w:t xml:space="preserve"> </w:t>
      </w:r>
      <w:r>
        <w:t xml:space="preserve"> </w:t>
      </w:r>
    </w:p>
    <w:p>
      <w:pPr>
        <w:pStyle w:val="Heading4Grey"/>
      </w:pPr>
      <w:r>
        <w:t xml:space="preserve">Using Bond Energies to Calculate Approximate Enthalpy Changes</w:t>
      </w:r>
    </w:p>
    <w:p>
      <w:pPr>
        <w:pStyle w:val="NoteExampleGrey"/>
      </w:pPr>
      <w:r>
        <w:t xml:space="preserve">Methanol, CH</w:t>
      </w:r>
      <w:r>
        <w:rPr>
          <w:vertAlign w:val="subscript"/>
        </w:rPr>
        <w:t xml:space="preserve">3</w:t>
      </w:r>
      <w:r>
        <w:t xml:space="preserve">OH, may be an excellent alternative fuel. The high-temperature reaction of steam and carbon produces a mixture of the gases carbon monoxide, CO, and hydrogen, H</w:t>
      </w:r>
      <w:r>
        <w:rPr>
          <w:vertAlign w:val="subscript"/>
        </w:rPr>
        <w:t xml:space="preserve">2</w:t>
      </w:r>
      <w:r>
        <w:t xml:space="preserve">, from which methanol can be produced. Using the bond energies in</w:t>
      </w:r>
      <w:r>
        <w:t xml:space="preserve"> </w:t>
      </w:r>
      <w:hyperlink w:anchor="fs-idm44464336">
        <w:r>
          <w:rPr>
            <w:rStyle w:val="InternetLink"/>
          </w:rPr>
          <w:t xml:space="preserve">Table 7.3</w:t>
        </w:r>
      </w:hyperlink>
      <w:r>
        <w:t xml:space="preserve">, calculate the approximate enthalpy change, Δ</w:t>
      </w:r>
      <w:r>
        <w:rPr>
          <w:iCs/>
          <w:i/>
        </w:rPr>
        <w:t xml:space="preserve">H</w:t>
      </w:r>
      <w:r>
        <w:t xml:space="preserve">, for the reaction here:</w:t>
      </w:r>
    </w:p>
    <w:bookmarkStart w:id="38" w:name="fs-idp93467344"/>
    <w:p>
      <w:pPr>
        <w:pStyle w:val="NoteExampleGrey"/>
      </w:pPr>
      <m:oMath>
        <m:r>
          <m:rPr>
            <m:nor/>
            <m:sty m:val="p"/>
          </m:rPr>
          <m:t>CO</m:t>
        </m:r>
        <m:d>
          <m:dPr>
            <m:begChr m:val="("/>
            <m:endChr m:val=")"/>
            <m:sepChr m:val=""/>
            <m:grow/>
          </m:dPr>
          <m:e>
            <m:r>
              <m:t>g</m:t>
            </m:r>
          </m:e>
        </m:d>
        <m:r>
          <m:rPr>
            <m:sty m:val="p"/>
          </m:rPr>
          <m:t>+</m:t>
        </m:r>
        <m:r>
          <m:t>2</m:t>
        </m:r>
        <m:sSub>
          <m:e>
            <m:r>
              <m:rPr>
                <m:nor/>
                <m:sty m:val="p"/>
              </m:rPr>
              <m:t>H</m:t>
            </m:r>
          </m:e>
          <m:sub>
            <m:r>
              <m:rPr>
                <m:nor/>
                <m:sty m:val="p"/>
              </m:rPr>
              <m:t>2</m:t>
            </m:r>
          </m:sub>
        </m:sSub>
        <m:d>
          <m:dPr>
            <m:begChr m:val="("/>
            <m:endChr m:val=")"/>
            <m:sepChr m:val=""/>
            <m:grow/>
          </m:dPr>
          <m:e>
            <m:r>
              <m:t>g</m:t>
            </m:r>
          </m:e>
        </m:d>
        <m:r>
          <m:t> </m:t>
        </m:r>
        <m:r>
          <m:rPr>
            <m:sty m:val="p"/>
          </m:rPr>
          <m:t>→</m:t>
        </m:r>
        <m:r>
          <m:t> </m:t>
        </m:r>
        <m:sSub>
          <m:e>
            <m:r>
              <m:rPr>
                <m:nor/>
                <m:sty m:val="p"/>
              </m:rPr>
              <m:t>CH</m:t>
            </m:r>
          </m:e>
          <m:sub>
            <m:r>
              <m:t>3</m:t>
            </m:r>
          </m:sub>
        </m:sSub>
        <m:r>
          <m:rPr>
            <m:nor/>
            <m:sty m:val="p"/>
          </m:rPr>
          <m:t>OH</m:t>
        </m:r>
        <m:d>
          <m:dPr>
            <m:begChr m:val="("/>
            <m:endChr m:val=")"/>
            <m:sepChr m:val=""/>
            <m:grow/>
          </m:dPr>
          <m:e>
            <m:r>
              <m:t>g</m:t>
            </m:r>
          </m:e>
        </m:d>
      </m:oMath>
    </w:p>
    <w:bookmarkEnd w:id="38"/>
    <w:p>
      <w:pPr>
        <w:pStyle w:val="Heading4Grey"/>
      </w:pPr>
      <w:r>
        <w:t xml:space="preserve">Solution</w:t>
      </w:r>
    </w:p>
    <w:p>
      <w:pPr>
        <w:pStyle w:val="NoteExampleGrey"/>
      </w:pPr>
      <w:r>
        <w:t xml:space="preserve">First, we need to write the Lewis structures of the reactants and the products:</w:t>
      </w:r>
      <w:r>
        <w:t xml:space="preserve"> </w:t>
      </w:r>
      <w:bookmarkStart w:id="42" w:name="fs-idp525280"/>
      <w:r>
        <w:t xml:space="preserve"> </w:t>
      </w:r>
      <w:r>
        <w:drawing>
          <wp:inline>
            <wp:extent cx="4457700" cy="658368"/>
            <wp:effectExtent b="0" l="0" r="0" t="0"/>
            <wp:docPr descr="A set of Lewis diagrams show a chemical reaction. The first structure shows a carbon atom with a lone pair of electrons triple bonded to an oxygen with a lone pair of electrons. To the right of this structure is a plus sign, then the number 2 followed by a hydrogen atom single bonded to a hydrogen atom. To the right of this structure is a right-facing arrow followed by a hydrogen atom single bonded to a carbon atom that is single bonded to two hydrogen atoms and an oxygen atom with two lone pairs of electrons. The oxygen atom is also single bonded to a hydrogen atom." title="" id="40" name="Picture"/>
            <a:graphic>
              <a:graphicData uri="http://schemas.openxmlformats.org/drawingml/2006/picture">
                <pic:pic>
                  <pic:nvPicPr>
                    <pic:cNvPr descr="../resources/24e805447a17774e8e6f6ff272b3d943d5f6cee9" id="41" name="Picture"/>
                    <pic:cNvPicPr>
                      <a:picLocks noChangeArrowheads="1" noChangeAspect="1"/>
                    </pic:cNvPicPr>
                  </pic:nvPicPr>
                  <pic:blipFill>
                    <a:blip r:embed="rId39"/>
                    <a:stretch>
                      <a:fillRect/>
                    </a:stretch>
                  </pic:blipFill>
                  <pic:spPr bwMode="auto">
                    <a:xfrm>
                      <a:off x="0" y="0"/>
                      <a:ext cx="4457700" cy="658368"/>
                    </a:xfrm>
                    <a:prstGeom prst="rect">
                      <a:avLst/>
                    </a:prstGeom>
                    <a:noFill/>
                    <a:ln w="9525">
                      <a:noFill/>
                      <a:headEnd/>
                      <a:tailEnd/>
                    </a:ln>
                  </pic:spPr>
                </pic:pic>
              </a:graphicData>
            </a:graphic>
          </wp:inline>
        </w:drawing>
      </w:r>
      <w:r>
        <w:t xml:space="preserve"> </w:t>
      </w:r>
      <w:bookmarkEnd w:id="42"/>
    </w:p>
    <w:p>
      <w:pPr>
        <w:pStyle w:val="NoteExampleGrey"/>
      </w:pPr>
      <w:r>
        <w:t xml:space="preserve">From this, we see that Δ</w:t>
      </w:r>
      <w:r>
        <w:rPr>
          <w:iCs/>
          <w:i/>
        </w:rPr>
        <w:t xml:space="preserve">H</w:t>
      </w:r>
      <w:r>
        <w:t xml:space="preserve"> </w:t>
      </w:r>
      <w:r>
        <w:t xml:space="preserve">for this reaction involves the energy required to break a C–O triple bond and two H–H single bonds, as well as the energy produced by the formation of three C–H single bonds, a C–O single bond, and an O–H single bond. We can express this as follows:</w:t>
      </w:r>
    </w:p>
    <w:bookmarkStart w:id="46" w:name="fs-idp76020096"/>
    <w:p>
      <w:pPr>
        <w:pStyle w:val="NoteExampleGrey"/>
      </w:pPr>
      <w:r>
        <w:drawing>
          <wp:inline>
            <wp:extent cx="3743325" cy="361950"/>
            <wp:effectExtent b="0" l="0" r="0" t="0"/>
            <wp:docPr descr="None" title="" id="44" name="Picture"/>
            <a:graphic>
              <a:graphicData uri="http://schemas.openxmlformats.org/drawingml/2006/picture">
                <pic:pic>
                  <pic:nvPicPr>
                    <pic:cNvPr descr="../resources/5d6e0cb5d1819146788e38623797c93a2f73a30c" id="45" name="Picture"/>
                    <pic:cNvPicPr>
                      <a:picLocks noChangeArrowheads="1" noChangeAspect="1"/>
                    </pic:cNvPicPr>
                  </pic:nvPicPr>
                  <pic:blipFill>
                    <a:blip r:embed="rId43"/>
                    <a:stretch>
                      <a:fillRect/>
                    </a:stretch>
                  </pic:blipFill>
                  <pic:spPr bwMode="auto">
                    <a:xfrm>
                      <a:off x="0" y="0"/>
                      <a:ext cx="3743325" cy="361950"/>
                    </a:xfrm>
                    <a:prstGeom prst="rect">
                      <a:avLst/>
                    </a:prstGeom>
                    <a:noFill/>
                    <a:ln w="9525">
                      <a:noFill/>
                      <a:headEnd/>
                      <a:tailEnd/>
                    </a:ln>
                  </pic:spPr>
                </pic:pic>
              </a:graphicData>
            </a:graphic>
          </wp:inline>
        </w:drawing>
      </w:r>
    </w:p>
    <w:bookmarkEnd w:id="46"/>
    <w:p>
      <w:pPr>
        <w:pStyle w:val="NoteExampleGrey"/>
      </w:pPr>
      <w:r>
        <w:t xml:space="preserve">Using the bond energy values in</w:t>
      </w:r>
      <w:r>
        <w:t xml:space="preserve"> </w:t>
      </w:r>
      <w:hyperlink w:anchor="fs-idm44464336">
        <w:r>
          <w:rPr>
            <w:rStyle w:val="InternetLink"/>
          </w:rPr>
          <w:t xml:space="preserve">Table 7.3</w:t>
        </w:r>
      </w:hyperlink>
      <w:r>
        <w:t xml:space="preserve">, we obtain:</w:t>
      </w:r>
    </w:p>
    <w:bookmarkStart w:id="50" w:name="fs-idm103164880"/>
    <w:p>
      <w:pPr>
        <w:pStyle w:val="NoteExampleGrey"/>
      </w:pPr>
      <w:r>
        <w:drawing>
          <wp:inline>
            <wp:extent cx="3067050" cy="361950"/>
            <wp:effectExtent b="0" l="0" r="0" t="0"/>
            <wp:docPr descr="None" title="" id="48" name="Picture"/>
            <a:graphic>
              <a:graphicData uri="http://schemas.openxmlformats.org/drawingml/2006/picture">
                <pic:pic>
                  <pic:nvPicPr>
                    <pic:cNvPr descr="../resources/22ef1419378f505b09a1573f58a29b2e26459852" id="49" name="Picture"/>
                    <pic:cNvPicPr>
                      <a:picLocks noChangeArrowheads="1" noChangeAspect="1"/>
                    </pic:cNvPicPr>
                  </pic:nvPicPr>
                  <pic:blipFill>
                    <a:blip r:embed="rId47"/>
                    <a:stretch>
                      <a:fillRect/>
                    </a:stretch>
                  </pic:blipFill>
                  <pic:spPr bwMode="auto">
                    <a:xfrm>
                      <a:off x="0" y="0"/>
                      <a:ext cx="3067050" cy="361950"/>
                    </a:xfrm>
                    <a:prstGeom prst="rect">
                      <a:avLst/>
                    </a:prstGeom>
                    <a:noFill/>
                    <a:ln w="9525">
                      <a:noFill/>
                      <a:headEnd/>
                      <a:tailEnd/>
                    </a:ln>
                  </pic:spPr>
                </pic:pic>
              </a:graphicData>
            </a:graphic>
          </wp:inline>
        </w:drawing>
      </w:r>
    </w:p>
    <w:bookmarkEnd w:id="50"/>
    <w:p>
      <w:pPr>
        <w:pStyle w:val="NoteExampleGrey"/>
      </w:pPr>
      <w:r>
        <w:t xml:space="preserve">We can compare this value to the value calculated based on</w:t>
      </w:r>
      <w:r>
        <w:t xml:space="preserve"> </w:t>
      </w:r>
      <m:oMath>
        <m:r>
          <m:rPr>
            <m:nor/>
            <m:sty m:val="p"/>
          </m:rPr>
          <m:t>Δ</m:t>
        </m:r>
        <m:sSubSup>
          <m:e>
            <m:r>
              <m:t>H</m:t>
            </m:r>
          </m:e>
          <m:sub>
            <m:r>
              <m:rPr>
                <m:nor/>
                <m:sty m:val="p"/>
              </m:rPr>
              <m:t>f</m:t>
            </m:r>
          </m:sub>
          <m:sup>
            <m:sSup>
              <m:e>
                <m:r>
                  <m:t>​</m:t>
                </m:r>
              </m:e>
              <m:sup>
                <m:r>
                  <m:rPr>
                    <m:sty m:val="p"/>
                  </m:rPr>
                  <m:t>∘</m:t>
                </m:r>
              </m:sup>
            </m:sSup>
          </m:sup>
        </m:sSubSup>
      </m:oMath>
      <w:r>
        <w:t xml:space="preserve"> </w:t>
      </w:r>
      <w:r>
        <w:t xml:space="preserve">data from Appendix G:</w:t>
      </w:r>
    </w:p>
    <w:bookmarkStart w:id="54" w:name="fs-idp158903840"/>
    <w:p>
      <w:pPr>
        <w:pStyle w:val="NoteExampleGrey"/>
      </w:pPr>
      <w:r>
        <w:drawing>
          <wp:inline>
            <wp:extent cx="3724275" cy="600075"/>
            <wp:effectExtent b="0" l="0" r="0" t="0"/>
            <wp:docPr descr="None" title="" id="52" name="Picture"/>
            <a:graphic>
              <a:graphicData uri="http://schemas.openxmlformats.org/drawingml/2006/picture">
                <pic:pic>
                  <pic:nvPicPr>
                    <pic:cNvPr descr="../resources/064005f248fe5fd8337661ecfd39d359d65b23aa" id="53" name="Picture"/>
                    <pic:cNvPicPr>
                      <a:picLocks noChangeArrowheads="1" noChangeAspect="1"/>
                    </pic:cNvPicPr>
                  </pic:nvPicPr>
                  <pic:blipFill>
                    <a:blip r:embed="rId51"/>
                    <a:stretch>
                      <a:fillRect/>
                    </a:stretch>
                  </pic:blipFill>
                  <pic:spPr bwMode="auto">
                    <a:xfrm>
                      <a:off x="0" y="0"/>
                      <a:ext cx="3724275" cy="600075"/>
                    </a:xfrm>
                    <a:prstGeom prst="rect">
                      <a:avLst/>
                    </a:prstGeom>
                    <a:noFill/>
                    <a:ln w="9525">
                      <a:noFill/>
                      <a:headEnd/>
                      <a:tailEnd/>
                    </a:ln>
                  </pic:spPr>
                </pic:pic>
              </a:graphicData>
            </a:graphic>
          </wp:inline>
        </w:drawing>
      </w:r>
    </w:p>
    <w:bookmarkEnd w:id="54"/>
    <w:p>
      <w:pPr>
        <w:pStyle w:val="NoteExampleGrey"/>
      </w:pPr>
      <w:r>
        <w:t xml:space="preserve">Note that there is a fairly significant gap between the values calculated using the two different methods. This occurs because D values are the</w:t>
      </w:r>
      <w:r>
        <w:t xml:space="preserve"> </w:t>
      </w:r>
      <w:r>
        <w:rPr>
          <w:iCs/>
          <w:i/>
        </w:rPr>
        <w:t xml:space="preserve">average</w:t>
      </w:r>
      <w:r>
        <w:t xml:space="preserve"> </w:t>
      </w:r>
      <w:r>
        <w:t xml:space="preserve">of different bond strengths; therefore, they often give only rough agreement with other data.</w:t>
      </w:r>
    </w:p>
    <w:p>
      <w:pPr>
        <w:pStyle w:val="Heading4Grey"/>
      </w:pPr>
      <w:r>
        <w:t xml:space="preserve">Check Your Learning</w:t>
      </w:r>
    </w:p>
    <w:p>
      <w:pPr>
        <w:pStyle w:val="NoteExampleGrey"/>
      </w:pPr>
      <w:r>
        <w:t xml:space="preserve">Ethyl alcohol, CH</w:t>
      </w:r>
      <w:r>
        <w:rPr>
          <w:vertAlign w:val="subscript"/>
        </w:rPr>
        <w:t xml:space="preserve">3</w:t>
      </w:r>
      <w:r>
        <w:t xml:space="preserve">CH</w:t>
      </w:r>
      <w:r>
        <w:rPr>
          <w:vertAlign w:val="subscript"/>
        </w:rPr>
        <w:t xml:space="preserve">2</w:t>
      </w:r>
      <w:r>
        <w:t xml:space="preserve">OH, was one of the first organic chemicals deliberately synthesized by humans. It has many uses in industry, and it is the alcohol contained in alcoholic beverages. It can be obtained by the fermentation of sugar or synthesized by the hydration of ethylene in the following reaction:</w:t>
      </w:r>
      <w:r>
        <w:t xml:space="preserve"> </w:t>
      </w:r>
      <w:bookmarkStart w:id="58" w:name="fs-idp144672"/>
      <w:r>
        <w:t xml:space="preserve"> </w:t>
      </w:r>
      <w:r>
        <w:drawing>
          <wp:inline>
            <wp:extent cx="4457700" cy="653796"/>
            <wp:effectExtent b="0" l="0" r="0" t="0"/>
            <wp:docPr descr="A set of Lewis structures show a chemical reaction. The first structure shows two carbon atoms that are double bonded together and are each single bonded to two hydrogen atoms. This structure is followed by a plus sign, then an oxygen atom with two lone pairs of electrons single bonded to two hydrogen atoms. A right-facing arrow leads to a carbon atom single bonded to three hydrogen atoms and a second carbon atom. The second carbon atom is single bonded to two hydrogen atoms and an oxygen atom with two lone pairs of electrons. The oxygen atom is single bonded to a hydrogen atom as well." title="" id="56" name="Picture"/>
            <a:graphic>
              <a:graphicData uri="http://schemas.openxmlformats.org/drawingml/2006/picture">
                <pic:pic>
                  <pic:nvPicPr>
                    <pic:cNvPr descr="../resources/b51e49b075189e17f078ce61c5cc987afc82a47e" id="57" name="Picture"/>
                    <pic:cNvPicPr>
                      <a:picLocks noChangeArrowheads="1" noChangeAspect="1"/>
                    </pic:cNvPicPr>
                  </pic:nvPicPr>
                  <pic:blipFill>
                    <a:blip r:embed="rId55"/>
                    <a:stretch>
                      <a:fillRect/>
                    </a:stretch>
                  </pic:blipFill>
                  <pic:spPr bwMode="auto">
                    <a:xfrm>
                      <a:off x="0" y="0"/>
                      <a:ext cx="4457700" cy="653796"/>
                    </a:xfrm>
                    <a:prstGeom prst="rect">
                      <a:avLst/>
                    </a:prstGeom>
                    <a:noFill/>
                    <a:ln w="9525">
                      <a:noFill/>
                      <a:headEnd/>
                      <a:tailEnd/>
                    </a:ln>
                  </pic:spPr>
                </pic:pic>
              </a:graphicData>
            </a:graphic>
          </wp:inline>
        </w:drawing>
      </w:r>
      <w:r>
        <w:t xml:space="preserve"> </w:t>
      </w:r>
      <w:bookmarkEnd w:id="58"/>
    </w:p>
    <w:p>
      <w:pPr>
        <w:pStyle w:val="NoteExampleGrey"/>
      </w:pPr>
      <w:r>
        <w:t xml:space="preserve">Using the bond energies in</w:t>
      </w:r>
      <w:r>
        <w:t xml:space="preserve"> </w:t>
      </w:r>
      <w:hyperlink w:anchor="fs-idm44464336">
        <w:r>
          <w:rPr>
            <w:rStyle w:val="InternetLink"/>
          </w:rPr>
          <w:t xml:space="preserve">Table 7.3</w:t>
        </w:r>
      </w:hyperlink>
      <w:r>
        <w:t xml:space="preserve">, calculate an approximate enthalpy change, Δ</w:t>
      </w:r>
      <w:r>
        <w:rPr>
          <w:iCs/>
          <w:i/>
        </w:rPr>
        <w:t xml:space="preserve">H</w:t>
      </w:r>
      <w:r>
        <w:t xml:space="preserve">, for this reaction.</w:t>
      </w:r>
    </w:p>
    <w:bookmarkStart w:id="59" w:name="fs-idp88406224"/>
    <w:p>
      <w:pPr>
        <w:pStyle w:val="Heading3Grey"/>
      </w:pPr>
      <w:r>
        <w:t xml:space="preserve">Answer:</w:t>
      </w:r>
    </w:p>
    <w:p>
      <w:pPr>
        <w:pStyle w:val="NoteExampleGrey"/>
      </w:pPr>
      <w:r>
        <w:t xml:space="preserve">–35 kJ</w:t>
      </w:r>
    </w:p>
    <w:bookmarkEnd w:id="59"/>
    <w:bookmarkEnd w:id="60"/>
    <w:bookmarkEnd w:id="61"/>
    <w:bookmarkEnd w:id="62"/>
    <w:bookmarkStart w:id="69" w:name="fs-idm34679504"/>
    <w:bookmarkStart w:id="68" w:name="ionic-bond-strength-and-lattice-energy"/>
    <w:p>
      <w:pPr>
        <w:pStyle w:val="Heading3"/>
      </w:pPr>
      <w:r>
        <w:t xml:space="preserve">Ionic Bond Strength and Lattice Energy</w:t>
      </w:r>
    </w:p>
    <w:p>
      <w:pPr>
        <w:pStyle w:val="FirstParagraph"/>
      </w:pPr>
      <w:r>
        <w:t xml:space="preserve">An ionic compound is stable because of the electrostatic attraction between its positive and negative ions. The lattice energy of a compound is a measure of the strength of this attraction. The</w:t>
      </w:r>
      <w:r>
        <w:t xml:space="preserve"> </w:t>
      </w:r>
      <w:bookmarkStart w:id="63" w:name="term-00001"/>
      <w:r>
        <w:t xml:space="preserve">lattice energy (Δ</w:t>
      </w:r>
      <w:r>
        <w:rPr>
          <w:iCs/>
          <w:i/>
        </w:rPr>
        <w:t xml:space="preserve">H</w:t>
      </w:r>
      <w:r>
        <w:rPr>
          <w:vertAlign w:val="subscript"/>
        </w:rPr>
        <w:t xml:space="preserve">lattice</w:t>
      </w:r>
      <w:r>
        <w:t xml:space="preserve">)</w:t>
      </w:r>
      <w:bookmarkEnd w:id="63"/>
      <w:r>
        <w:t xml:space="preserve"> </w:t>
      </w:r>
      <w:r>
        <w:t xml:space="preserve">of an ionic compound is defined as the energy required to separate one mole of the solid into its component gaseous ions. For the ionic solid MX, the lattice energy is the enthalpy change of the process:</w:t>
      </w:r>
    </w:p>
    <w:bookmarkStart w:id="64" w:name="fs-idp69066736"/>
    <w:p>
      <w:pPr>
        <w:pStyle w:val="TextBody"/>
      </w:pPr>
      <m:oMath>
        <m:r>
          <m:rPr>
            <m:nor/>
            <m:sty m:val="p"/>
          </m:rPr>
          <m:t>MX</m:t>
        </m:r>
        <m:d>
          <m:dPr>
            <m:begChr m:val="("/>
            <m:endChr m:val=")"/>
            <m:sepChr m:val=""/>
            <m:grow/>
          </m:dPr>
          <m:e>
            <m:r>
              <m:t>s</m:t>
            </m:r>
          </m:e>
        </m:d>
        <m:r>
          <m:t> </m:t>
        </m:r>
        <m:r>
          <m:rPr>
            <m:sty m:val="p"/>
          </m:rPr>
          <m:t>→</m:t>
        </m:r>
        <m:r>
          <m:t> </m:t>
        </m:r>
        <m:sSup>
          <m:e>
            <m:r>
              <m:rPr>
                <m:nor/>
                <m:sty m:val="p"/>
              </m:rPr>
              <m:t>M</m:t>
            </m:r>
          </m:e>
          <m:sup>
            <m:r>
              <m:t>n</m:t>
            </m:r>
            <m:r>
              <m:rPr>
                <m:nor/>
                <m:sty m:val="p"/>
              </m:rPr>
              <m:t>+</m:t>
            </m:r>
          </m:sup>
        </m:sSup>
        <m:d>
          <m:dPr>
            <m:begChr m:val="("/>
            <m:endChr m:val=")"/>
            <m:sepChr m:val=""/>
            <m:grow/>
          </m:dPr>
          <m:e>
            <m:r>
              <m:t>g</m:t>
            </m:r>
          </m:e>
        </m:d>
        <m:r>
          <m:rPr>
            <m:sty m:val="p"/>
          </m:rPr>
          <m:t>+</m:t>
        </m:r>
        <m:sSup>
          <m:e>
            <m:r>
              <m:rPr>
                <m:nor/>
                <m:sty m:val="p"/>
              </m:rPr>
              <m:t>X</m:t>
            </m:r>
          </m:e>
          <m:sup>
            <m:r>
              <m:t>n</m:t>
            </m:r>
            <m:r>
              <m:rPr>
                <m:nor/>
                <m:sty m:val="p"/>
              </m:rPr>
              <m:t>−</m:t>
            </m:r>
          </m:sup>
        </m:sSup>
        <m:d>
          <m:dPr>
            <m:begChr m:val="("/>
            <m:endChr m:val=")"/>
            <m:sepChr m:val=""/>
            <m:grow/>
          </m:dPr>
          <m:e>
            <m:r>
              <m:t>g</m:t>
            </m:r>
          </m:e>
        </m:d>
        <m:r>
          <m:t>  </m:t>
        </m:r>
        <m:r>
          <m:rPr>
            <m:nor/>
            <m:sty m:val="p"/>
          </m:rPr>
          <m:t>Δ</m:t>
        </m:r>
        <m:sSub>
          <m:e>
            <m:r>
              <m:t>H</m:t>
            </m:r>
          </m:e>
          <m:sub>
            <m:r>
              <m:rPr>
                <m:nor/>
                <m:sty m:val="p"/>
              </m:rPr>
              <m:t>lattice</m:t>
            </m:r>
          </m:sub>
        </m:sSub>
      </m:oMath>
    </w:p>
    <w:bookmarkEnd w:id="64"/>
    <w:p>
      <w:pPr>
        <w:pStyle w:val="TextBody"/>
      </w:pPr>
      <w:r>
        <w:t xml:space="preserve">Note that we are using the convention where the ionic solid is separated into ions, so our lattice energies will be</w:t>
      </w:r>
      <w:r>
        <w:t xml:space="preserve"> </w:t>
      </w:r>
      <w:r>
        <w:rPr>
          <w:iCs/>
          <w:i/>
        </w:rPr>
        <w:t xml:space="preserve">endothermic</w:t>
      </w:r>
      <w:r>
        <w:t xml:space="preserve"> </w:t>
      </w:r>
      <w:r>
        <w:t xml:space="preserve">(positive values). Some texts use the equivalent but opposite convention, defining lattice energy as the energy released when separate ions combine to form a lattice and giving negative (exothermic) values. Thus, if you are looking up lattice energies in another reference, be certain to check which definition is being used. In both cases, a larger magnitude for lattice energy indicates a more stable ionic compound. For sodium chloride, Δ</w:t>
      </w:r>
      <w:r>
        <w:rPr>
          <w:iCs/>
          <w:i/>
        </w:rPr>
        <w:t xml:space="preserve">H</w:t>
      </w:r>
      <w:r>
        <w:rPr>
          <w:vertAlign w:val="subscript"/>
        </w:rPr>
        <w:t xml:space="preserve">lattice</w:t>
      </w:r>
      <w:r>
        <w:t xml:space="preserve"> </w:t>
      </w:r>
      <w:r>
        <w:t xml:space="preserve">= 769 kJ. Thus, it requires 769 kJ to separate one mole of solid NaCl into gaseous Na</w:t>
      </w:r>
      <w:r>
        <w:rPr>
          <w:vertAlign w:val="superscript"/>
        </w:rPr>
        <w:t xml:space="preserve">+</w:t>
      </w:r>
      <w:r>
        <w:t xml:space="preserve"> </w:t>
      </w:r>
      <w:r>
        <w:t xml:space="preserve">and Cl</w:t>
      </w:r>
      <w:r>
        <w:rPr>
          <w:vertAlign w:val="superscript"/>
        </w:rPr>
        <w:t xml:space="preserve">–</w:t>
      </w:r>
      <w:r>
        <w:t xml:space="preserve"> </w:t>
      </w:r>
      <w:r>
        <w:t xml:space="preserve">ions. When one mole each of gaseous Na</w:t>
      </w:r>
      <w:r>
        <w:rPr>
          <w:vertAlign w:val="superscript"/>
        </w:rPr>
        <w:t xml:space="preserve">+</w:t>
      </w:r>
      <w:r>
        <w:t xml:space="preserve"> </w:t>
      </w:r>
      <w:r>
        <w:t xml:space="preserve">and Cl</w:t>
      </w:r>
      <w:r>
        <w:rPr>
          <w:vertAlign w:val="superscript"/>
        </w:rPr>
        <w:t xml:space="preserve">–</w:t>
      </w:r>
      <w:r>
        <w:t xml:space="preserve"> </w:t>
      </w:r>
      <w:r>
        <w:t xml:space="preserve">ions form solid NaCl, 769 kJ of heat is released.</w:t>
      </w:r>
    </w:p>
    <w:p>
      <w:pPr>
        <w:pStyle w:val="TextBody"/>
      </w:pPr>
      <w:r>
        <w:t xml:space="preserve">The lattice energy Δ</w:t>
      </w:r>
      <w:r>
        <w:rPr>
          <w:iCs/>
          <w:i/>
        </w:rPr>
        <w:t xml:space="preserve">H</w:t>
      </w:r>
      <w:r>
        <w:rPr>
          <w:vertAlign w:val="subscript"/>
        </w:rPr>
        <w:t xml:space="preserve">lattice</w:t>
      </w:r>
      <w:r>
        <w:t xml:space="preserve"> </w:t>
      </w:r>
      <w:r>
        <w:t xml:space="preserve">of an ionic crystal can be expressed by the following equation (derived from Coulomb’s law, governing the forces between electric charges):</w:t>
      </w:r>
    </w:p>
    <w:bookmarkStart w:id="65" w:name="fs-idm6917696"/>
    <w:p>
      <w:pPr>
        <w:pStyle w:val="TextBody"/>
      </w:pPr>
      <m:oMath>
        <m:r>
          <m:rPr>
            <m:nor/>
            <m:sty m:val="p"/>
          </m:rPr>
          <m:t>Δ</m:t>
        </m:r>
        <m:sSub>
          <m:e>
            <m:r>
              <m:t>H</m:t>
            </m:r>
          </m:e>
          <m:sub>
            <m:r>
              <m:rPr>
                <m:nor/>
                <m:sty m:val="p"/>
              </m:rPr>
              <m:t>lattice</m:t>
            </m:r>
          </m:sub>
        </m:sSub>
        <m:r>
          <m:rPr>
            <m:sty m:val="p"/>
          </m:rPr>
          <m:t>=</m:t>
        </m:r>
        <m:r>
          <m:t> </m:t>
        </m:r>
        <m:f>
          <m:fPr>
            <m:type m:val="bar"/>
          </m:fPr>
          <m:num>
            <m:r>
              <m:rPr>
                <m:nor/>
                <m:sty m:val="p"/>
              </m:rPr>
              <m:t>C</m:t>
            </m:r>
            <m:d>
              <m:dPr>
                <m:begChr m:val="("/>
                <m:endChr m:val=")"/>
                <m:sepChr m:val=""/>
                <m:grow/>
              </m:dPr>
              <m:e>
                <m:sSup>
                  <m:e>
                    <m:r>
                      <m:rPr>
                        <m:nor/>
                        <m:sty m:val="p"/>
                      </m:rPr>
                      <m:t>Z</m:t>
                    </m:r>
                  </m:e>
                  <m:sup>
                    <m:r>
                      <m:rPr>
                        <m:nor/>
                        <m:sty m:val="p"/>
                      </m:rPr>
                      <m:t>+</m:t>
                    </m:r>
                  </m:sup>
                </m:sSup>
              </m:e>
            </m:d>
            <m:d>
              <m:dPr>
                <m:begChr m:val="("/>
                <m:endChr m:val=")"/>
                <m:sepChr m:val=""/>
                <m:grow/>
              </m:dPr>
              <m:e>
                <m:sSup>
                  <m:e>
                    <m:r>
                      <m:rPr>
                        <m:nor/>
                        <m:sty m:val="p"/>
                      </m:rPr>
                      <m:t>Z</m:t>
                    </m:r>
                  </m:e>
                  <m:sup>
                    <m:r>
                      <m:rPr>
                        <m:nor/>
                        <m:sty m:val="p"/>
                      </m:rPr>
                      <m:t>−</m:t>
                    </m:r>
                  </m:sup>
                </m:sSup>
              </m:e>
            </m:d>
          </m:num>
          <m:den>
            <m:sSub>
              <m:e>
                <m:r>
                  <m:rPr>
                    <m:nor/>
                    <m:sty m:val="p"/>
                  </m:rPr>
                  <m:t>R</m:t>
                </m:r>
              </m:e>
              <m:sub>
                <m:r>
                  <m:rPr>
                    <m:nor/>
                    <m:sty m:val="p"/>
                  </m:rPr>
                  <m:t>o</m:t>
                </m:r>
              </m:sub>
            </m:sSub>
          </m:den>
        </m:f>
      </m:oMath>
    </w:p>
    <w:bookmarkEnd w:id="65"/>
    <w:p>
      <w:pPr>
        <w:pStyle w:val="TextBody"/>
      </w:pPr>
      <w:r>
        <w:t xml:space="preserve">in which C is a constant that depends on the type of crystal structure; Z</w:t>
      </w:r>
      <w:r>
        <w:rPr>
          <w:vertAlign w:val="superscript"/>
        </w:rPr>
        <w:t xml:space="preserve">+</w:t>
      </w:r>
      <w:r>
        <w:t xml:space="preserve"> </w:t>
      </w:r>
      <w:r>
        <w:t xml:space="preserve">and Z</w:t>
      </w:r>
      <w:r>
        <w:rPr>
          <w:vertAlign w:val="superscript"/>
        </w:rPr>
        <w:t xml:space="preserve">–</w:t>
      </w:r>
      <w:r>
        <w:t xml:space="preserve"> </w:t>
      </w:r>
      <w:r>
        <w:t xml:space="preserve">are the charges on the ions; and R</w:t>
      </w:r>
      <w:r>
        <w:rPr>
          <w:vertAlign w:val="subscript"/>
        </w:rPr>
        <w:t xml:space="preserve">o</w:t>
      </w:r>
      <w:r>
        <w:t xml:space="preserve"> </w:t>
      </w:r>
      <w:r>
        <w:t xml:space="preserve">is the interionic distance (the sum of the radii of the positive and negative ions). Thus, the lattice energy of an ionic crystal increases rapidly as the charges of the ions increase and the sizes of the ions decrease. When all other parameters are kept constant, doubling the charge of both the cation and anion quadruples the lattice energy. For example, the lattice energy of LiF (Z</w:t>
      </w:r>
      <w:r>
        <w:rPr>
          <w:vertAlign w:val="superscript"/>
        </w:rPr>
        <w:t xml:space="preserve">+</w:t>
      </w:r>
      <w:r>
        <w:t xml:space="preserve"> </w:t>
      </w:r>
      <w:r>
        <w:t xml:space="preserve">and Z</w:t>
      </w:r>
      <w:r>
        <w:rPr>
          <w:vertAlign w:val="superscript"/>
        </w:rPr>
        <w:t xml:space="preserve">–</w:t>
      </w:r>
      <w:r>
        <w:t xml:space="preserve"> </w:t>
      </w:r>
      <w:r>
        <w:t xml:space="preserve">= 1) is 1023 kJ/mol, whereas that of MgO (Z</w:t>
      </w:r>
      <w:r>
        <w:rPr>
          <w:vertAlign w:val="superscript"/>
        </w:rPr>
        <w:t xml:space="preserve">+</w:t>
      </w:r>
      <w:r>
        <w:t xml:space="preserve"> </w:t>
      </w:r>
      <w:r>
        <w:t xml:space="preserve">and Z</w:t>
      </w:r>
      <w:r>
        <w:rPr>
          <w:vertAlign w:val="superscript"/>
        </w:rPr>
        <w:t xml:space="preserve">–</w:t>
      </w:r>
      <w:r>
        <w:t xml:space="preserve"> </w:t>
      </w:r>
      <w:r>
        <w:t xml:space="preserve">= 2) is 3900 kJ/mol (R</w:t>
      </w:r>
      <w:r>
        <w:rPr>
          <w:vertAlign w:val="subscript"/>
        </w:rPr>
        <w:t xml:space="preserve">o</w:t>
      </w:r>
      <w:r>
        <w:t xml:space="preserve"> </w:t>
      </w:r>
      <w:r>
        <w:t xml:space="preserve">is nearly the same—about 200 pm for both compounds).</w:t>
      </w:r>
    </w:p>
    <w:p>
      <w:pPr>
        <w:pStyle w:val="TextBody"/>
      </w:pPr>
      <w:r>
        <w:t xml:space="preserve">Different interatomic distances produce different lattice energies. For example, we can compare the lattice energy of MgF</w:t>
      </w:r>
      <w:r>
        <w:rPr>
          <w:vertAlign w:val="subscript"/>
        </w:rPr>
        <w:t xml:space="preserve">2</w:t>
      </w:r>
      <w:r>
        <w:t xml:space="preserve"> </w:t>
      </w:r>
      <w:r>
        <w:t xml:space="preserve">(2957 kJ/mol) to that of MgI</w:t>
      </w:r>
      <w:r>
        <w:rPr>
          <w:vertAlign w:val="subscript"/>
        </w:rPr>
        <w:t xml:space="preserve">2</w:t>
      </w:r>
      <w:r>
        <w:t xml:space="preserve"> </w:t>
      </w:r>
      <w:r>
        <w:t xml:space="preserve">(2327 kJ/mol) to observe the effect on lattice energy of the smaller ionic size of F</w:t>
      </w:r>
      <w:r>
        <w:rPr>
          <w:vertAlign w:val="superscript"/>
        </w:rPr>
        <w:t xml:space="preserve">–</w:t>
      </w:r>
      <w:r>
        <w:t xml:space="preserve"> </w:t>
      </w:r>
      <w:r>
        <w:t xml:space="preserve">as compared to I</w:t>
      </w:r>
      <w:r>
        <w:rPr>
          <w:vertAlign w:val="superscript"/>
        </w:rPr>
        <w:t xml:space="preserve">–</w:t>
      </w:r>
      <w:r>
        <w:t xml:space="preserve">.</w:t>
      </w:r>
    </w:p>
    <w:bookmarkStart w:id="67" w:name="fs-idp16649648"/>
    <w:p>
      <w:pPr>
        <w:pStyle w:val="Heading3Grey"/>
      </w:pPr>
      <w:r>
        <w:t xml:space="preserve">Example</w:t>
      </w:r>
      <w:r>
        <w:t xml:space="preserve"> </w:t>
      </w:r>
      <w:r>
        <w:t xml:space="preserve"> </w:t>
      </w:r>
      <w:r>
        <w:t xml:space="preserve">7.10</w:t>
      </w:r>
      <w:r>
        <w:t xml:space="preserve"> </w:t>
      </w:r>
      <w:r>
        <w:t xml:space="preserve"> </w:t>
      </w:r>
    </w:p>
    <w:p>
      <w:pPr>
        <w:pStyle w:val="Heading4Grey"/>
      </w:pPr>
      <w:r>
        <w:t xml:space="preserve">Lattice Energy Comparisons</w:t>
      </w:r>
    </w:p>
    <w:p>
      <w:pPr>
        <w:pStyle w:val="NoteExampleGrey"/>
      </w:pPr>
      <w:r>
        <w:t xml:space="preserve">The precious gem ruby is aluminum oxide, Al</w:t>
      </w:r>
      <w:r>
        <w:rPr>
          <w:vertAlign w:val="subscript"/>
        </w:rPr>
        <w:t xml:space="preserve">2</w:t>
      </w:r>
      <w:r>
        <w:t xml:space="preserve">O</w:t>
      </w:r>
      <w:r>
        <w:rPr>
          <w:vertAlign w:val="subscript"/>
        </w:rPr>
        <w:t xml:space="preserve">3</w:t>
      </w:r>
      <w:r>
        <w:t xml:space="preserve">, containing traces of Cr</w:t>
      </w:r>
      <w:r>
        <w:rPr>
          <w:vertAlign w:val="superscript"/>
        </w:rPr>
        <w:t xml:space="preserve">3+</w:t>
      </w:r>
      <w:r>
        <w:t xml:space="preserve">. The compound Al</w:t>
      </w:r>
      <w:r>
        <w:rPr>
          <w:vertAlign w:val="subscript"/>
        </w:rPr>
        <w:t xml:space="preserve">2</w:t>
      </w:r>
      <w:r>
        <w:t xml:space="preserve">Se</w:t>
      </w:r>
      <w:r>
        <w:rPr>
          <w:vertAlign w:val="subscript"/>
        </w:rPr>
        <w:t xml:space="preserve">3</w:t>
      </w:r>
      <w:r>
        <w:t xml:space="preserve"> </w:t>
      </w:r>
      <w:r>
        <w:t xml:space="preserve">is used in the fabrication of some semiconductor devices. Which has the larger lattice energy, Al</w:t>
      </w:r>
      <w:r>
        <w:rPr>
          <w:vertAlign w:val="subscript"/>
        </w:rPr>
        <w:t xml:space="preserve">2</w:t>
      </w:r>
      <w:r>
        <w:t xml:space="preserve">O</w:t>
      </w:r>
      <w:r>
        <w:rPr>
          <w:vertAlign w:val="subscript"/>
        </w:rPr>
        <w:t xml:space="preserve">3</w:t>
      </w:r>
      <w:r>
        <w:t xml:space="preserve"> </w:t>
      </w:r>
      <w:r>
        <w:t xml:space="preserve">or Al</w:t>
      </w:r>
      <w:r>
        <w:rPr>
          <w:vertAlign w:val="subscript"/>
        </w:rPr>
        <w:t xml:space="preserve">2</w:t>
      </w:r>
      <w:r>
        <w:t xml:space="preserve">Se</w:t>
      </w:r>
      <w:r>
        <w:rPr>
          <w:vertAlign w:val="subscript"/>
        </w:rPr>
        <w:t xml:space="preserve">3</w:t>
      </w:r>
      <w:r>
        <w:t xml:space="preserve">?</w:t>
      </w:r>
    </w:p>
    <w:p>
      <w:pPr>
        <w:pStyle w:val="Heading4Grey"/>
      </w:pPr>
      <w:r>
        <w:t xml:space="preserve">Solution</w:t>
      </w:r>
    </w:p>
    <w:p>
      <w:pPr>
        <w:pStyle w:val="NoteExampleGrey"/>
      </w:pPr>
      <w:r>
        <w:t xml:space="preserve">In these two ionic compounds, the charges Z</w:t>
      </w:r>
      <w:r>
        <w:rPr>
          <w:vertAlign w:val="superscript"/>
        </w:rPr>
        <w:t xml:space="preserve">+</w:t>
      </w:r>
      <w:r>
        <w:t xml:space="preserve"> </w:t>
      </w:r>
      <w:r>
        <w:t xml:space="preserve">and Z</w:t>
      </w:r>
      <w:r>
        <w:rPr>
          <w:vertAlign w:val="superscript"/>
        </w:rPr>
        <w:t xml:space="preserve">–</w:t>
      </w:r>
      <w:r>
        <w:t xml:space="preserve"> </w:t>
      </w:r>
      <w:r>
        <w:t xml:space="preserve">are the same, so the difference in lattice energy will depend upon R</w:t>
      </w:r>
      <w:r>
        <w:rPr>
          <w:vertAlign w:val="subscript"/>
        </w:rPr>
        <w:t xml:space="preserve">o</w:t>
      </w:r>
      <w:r>
        <w:t xml:space="preserve">. The O</w:t>
      </w:r>
      <w:r>
        <w:rPr>
          <w:vertAlign w:val="superscript"/>
        </w:rPr>
        <w:t xml:space="preserve">2–</w:t>
      </w:r>
      <w:r>
        <w:t xml:space="preserve"> </w:t>
      </w:r>
      <w:r>
        <w:t xml:space="preserve">ion is smaller than the Se</w:t>
      </w:r>
      <w:r>
        <w:rPr>
          <w:vertAlign w:val="superscript"/>
        </w:rPr>
        <w:t xml:space="preserve">2–</w:t>
      </w:r>
      <w:r>
        <w:t xml:space="preserve"> </w:t>
      </w:r>
      <w:r>
        <w:t xml:space="preserve">ion. Thus, Al</w:t>
      </w:r>
      <w:r>
        <w:rPr>
          <w:vertAlign w:val="subscript"/>
        </w:rPr>
        <w:t xml:space="preserve">2</w:t>
      </w:r>
      <w:r>
        <w:t xml:space="preserve">O</w:t>
      </w:r>
      <w:r>
        <w:rPr>
          <w:vertAlign w:val="subscript"/>
        </w:rPr>
        <w:t xml:space="preserve">3</w:t>
      </w:r>
      <w:r>
        <w:t xml:space="preserve"> </w:t>
      </w:r>
      <w:r>
        <w:t xml:space="preserve">would have a shorter interionic distance than Al</w:t>
      </w:r>
      <w:r>
        <w:rPr>
          <w:vertAlign w:val="subscript"/>
        </w:rPr>
        <w:t xml:space="preserve">2</w:t>
      </w:r>
      <w:r>
        <w:t xml:space="preserve">Se</w:t>
      </w:r>
      <w:r>
        <w:rPr>
          <w:vertAlign w:val="subscript"/>
        </w:rPr>
        <w:t xml:space="preserve">3</w:t>
      </w:r>
      <w:r>
        <w:t xml:space="preserve">, and Al</w:t>
      </w:r>
      <w:r>
        <w:rPr>
          <w:vertAlign w:val="subscript"/>
        </w:rPr>
        <w:t xml:space="preserve">2</w:t>
      </w:r>
      <w:r>
        <w:t xml:space="preserve">O</w:t>
      </w:r>
      <w:r>
        <w:rPr>
          <w:vertAlign w:val="subscript"/>
        </w:rPr>
        <w:t xml:space="preserve">3</w:t>
      </w:r>
      <w:r>
        <w:t xml:space="preserve"> </w:t>
      </w:r>
      <w:r>
        <w:t xml:space="preserve">would have the larger lattice energy.</w:t>
      </w:r>
    </w:p>
    <w:p>
      <w:pPr>
        <w:pStyle w:val="Heading4Grey"/>
      </w:pPr>
      <w:r>
        <w:t xml:space="preserve">Check Your Learning</w:t>
      </w:r>
    </w:p>
    <w:p>
      <w:pPr>
        <w:pStyle w:val="NoteExampleGrey"/>
      </w:pPr>
      <w:r>
        <w:t xml:space="preserve">Zinc oxide, ZnO, is a very effective sunscreen. How would the lattice energy of ZnO compare to that of NaCl?</w:t>
      </w:r>
    </w:p>
    <w:bookmarkStart w:id="66" w:name="fs-idp176836208"/>
    <w:p>
      <w:pPr>
        <w:pStyle w:val="Heading3Grey"/>
      </w:pPr>
      <w:r>
        <w:t xml:space="preserve">Answer:</w:t>
      </w:r>
    </w:p>
    <w:p>
      <w:pPr>
        <w:pStyle w:val="NoteExampleGrey"/>
      </w:pPr>
      <w:r>
        <w:t xml:space="preserve">ZnO would have the larger lattice energy because the Z values of both the cation and the anion in ZnO are greater, and the interionic distance of ZnO is smaller than that of NaCl.</w:t>
      </w:r>
    </w:p>
    <w:bookmarkEnd w:id="66"/>
    <w:bookmarkEnd w:id="67"/>
    <w:bookmarkEnd w:id="68"/>
    <w:bookmarkEnd w:id="69"/>
    <w:bookmarkStart w:id="81" w:name="fs-idp112167568"/>
    <w:bookmarkStart w:id="80" w:name="the-born-haber-cycle"/>
    <w:p>
      <w:pPr>
        <w:pStyle w:val="Heading3"/>
      </w:pPr>
      <w:r>
        <w:t xml:space="preserve">The Born-Haber Cycle</w:t>
      </w:r>
    </w:p>
    <w:p>
      <w:pPr>
        <w:pStyle w:val="FirstParagraph"/>
      </w:pPr>
      <w:r>
        <w:t xml:space="preserve">It is not possible to measure lattice energies directly. However, the lattice energy can be calculated using the equation given in the previous section or by using a thermochemical cycle. The</w:t>
      </w:r>
      <w:r>
        <w:t xml:space="preserve"> </w:t>
      </w:r>
      <w:bookmarkStart w:id="70" w:name="term-00002"/>
      <w:r>
        <w:t xml:space="preserve">Born-Haber cycle</w:t>
      </w:r>
      <w:bookmarkEnd w:id="70"/>
      <w:r>
        <w:t xml:space="preserve"> </w:t>
      </w:r>
      <w:r>
        <w:t xml:space="preserve">is an application of Hess’s law that breaks down the formation of an ionic solid into a series of individual steps:</w:t>
      </w:r>
    </w:p>
    <w:p>
      <w:pPr>
        <w:numPr>
          <w:ilvl w:val="0"/>
          <w:numId w:val="1002"/>
        </w:numPr>
        <w:pStyle w:val="Compact"/>
      </w:pPr>
      <m:oMath>
        <m:r>
          <m:rPr>
            <m:nor/>
            <m:sty m:val="p"/>
          </m:rPr>
          <m:t>Δ</m:t>
        </m:r>
        <m:sSubSup>
          <m:e>
            <m:r>
              <m:t>H</m:t>
            </m:r>
          </m:e>
          <m:sub>
            <m:r>
              <m:rPr>
                <m:nor/>
                <m:sty m:val="p"/>
              </m:rPr>
              <m:t>f</m:t>
            </m:r>
          </m:sub>
          <m:sup>
            <m:sSup>
              <m:e>
                <m:r>
                  <m:t>​</m:t>
                </m:r>
              </m:e>
              <m:sup>
                <m:r>
                  <m:rPr>
                    <m:sty m:val="p"/>
                  </m:rPr>
                  <m:t>∘</m:t>
                </m:r>
              </m:sup>
            </m:sSup>
          </m:sup>
        </m:sSubSup>
        <m:r>
          <m:rPr>
            <m:sty m:val="p"/>
          </m:rPr>
          <m:t>,</m:t>
        </m:r>
      </m:oMath>
      <w:r>
        <w:t xml:space="preserve"> </w:t>
      </w:r>
      <w:r>
        <w:t xml:space="preserve">the standard enthalpy of formation of the compound</w:t>
      </w:r>
    </w:p>
    <w:p>
      <w:pPr>
        <w:numPr>
          <w:ilvl w:val="0"/>
          <w:numId w:val="1002"/>
        </w:numPr>
        <w:pStyle w:val="Compact"/>
      </w:pPr>
      <w:r>
        <w:rPr>
          <w:iCs/>
          <w:i/>
        </w:rPr>
        <w:t xml:space="preserve">IE</w:t>
      </w:r>
      <w:r>
        <w:t xml:space="preserve">, the ionization energy of the metal</w:t>
      </w:r>
    </w:p>
    <w:p>
      <w:pPr>
        <w:numPr>
          <w:ilvl w:val="0"/>
          <w:numId w:val="1002"/>
        </w:numPr>
        <w:pStyle w:val="Compact"/>
      </w:pPr>
      <w:r>
        <w:rPr>
          <w:iCs/>
          <w:i/>
        </w:rPr>
        <w:t xml:space="preserve">EA</w:t>
      </w:r>
      <w:r>
        <w:t xml:space="preserve">, the electron affinity of the nonmetal</w:t>
      </w:r>
    </w:p>
    <w:p>
      <w:pPr>
        <w:numPr>
          <w:ilvl w:val="0"/>
          <w:numId w:val="1002"/>
        </w:numPr>
        <w:pStyle w:val="Compact"/>
      </w:pPr>
      <m:oMath>
        <m:r>
          <m:rPr>
            <m:nor/>
            <m:sty m:val="p"/>
          </m:rPr>
          <m:t>Δ</m:t>
        </m:r>
        <m:sSubSup>
          <m:e>
            <m:r>
              <m:t>H</m:t>
            </m:r>
          </m:e>
          <m:sub>
            <m:r>
              <m:t>s</m:t>
            </m:r>
          </m:sub>
          <m:sup>
            <m:sSup>
              <m:e>
                <m:r>
                  <m:t>​</m:t>
                </m:r>
              </m:e>
              <m:sup>
                <m:r>
                  <m:rPr>
                    <m:sty m:val="p"/>
                  </m:rPr>
                  <m:t>∘</m:t>
                </m:r>
              </m:sup>
            </m:sSup>
          </m:sup>
        </m:sSubSup>
        <m:r>
          <m:rPr>
            <m:sty m:val="p"/>
          </m:rPr>
          <m:t>,</m:t>
        </m:r>
      </m:oMath>
      <w:r>
        <w:t xml:space="preserve"> </w:t>
      </w:r>
      <w:r>
        <w:t xml:space="preserve">the enthalpy of sublimation of the metal</w:t>
      </w:r>
    </w:p>
    <w:p>
      <w:pPr>
        <w:numPr>
          <w:ilvl w:val="0"/>
          <w:numId w:val="1002"/>
        </w:numPr>
        <w:pStyle w:val="Compact"/>
      </w:pPr>
      <w:r>
        <w:rPr>
          <w:iCs/>
          <w:i/>
        </w:rPr>
        <w:t xml:space="preserve">D</w:t>
      </w:r>
      <w:r>
        <w:t xml:space="preserve">, the bond dissociation energy of the nonmetal</w:t>
      </w:r>
    </w:p>
    <w:p>
      <w:pPr>
        <w:numPr>
          <w:ilvl w:val="0"/>
          <w:numId w:val="1002"/>
        </w:numPr>
        <w:pStyle w:val="Compact"/>
      </w:pPr>
      <w:r>
        <w:t xml:space="preserve">Δ</w:t>
      </w:r>
      <w:r>
        <w:rPr>
          <w:iCs/>
          <w:i/>
        </w:rPr>
        <w:t xml:space="preserve">H</w:t>
      </w:r>
      <w:r>
        <w:rPr>
          <w:vertAlign w:val="subscript"/>
        </w:rPr>
        <w:t xml:space="preserve">lattice</w:t>
      </w:r>
      <w:r>
        <w:t xml:space="preserve">, the lattice energy of the compound</w:t>
      </w:r>
    </w:p>
    <w:p>
      <w:pPr>
        <w:pStyle w:val="FirstParagraph"/>
      </w:pPr>
      <w:hyperlink w:anchor="CNX_Chem_07_05_BornHaber">
        <w:r>
          <w:rPr>
            <w:rStyle w:val="InternetLink"/>
          </w:rPr>
          <w:t xml:space="preserve">Figure 7.13</w:t>
        </w:r>
      </w:hyperlink>
      <w:r>
        <w:t xml:space="preserve"> </w:t>
      </w:r>
      <w:r>
        <w:t xml:space="preserve">diagrams the Born-Haber cycle for the formation of solid cesium fluoride.</w:t>
      </w:r>
    </w:p>
    <w:tbl>
      <w:tblPr>
        <w:tblStyle w:val="FigureTable"/>
        <w:tblW w:type="auto" w:w="0"/>
        <w:tblLook w:firstRow="0" w:lastRow="0" w:firstColumn="0" w:lastColumn="0"/>
        <w:jc w:val="center"/>
      </w:tblPr>
      <w:tblGrid>
        <w:gridCol w:w="7920"/>
      </w:tblGrid>
      <w:tr>
        <w:tc>
          <w:tcPr/>
          <w:p>
            <w:pPr>
              <w:pStyle w:val="Compact"/>
              <w:jc w:val="center"/>
            </w:pPr>
            <w:bookmarkStart w:id="74" w:name="fs-idp9559440"/>
            <w:r>
              <w:t xml:space="preserve"> </w:t>
            </w:r>
            <w:r>
              <w:drawing>
                <wp:inline>
                  <wp:extent cx="4457700" cy="2414016"/>
                  <wp:effectExtent b="0" l="0" r="0" t="0"/>
                  <wp:docPr descr="A diagram is shown. An upward facing arrow is drawn to the far left of the chart and is labeled “H increasing.” A horizontal line is drawn at the bottom of the chart. A downward-facing, vertical arrow to the left side of this line is labeled, “Overall change.” Beside this arrow is another label, “capital delta H subscript f, equals negative 553.5 k J per mol, ( Enthalpy of formation ).” Three horizontal lines, one above the other, and all above the bottom line, are labeled, from bottom to top, as: “C s ( s ), plus sign, one half F subscript 2, ( g ),” “C s ( g ), plus sign, one half F subscript 2, ( g ),” and “C s, superscript positive sign, ( g ), plus sign, one half F subscript 2, ( g ).” Each of these lines is connected by an upward-facing vertical arrow. Each arrow is labeled, “capital delta H subscript 1, equals 76.5 k J per mol, ( Enthalpy of sublimation ),” “capital delta H subscript 2, equals 375.7 k J per mol, ( ionization energy ),” and “capital delta H subscript 3 equals 79.4 k J / mol ( one half dissociation energy ).” Another horizontal line is drawn in the center top portion of the diagram and is labeled “C s, superscript positive sign, ( g ), plus sign, F, ( g ).” There is one more horizontal line drawn to the right of the overall diagram and located halfway down the image. An arrow connects the top line to this line and is labeled, “capital delta H equals negative 328.2 k J / mol ( electron affinity ).” The line is labeled, “C s superscript positive sign ( g ) plus F superscript negative sign ( g ).” The arrow connecting this line to the bottom line is labeled, “negative capital delta H subscript lattice equals negative 756.9 k J / mol.” The arrow points to a label on the bottom line which reads, “C s F ( s ).”" title="" id="72" name="Picture"/>
                  <a:graphic>
                    <a:graphicData uri="http://schemas.openxmlformats.org/drawingml/2006/picture">
                      <pic:pic>
                        <pic:nvPicPr>
                          <pic:cNvPr descr="../resources/1077f19e740bef359a6e315dd5c54400fd60a30f" id="73" name="Picture"/>
                          <pic:cNvPicPr>
                            <a:picLocks noChangeArrowheads="1" noChangeAspect="1"/>
                          </pic:cNvPicPr>
                        </pic:nvPicPr>
                        <pic:blipFill>
                          <a:blip r:embed="rId71"/>
                          <a:stretch>
                            <a:fillRect/>
                          </a:stretch>
                        </pic:blipFill>
                        <pic:spPr bwMode="auto">
                          <a:xfrm>
                            <a:off x="0" y="0"/>
                            <a:ext cx="4457700" cy="2414016"/>
                          </a:xfrm>
                          <a:prstGeom prst="rect">
                            <a:avLst/>
                          </a:prstGeom>
                          <a:noFill/>
                          <a:ln w="9525">
                            <a:noFill/>
                            <a:headEnd/>
                            <a:tailEnd/>
                          </a:ln>
                        </pic:spPr>
                      </pic:pic>
                    </a:graphicData>
                  </a:graphic>
                </wp:inline>
              </w:drawing>
            </w:r>
            <w:r>
              <w:t xml:space="preserve"> </w:t>
            </w:r>
            <w:bookmarkEnd w:id="74"/>
          </w:p>
        </w:tc>
      </w:tr>
    </w:tbl>
    <w:p>
      <w:pPr>
        <w:pStyle w:val="TextBody"/>
      </w:pPr>
      <w:r>
        <w:t xml:space="preserve">Figure</w:t>
      </w:r>
      <w:r>
        <w:t xml:space="preserve"> </w:t>
      </w:r>
      <w:r>
        <w:t xml:space="preserve"> </w:t>
      </w:r>
      <w:r>
        <w:t xml:space="preserve">7.13</w:t>
      </w:r>
      <w:r>
        <w:t xml:space="preserve"> </w:t>
      </w:r>
      <w:r>
        <w:t xml:space="preserve"> </w:t>
      </w:r>
      <w:r>
        <w:t xml:space="preserve"> </w:t>
      </w:r>
      <w:r>
        <w:t xml:space="preserve">The Born-Haber cycle shows the relative energies of each step involved in the formation of an ionic solid from the necessary elements in their reference states.</w:t>
      </w:r>
    </w:p>
    <w:p>
      <w:pPr>
        <w:pStyle w:val="TextBody"/>
      </w:pPr>
      <w:r>
        <w:t xml:space="preserve">We begin with the elements in their most common states, Cs(</w:t>
      </w:r>
      <w:r>
        <w:rPr>
          <w:iCs/>
          <w:i/>
        </w:rPr>
        <w:t xml:space="preserve">s</w:t>
      </w:r>
      <w:r>
        <w:t xml:space="preserve">) and F</w:t>
      </w:r>
      <w:r>
        <w:rPr>
          <w:vertAlign w:val="subscript"/>
        </w:rPr>
        <w:t xml:space="preserve">2</w:t>
      </w:r>
      <w:r>
        <w:t xml:space="preserve">(</w:t>
      </w:r>
      <w:r>
        <w:rPr>
          <w:iCs/>
          <w:i/>
        </w:rPr>
        <w:t xml:space="preserve">g</w:t>
      </w:r>
      <w:r>
        <w:t xml:space="preserve">). The</w:t>
      </w:r>
      <w:r>
        <w:t xml:space="preserve"> </w:t>
      </w:r>
      <m:oMath>
        <m:r>
          <m:rPr>
            <m:nor/>
            <m:sty m:val="p"/>
          </m:rPr>
          <m:t>Δ</m:t>
        </m:r>
        <m:sSubSup>
          <m:e>
            <m:r>
              <m:t>H</m:t>
            </m:r>
          </m:e>
          <m:sub>
            <m:r>
              <m:t>s</m:t>
            </m:r>
          </m:sub>
          <m:sup>
            <m:sSup>
              <m:e>
                <m:r>
                  <m:t>​</m:t>
                </m:r>
              </m:e>
              <m:sup>
                <m:r>
                  <m:rPr>
                    <m:sty m:val="p"/>
                  </m:rPr>
                  <m:t>∘</m:t>
                </m:r>
              </m:sup>
            </m:sSup>
          </m:sup>
        </m:sSubSup>
      </m:oMath>
      <w:r>
        <w:t xml:space="preserve"> </w:t>
      </w:r>
      <w:r>
        <w:t xml:space="preserve">represents the conversion of solid cesium into a gas, and then the ionization energy converts the gaseous cesium atoms into cations. In the next step, we account for the energy required to break the F–F bond to produce fluorine atoms. Converting one mole of fluorine atoms into fluoride ions is an exothermic process, so this step gives off energy (the electron affinity) and is shown as decreasing along the</w:t>
      </w:r>
      <w:r>
        <w:t xml:space="preserve"> </w:t>
      </w:r>
      <w:r>
        <w:rPr>
          <w:iCs/>
          <w:i/>
        </w:rPr>
        <w:t xml:space="preserve">y</w:t>
      </w:r>
      <w:r>
        <w:t xml:space="preserve">-axis. We now have one mole of Cs cations and one mole of F anions. These ions combine to produce solid cesium fluoride. The enthalpy change in this step is the negative of the lattice energy, so it is also an exothermic quantity. The total energy involved in this conversion is equal to the experimentally determined enthalpy of formation,</w:t>
      </w:r>
      <w:r>
        <w:t xml:space="preserve"> </w:t>
      </w:r>
      <m:oMath>
        <m:r>
          <m:rPr>
            <m:nor/>
            <m:sty m:val="p"/>
          </m:rPr>
          <m:t>Δ</m:t>
        </m:r>
        <m:sSubSup>
          <m:e>
            <m:r>
              <m:t>H</m:t>
            </m:r>
          </m:e>
          <m:sub>
            <m:r>
              <m:rPr>
                <m:nor/>
                <m:sty m:val="p"/>
              </m:rPr>
              <m:t>f</m:t>
            </m:r>
          </m:sub>
          <m:sup>
            <m:sSup>
              <m:e>
                <m:r>
                  <m:t>​</m:t>
                </m:r>
              </m:e>
              <m:sup>
                <m:r>
                  <m:rPr>
                    <m:sty m:val="p"/>
                  </m:rPr>
                  <m:t>∘</m:t>
                </m:r>
              </m:sup>
            </m:sSup>
          </m:sup>
        </m:sSubSup>
        <m:r>
          <m:rPr>
            <m:sty m:val="p"/>
          </m:rPr>
          <m:t>,</m:t>
        </m:r>
      </m:oMath>
      <w:r>
        <w:t xml:space="preserve"> </w:t>
      </w:r>
      <w:r>
        <w:t xml:space="preserve">of the compound from its elements. In this case, the overall change is exothermic.</w:t>
      </w:r>
    </w:p>
    <w:p>
      <w:pPr>
        <w:pStyle w:val="TextBody"/>
      </w:pPr>
      <w:r>
        <w:t xml:space="preserve">Hess’s law can also be used to show the relationship between the enthalpies of the individual steps and the enthalpy of formation.</w:t>
      </w:r>
      <w:r>
        <w:t xml:space="preserve"> </w:t>
      </w:r>
      <w:hyperlink w:anchor="fs-idm33829552">
        <w:r>
          <w:rPr>
            <w:rStyle w:val="InternetLink"/>
          </w:rPr>
          <w:t xml:space="preserve">Table 7.4</w:t>
        </w:r>
      </w:hyperlink>
      <w:r>
        <w:t xml:space="preserve"> </w:t>
      </w:r>
      <w:r>
        <w:t xml:space="preserve">shows this for fluoride, CsF.</w:t>
      </w:r>
    </w:p>
    <w:bookmarkStart w:id="78" w:name="fs-idm33829552"/>
    <w:tbl>
      <w:tblPr>
        <w:tblStyle w:val="Table"/>
        <w:tblW w:type="auto" w:w="0"/>
        <w:tblLook w:firstRow="0" w:lastRow="0" w:firstColumn="0" w:lastColumn="0" w:noHBand="0" w:noVBand="0" w:val="0000"/>
        <w:jc w:val="start"/>
      </w:tblPr>
      <w:tblGrid>
        <w:gridCol w:w="2640"/>
        <w:gridCol w:w="2640"/>
        <w:gridCol w:w="2640"/>
      </w:tblGrid>
      <w:tr>
        <w:tc>
          <w:tcPr/>
          <w:p>
            <w:pPr>
              <w:pStyle w:val="Compact"/>
              <w:jc w:val="left"/>
            </w:pPr>
            <w:r>
              <w:t xml:space="preserve">Enthalpy of sublimation of Cs(</w:t>
            </w:r>
            <w:r>
              <w:rPr>
                <w:iCs/>
                <w:i/>
              </w:rPr>
              <w:t xml:space="preserve">s</w:t>
            </w:r>
            <w:r>
              <w:t xml:space="preserve">)</w:t>
            </w:r>
          </w:p>
        </w:tc>
        <w:tc>
          <w:tcPr/>
          <w:p>
            <w:pPr>
              <w:pStyle w:val="Compact"/>
              <w:jc w:val="left"/>
            </w:pPr>
            <m:oMath>
              <m:r>
                <m:rPr>
                  <m:nor/>
                  <m:sty m:val="p"/>
                </m:rPr>
                <m:t>Cs</m:t>
              </m:r>
              <m:d>
                <m:dPr>
                  <m:begChr m:val="("/>
                  <m:endChr m:val=")"/>
                  <m:sepChr m:val=""/>
                  <m:grow/>
                </m:dPr>
                <m:e>
                  <m:r>
                    <m:t>s</m:t>
                  </m:r>
                </m:e>
              </m:d>
              <m:r>
                <m:t> </m:t>
              </m:r>
              <m:r>
                <m:rPr>
                  <m:sty m:val="p"/>
                </m:rPr>
                <m:t>→</m:t>
              </m:r>
              <m:r>
                <m:t> </m:t>
              </m:r>
              <m:r>
                <m:rPr>
                  <m:nor/>
                  <m:sty m:val="p"/>
                </m:rPr>
                <m:t>Cs</m:t>
              </m:r>
              <m:d>
                <m:dPr>
                  <m:begChr m:val="("/>
                  <m:endChr m:val=")"/>
                  <m:sepChr m:val=""/>
                  <m:grow/>
                </m:dPr>
                <m:e>
                  <m:r>
                    <m:t>g</m:t>
                  </m:r>
                </m:e>
              </m:d>
            </m:oMath>
          </w:p>
        </w:tc>
        <w:tc>
          <w:tcPr/>
          <w:p>
            <w:pPr>
              <w:pStyle w:val="Compact"/>
              <w:jc w:val="left"/>
            </w:pPr>
            <m:oMath>
              <m:r>
                <m:rPr>
                  <m:nor/>
                  <m:sty m:val="p"/>
                </m:rPr>
                <m:t>Δ</m:t>
              </m:r>
              <m:r>
                <m:t>H</m:t>
              </m:r>
              <m:r>
                <m:rPr>
                  <m:sty m:val="p"/>
                </m:rPr>
                <m:t>=</m:t>
              </m:r>
              <m:r>
                <m:rPr>
                  <m:nor/>
                  <m:sty m:val="p"/>
                </m:rPr>
                <m:t>Δ</m:t>
              </m:r>
              <m:sSubSup>
                <m:e>
                  <m:r>
                    <m:t>H</m:t>
                  </m:r>
                </m:e>
                <m:sub>
                  <m:r>
                    <m:t>s</m:t>
                  </m:r>
                </m:sub>
                <m:sup>
                  <m:sSup>
                    <m:e>
                      <m:r>
                        <m:t>​</m:t>
                      </m:r>
                    </m:e>
                    <m:sup>
                      <m:r>
                        <m:rPr>
                          <m:sty m:val="p"/>
                        </m:rPr>
                        <m:t>∘</m:t>
                      </m:r>
                    </m:sup>
                  </m:sSup>
                </m:sup>
              </m:sSubSup>
              <m:r>
                <m:rPr>
                  <m:sty m:val="p"/>
                </m:rPr>
                <m:t>=</m:t>
              </m:r>
              <m:r>
                <m:t>76.5</m:t>
              </m:r>
              <m:r>
                <m:rPr>
                  <m:nor/>
                  <m:sty m:val="p"/>
                </m:rPr>
                <m:t>kJ/mol</m:t>
              </m:r>
            </m:oMath>
          </w:p>
        </w:tc>
      </w:tr>
      <w:tr>
        <w:tc>
          <w:tcPr/>
          <w:p>
            <w:pPr>
              <w:pStyle w:val="Compact"/>
              <w:jc w:val="left"/>
            </w:pPr>
            <w:r>
              <w:t xml:space="preserve">One-half of the bond energy of F</w:t>
            </w:r>
            <w:r>
              <w:rPr>
                <w:vertAlign w:val="subscript"/>
              </w:rPr>
              <w:t xml:space="preserve">2</w:t>
            </w:r>
          </w:p>
        </w:tc>
        <w:tc>
          <w:tcPr/>
          <w:p>
            <w:pPr>
              <w:pStyle w:val="Compact"/>
              <w:jc w:val="left"/>
            </w:pPr>
            <m:oMath>
              <m:f>
                <m:fPr>
                  <m:type m:val="bar"/>
                </m:fPr>
                <m:num>
                  <m:r>
                    <m:t>1</m:t>
                  </m:r>
                </m:num>
                <m:den>
                  <m:r>
                    <m:t>2</m:t>
                  </m:r>
                </m:den>
              </m:f>
              <m:r>
                <m:t> </m:t>
              </m:r>
              <m:sSub>
                <m:e>
                  <m:r>
                    <m:rPr>
                      <m:nor/>
                      <m:sty m:val="p"/>
                    </m:rPr>
                    <m:t>F</m:t>
                  </m:r>
                </m:e>
                <m:sub>
                  <m:r>
                    <m:t>2</m:t>
                  </m:r>
                </m:sub>
              </m:sSub>
              <m:d>
                <m:dPr>
                  <m:begChr m:val="("/>
                  <m:endChr m:val=")"/>
                  <m:sepChr m:val=""/>
                  <m:grow/>
                </m:dPr>
                <m:e>
                  <m:r>
                    <m:t>g</m:t>
                  </m:r>
                </m:e>
              </m:d>
              <m:r>
                <m:t> </m:t>
              </m:r>
              <m:r>
                <m:rPr>
                  <m:sty m:val="p"/>
                </m:rPr>
                <m:t>→</m:t>
              </m:r>
              <m:r>
                <m:t> </m:t>
              </m:r>
              <m:r>
                <m:rPr>
                  <m:nor/>
                  <m:sty m:val="p"/>
                </m:rPr>
                <m:t>F</m:t>
              </m:r>
              <m:d>
                <m:dPr>
                  <m:begChr m:val="("/>
                  <m:endChr m:val=")"/>
                  <m:sepChr m:val=""/>
                  <m:grow/>
                </m:dPr>
                <m:e>
                  <m:r>
                    <m:t>g</m:t>
                  </m:r>
                </m:e>
              </m:d>
            </m:oMath>
          </w:p>
        </w:tc>
        <w:tc>
          <w:tcPr/>
          <w:p>
            <w:pPr>
              <w:pStyle w:val="Compact"/>
              <w:jc w:val="left"/>
            </w:pPr>
            <m:oMath>
              <m:r>
                <m:rPr>
                  <m:nor/>
                  <m:sty m:val="p"/>
                </m:rPr>
                <m:t>Δ</m:t>
              </m:r>
              <m:r>
                <m:t>H</m:t>
              </m:r>
              <m:r>
                <m:rPr>
                  <m:sty m:val="p"/>
                </m:rPr>
                <m:t>=</m:t>
              </m:r>
              <m:r>
                <m:t> </m:t>
              </m:r>
              <m:f>
                <m:fPr>
                  <m:type m:val="bar"/>
                </m:fPr>
                <m:num>
                  <m:r>
                    <m:t>1</m:t>
                  </m:r>
                </m:num>
                <m:den>
                  <m:r>
                    <m:t>2</m:t>
                  </m:r>
                </m:den>
              </m:f>
              <m:r>
                <m:t> </m:t>
              </m:r>
              <m:r>
                <m:t>D</m:t>
              </m:r>
              <m:r>
                <m:rPr>
                  <m:sty m:val="p"/>
                </m:rPr>
                <m:t>=</m:t>
              </m:r>
              <m:r>
                <m:t>79.4</m:t>
              </m:r>
              <m:r>
                <m:rPr>
                  <m:nor/>
                  <m:sty m:val="p"/>
                </m:rPr>
                <m:t>kJ/mol</m:t>
              </m:r>
            </m:oMath>
          </w:p>
        </w:tc>
      </w:tr>
      <w:tr>
        <w:tc>
          <w:tcPr/>
          <w:p>
            <w:pPr>
              <w:pStyle w:val="Compact"/>
              <w:jc w:val="left"/>
            </w:pPr>
            <w:r>
              <w:t xml:space="preserve">Ionization energy of Cs(</w:t>
            </w:r>
            <w:r>
              <w:rPr>
                <w:iCs/>
                <w:i/>
              </w:rPr>
              <w:t xml:space="preserve">g</w:t>
            </w:r>
            <w:r>
              <w:t xml:space="preserve">)</w:t>
            </w:r>
          </w:p>
        </w:tc>
        <w:tc>
          <w:tcPr/>
          <w:p>
            <w:pPr>
              <w:pStyle w:val="Compact"/>
              <w:jc w:val="left"/>
            </w:pPr>
            <m:oMath>
              <m:r>
                <m:rPr>
                  <m:nor/>
                  <m:sty m:val="p"/>
                </m:rPr>
                <m:t>Cs</m:t>
              </m:r>
              <m:d>
                <m:dPr>
                  <m:begChr m:val="("/>
                  <m:endChr m:val=")"/>
                  <m:sepChr m:val=""/>
                  <m:grow/>
                </m:dPr>
                <m:e>
                  <m:r>
                    <m:t>g</m:t>
                  </m:r>
                </m:e>
              </m:d>
              <m:r>
                <m:t> </m:t>
              </m:r>
              <m:r>
                <m:rPr>
                  <m:sty m:val="p"/>
                </m:rPr>
                <m:t>→</m:t>
              </m:r>
              <m:r>
                <m:t> </m:t>
              </m:r>
              <m:sSup>
                <m:e>
                  <m:r>
                    <m:rPr>
                      <m:nor/>
                      <m:sty m:val="p"/>
                    </m:rPr>
                    <m:t>Cs</m:t>
                  </m:r>
                </m:e>
                <m:sup>
                  <m:r>
                    <m:rPr>
                      <m:nor/>
                      <m:sty m:val="p"/>
                    </m:rPr>
                    <m:t>+</m:t>
                  </m:r>
                </m:sup>
              </m:sSup>
              <m:d>
                <m:dPr>
                  <m:begChr m:val="("/>
                  <m:endChr m:val=")"/>
                  <m:sepChr m:val=""/>
                  <m:grow/>
                </m:dPr>
                <m:e>
                  <m:r>
                    <m:t>g</m:t>
                  </m:r>
                </m:e>
              </m:d>
              <m:r>
                <m:rPr>
                  <m:sty m:val="p"/>
                </m:rPr>
                <m:t>+</m:t>
              </m:r>
              <m:sSup>
                <m:e>
                  <m:r>
                    <m:rPr>
                      <m:nor/>
                      <m:sty m:val="p"/>
                    </m:rPr>
                    <m:t>e</m:t>
                  </m:r>
                </m:e>
                <m:sup>
                  <m:r>
                    <m:rPr>
                      <m:nor/>
                      <m:sty m:val="p"/>
                    </m:rPr>
                    <m:t>−</m:t>
                  </m:r>
                </m:sup>
              </m:sSup>
            </m:oMath>
          </w:p>
        </w:tc>
        <w:tc>
          <w:tcPr/>
          <w:p>
            <w:pPr>
              <w:pStyle w:val="Compact"/>
              <w:jc w:val="left"/>
            </w:pPr>
            <m:oMath>
              <m:r>
                <m:rPr>
                  <m:nor/>
                  <m:sty m:val="p"/>
                </m:rPr>
                <m:t>Δ</m:t>
              </m:r>
              <m:r>
                <m:t>H</m:t>
              </m:r>
              <m:r>
                <m:rPr>
                  <m:sty m:val="p"/>
                </m:rPr>
                <m:t>=</m:t>
              </m:r>
              <m:r>
                <m:t>I</m:t>
              </m:r>
              <m:r>
                <m:t>E</m:t>
              </m:r>
              <m:r>
                <m:rPr>
                  <m:sty m:val="p"/>
                </m:rPr>
                <m:t>=</m:t>
              </m:r>
              <m:r>
                <m:t>375.7</m:t>
              </m:r>
              <m:r>
                <m:rPr>
                  <m:nor/>
                  <m:sty m:val="p"/>
                </m:rPr>
                <m:t>kJ/mol</m:t>
              </m:r>
            </m:oMath>
          </w:p>
        </w:tc>
      </w:tr>
      <w:tr>
        <w:tc>
          <w:tcPr/>
          <w:p>
            <w:pPr>
              <w:pStyle w:val="Compact"/>
              <w:jc w:val="left"/>
            </w:pPr>
            <w:r>
              <w:t xml:space="preserve">Electron affinity of F</w:t>
            </w:r>
          </w:p>
        </w:tc>
        <w:tc>
          <w:tcPr/>
          <w:p>
            <w:pPr>
              <w:pStyle w:val="Compact"/>
              <w:jc w:val="left"/>
            </w:pPr>
            <m:oMath>
              <m:r>
                <m:rPr>
                  <m:nor/>
                  <m:sty m:val="p"/>
                </m:rPr>
                <m:t>F</m:t>
              </m:r>
              <m:d>
                <m:dPr>
                  <m:begChr m:val="("/>
                  <m:endChr m:val=")"/>
                  <m:sepChr m:val=""/>
                  <m:grow/>
                </m:dPr>
                <m:e>
                  <m:r>
                    <m:t>g</m:t>
                  </m:r>
                </m:e>
              </m:d>
              <m:r>
                <m:rPr>
                  <m:sty m:val="p"/>
                </m:rPr>
                <m:t>+</m:t>
              </m:r>
              <m:sSup>
                <m:e>
                  <m:r>
                    <m:rPr>
                      <m:nor/>
                      <m:sty m:val="p"/>
                    </m:rPr>
                    <m:t>e</m:t>
                  </m:r>
                </m:e>
                <m:sup>
                  <m:r>
                    <m:rPr>
                      <m:nor/>
                      <m:sty m:val="p"/>
                    </m:rPr>
                    <m:t>−</m:t>
                  </m:r>
                </m:sup>
              </m:sSup>
              <m:r>
                <m:t> </m:t>
              </m:r>
              <m:r>
                <m:rPr>
                  <m:sty m:val="p"/>
                </m:rPr>
                <m:t>→</m:t>
              </m:r>
              <m:r>
                <m:t> </m:t>
              </m:r>
              <m:sSup>
                <m:e>
                  <m:r>
                    <m:rPr>
                      <m:nor/>
                      <m:sty m:val="p"/>
                    </m:rPr>
                    <m:t>F</m:t>
                  </m:r>
                </m:e>
                <m:sup>
                  <m:r>
                    <m:rPr>
                      <m:nor/>
                      <m:sty m:val="p"/>
                    </m:rPr>
                    <m:t>−</m:t>
                  </m:r>
                </m:sup>
              </m:sSup>
              <m:d>
                <m:dPr>
                  <m:begChr m:val="("/>
                  <m:endChr m:val=")"/>
                  <m:sepChr m:val=""/>
                  <m:grow/>
                </m:dPr>
                <m:e>
                  <m:r>
                    <m:t>g</m:t>
                  </m:r>
                </m:e>
              </m:d>
            </m:oMath>
          </w:p>
        </w:tc>
        <w:tc>
          <w:tcPr/>
          <w:p>
            <w:pPr>
              <w:pStyle w:val="Compact"/>
              <w:jc w:val="left"/>
            </w:pPr>
            <m:oMath>
              <m:r>
                <m:rPr>
                  <m:nor/>
                  <m:sty m:val="p"/>
                </m:rPr>
                <m:t>Δ</m:t>
              </m:r>
              <m:r>
                <m:t>H</m:t>
              </m:r>
              <m:r>
                <m:rPr>
                  <m:sty m:val="p"/>
                </m:rPr>
                <m:t>=</m:t>
              </m:r>
              <m:r>
                <m:t>E</m:t>
              </m:r>
              <m:r>
                <m:t>A</m:t>
              </m:r>
              <m:r>
                <m:rPr>
                  <m:sty m:val="p"/>
                </m:rPr>
                <m:t>=</m:t>
              </m:r>
              <m:r>
                <m:rPr>
                  <m:sty m:val="p"/>
                </m:rPr>
                <m:t>−</m:t>
              </m:r>
              <m:r>
                <m:t>328.2</m:t>
              </m:r>
              <m:r>
                <m:rPr>
                  <m:nor/>
                  <m:sty m:val="p"/>
                </m:rPr>
                <m:t>kJ/mol</m:t>
              </m:r>
            </m:oMath>
          </w:p>
        </w:tc>
      </w:tr>
      <w:tr>
        <w:tc>
          <w:tcPr/>
          <w:p>
            <w:pPr>
              <w:pStyle w:val="Compact"/>
              <w:jc w:val="left"/>
            </w:pPr>
            <w:r>
              <w:t xml:space="preserve">Negative of the lattice energy of CsF(</w:t>
            </w:r>
            <w:r>
              <w:rPr>
                <w:iCs/>
                <w:i/>
              </w:rPr>
              <w:t xml:space="preserve">s</w:t>
            </w:r>
            <w:r>
              <w:t xml:space="preserve">)</w:t>
            </w:r>
          </w:p>
        </w:tc>
        <w:tc>
          <w:tcPr/>
          <w:p>
            <w:pPr>
              <w:pStyle w:val="Compact"/>
              <w:jc w:val="left"/>
            </w:pPr>
            <m:oMath>
              <m:sSup>
                <m:e>
                  <m:r>
                    <m:rPr>
                      <m:nor/>
                      <m:sty m:val="p"/>
                    </m:rPr>
                    <m:t>Cs</m:t>
                  </m:r>
                </m:e>
                <m:sup>
                  <m:r>
                    <m:rPr>
                      <m:nor/>
                      <m:sty m:val="p"/>
                    </m:rPr>
                    <m:t>+</m:t>
                  </m:r>
                </m:sup>
              </m:sSup>
              <m:d>
                <m:dPr>
                  <m:begChr m:val="("/>
                  <m:endChr m:val=")"/>
                  <m:sepChr m:val=""/>
                  <m:grow/>
                </m:dPr>
                <m:e>
                  <m:r>
                    <m:t>g</m:t>
                  </m:r>
                </m:e>
              </m:d>
              <m:r>
                <m:rPr>
                  <m:sty m:val="p"/>
                </m:rPr>
                <m:t>+</m:t>
              </m:r>
              <m:sSup>
                <m:e>
                  <m:r>
                    <m:rPr>
                      <m:nor/>
                      <m:sty m:val="p"/>
                    </m:rPr>
                    <m:t>F</m:t>
                  </m:r>
                </m:e>
                <m:sup>
                  <m:r>
                    <m:rPr>
                      <m:nor/>
                      <m:sty m:val="p"/>
                    </m:rPr>
                    <m:t>−</m:t>
                  </m:r>
                </m:sup>
              </m:sSup>
              <m:d>
                <m:dPr>
                  <m:begChr m:val="("/>
                  <m:endChr m:val=")"/>
                  <m:sepChr m:val=""/>
                  <m:grow/>
                </m:dPr>
                <m:e>
                  <m:r>
                    <m:t>g</m:t>
                  </m:r>
                </m:e>
              </m:d>
              <m:r>
                <m:t> </m:t>
              </m:r>
              <m:r>
                <m:rPr>
                  <m:sty m:val="p"/>
                </m:rPr>
                <m:t>→</m:t>
              </m:r>
              <m:r>
                <m:t> </m:t>
              </m:r>
              <m:r>
                <m:rPr>
                  <m:nor/>
                  <m:sty m:val="p"/>
                </m:rPr>
                <m:t>CsF</m:t>
              </m:r>
              <m:d>
                <m:dPr>
                  <m:begChr m:val="("/>
                  <m:endChr m:val=")"/>
                  <m:sepChr m:val=""/>
                  <m:grow/>
                </m:dPr>
                <m:e>
                  <m:r>
                    <m:t>s</m:t>
                  </m:r>
                </m:e>
              </m:d>
            </m:oMath>
          </w:p>
        </w:tc>
        <w:tc>
          <w:tcPr/>
          <w:p>
            <w:pPr>
              <w:pStyle w:val="Compact"/>
              <w:jc w:val="left"/>
            </w:pPr>
            <m:oMath>
              <m:r>
                <m:rPr>
                  <m:nor/>
                  <m:sty m:val="p"/>
                </m:rPr>
                <m:t>Δ</m:t>
              </m:r>
              <m:r>
                <m:t>H</m:t>
              </m:r>
              <m:r>
                <m:rPr>
                  <m:sty m:val="p"/>
                </m:rPr>
                <m:t>=</m:t>
              </m:r>
              <m:r>
                <m:rPr>
                  <m:nor/>
                  <m:sty m:val="p"/>
                </m:rPr>
                <m:t>−Δ</m:t>
              </m:r>
              <m:sSub>
                <m:e>
                  <m:r>
                    <m:t>H</m:t>
                  </m:r>
                </m:e>
                <m:sub>
                  <m:r>
                    <m:rPr>
                      <m:nor/>
                      <m:sty m:val="p"/>
                    </m:rPr>
                    <m:t>lattice</m:t>
                  </m:r>
                </m:sub>
              </m:sSub>
              <m:r>
                <m:rPr>
                  <m:sty m:val="p"/>
                </m:rPr>
                <m:t>=</m:t>
              </m:r>
              <m:r>
                <m:rPr>
                  <m:sty m:val="p"/>
                </m:rPr>
                <m:t>?</m:t>
              </m:r>
            </m:oMath>
          </w:p>
        </w:tc>
      </w:tr>
      <w:tr>
        <w:tc>
          <w:tcPr/>
          <w:p>
            <w:pPr>
              <w:pStyle w:val="Compact"/>
              <w:jc w:val="left"/>
            </w:pPr>
            <w:r>
              <w:t xml:space="preserve">Enthalpy of formation of CsF(</w:t>
            </w:r>
            <w:r>
              <w:rPr>
                <w:iCs/>
                <w:i/>
              </w:rPr>
              <w:t xml:space="preserve">s</w:t>
            </w:r>
            <w:r>
              <w:t xml:space="preserve">), add steps 1–5</w:t>
            </w:r>
          </w:p>
        </w:tc>
        <w:tc>
          <w:tcPr/>
          <w:p>
            <w:pPr>
              <w:pStyle w:val="Compact"/>
              <w:jc w:val="left"/>
            </w:pPr>
            <w:r>
              <w:drawing>
                <wp:inline>
                  <wp:extent cx="3600450" cy="419100"/>
                  <wp:effectExtent b="0" l="0" r="0" t="0"/>
                  <wp:docPr descr="None" title="" id="76" name="Picture"/>
                  <a:graphic>
                    <a:graphicData uri="http://schemas.openxmlformats.org/drawingml/2006/picture">
                      <pic:pic>
                        <pic:nvPicPr>
                          <pic:cNvPr descr="../resources/aa2fc3f02df46e7b0b44957f8b404741330276c5" id="77" name="Picture"/>
                          <pic:cNvPicPr>
                            <a:picLocks noChangeArrowheads="1" noChangeAspect="1"/>
                          </pic:cNvPicPr>
                        </pic:nvPicPr>
                        <pic:blipFill>
                          <a:blip r:embed="rId75"/>
                          <a:stretch>
                            <a:fillRect/>
                          </a:stretch>
                        </pic:blipFill>
                        <pic:spPr bwMode="auto">
                          <a:xfrm>
                            <a:off x="0" y="0"/>
                            <a:ext cx="3600450" cy="419100"/>
                          </a:xfrm>
                          <a:prstGeom prst="rect">
                            <a:avLst/>
                          </a:prstGeom>
                          <a:noFill/>
                          <a:ln w="9525">
                            <a:noFill/>
                            <a:headEnd/>
                            <a:tailEnd/>
                          </a:ln>
                        </pic:spPr>
                      </pic:pic>
                    </a:graphicData>
                  </a:graphic>
                </wp:inline>
              </w:drawing>
            </w:r>
          </w:p>
        </w:tc>
        <w:tc>
          <w:tcPr/>
          <w:p>
            <w:pPr>
              <w:pStyle w:val="Compact"/>
              <w:jc w:val="left"/>
            </w:pPr>
            <m:oMath>
              <m:r>
                <m:rPr>
                  <m:nor/>
                  <m:sty m:val="p"/>
                </m:rPr>
                <m:t>Δ</m:t>
              </m:r>
              <m:r>
                <m:t>H</m:t>
              </m:r>
              <m:r>
                <m:rPr>
                  <m:sty m:val="p"/>
                </m:rPr>
                <m:t>=</m:t>
              </m:r>
              <m:r>
                <m:rPr>
                  <m:sty m:val="p"/>
                </m:rPr>
                <m:t>−</m:t>
              </m:r>
              <m:r>
                <m:t>553.5</m:t>
              </m:r>
              <m:r>
                <m:rPr>
                  <m:nor/>
                  <m:sty m:val="p"/>
                </m:rPr>
                <m:t>kJ/mol</m:t>
              </m:r>
            </m:oMath>
          </w:p>
        </w:tc>
      </w:tr>
    </w:tbl>
    <w:bookmarkEnd w:id="78"/>
    <w:p>
      <w:pPr>
        <w:pStyle w:val="TextBody"/>
      </w:pPr>
      <w:r>
        <w:t xml:space="preserve">Table</w:t>
      </w:r>
      <w:r>
        <w:t xml:space="preserve"> </w:t>
      </w:r>
      <w:r>
        <w:t xml:space="preserve"> </w:t>
      </w:r>
      <w:r>
        <w:t xml:space="preserve">7.4</w:t>
      </w:r>
      <w:r>
        <w:t xml:space="preserve"> </w:t>
      </w:r>
      <w:r>
        <w:t xml:space="preserve"> </w:t>
      </w:r>
      <w:r>
        <w:t xml:space="preserve"> </w:t>
      </w:r>
      <w:r>
        <w:t xml:space="preserve"> </w:t>
      </w:r>
    </w:p>
    <w:p>
      <w:pPr>
        <w:pStyle w:val="TextBody"/>
      </w:pPr>
      <w:r>
        <w:t xml:space="preserve">Thus, the lattice energy can be calculated from other values. For cesium fluoride, using this data, the lattice energy is:</w:t>
      </w:r>
    </w:p>
    <w:bookmarkStart w:id="79" w:name="fs-idp37818096"/>
    <w:p>
      <w:pPr>
        <w:pStyle w:val="TextBody"/>
      </w:pPr>
      <m:oMath>
        <m:r>
          <m:rPr>
            <m:nor/>
            <m:sty m:val="p"/>
          </m:rPr>
          <m:t>Δ</m:t>
        </m:r>
        <m:sSub>
          <m:e>
            <m:r>
              <m:t>H</m:t>
            </m:r>
          </m:e>
          <m:sub>
            <m:r>
              <m:rPr>
                <m:nor/>
                <m:sty m:val="p"/>
              </m:rPr>
              <m:t>lattice</m:t>
            </m:r>
          </m:sub>
        </m:sSub>
        <m:r>
          <m:rPr>
            <m:sty m:val="p"/>
          </m:rPr>
          <m:t>=</m:t>
        </m:r>
        <m:r>
          <m:t>76.5</m:t>
        </m:r>
        <m:r>
          <m:rPr>
            <m:sty m:val="p"/>
          </m:rPr>
          <m:t>+</m:t>
        </m:r>
        <m:r>
          <m:t>79.4</m:t>
        </m:r>
        <m:r>
          <m:rPr>
            <m:sty m:val="p"/>
          </m:rPr>
          <m:t>+</m:t>
        </m:r>
        <m:r>
          <m:t>375.7</m:t>
        </m:r>
        <m:r>
          <m:rPr>
            <m:sty m:val="p"/>
          </m:rPr>
          <m:t>+</m:t>
        </m:r>
        <m:d>
          <m:dPr>
            <m:begChr m:val="("/>
            <m:endChr m:val=")"/>
            <m:sepChr m:val=""/>
            <m:grow/>
          </m:dPr>
          <m:e>
            <m:r>
              <m:rPr>
                <m:sty m:val="p"/>
              </m:rPr>
              <m:t>–</m:t>
            </m:r>
            <m:r>
              <m:t>328.2</m:t>
            </m:r>
          </m:e>
        </m:d>
        <m:r>
          <m:rPr>
            <m:sty m:val="p"/>
          </m:rPr>
          <m:t>–</m:t>
        </m:r>
        <m:d>
          <m:dPr>
            <m:begChr m:val="("/>
            <m:endChr m:val=")"/>
            <m:sepChr m:val=""/>
            <m:grow/>
          </m:dPr>
          <m:e>
            <m:r>
              <m:rPr>
                <m:sty m:val="p"/>
              </m:rPr>
              <m:t>–</m:t>
            </m:r>
            <m:r>
              <m:t>553.5</m:t>
            </m:r>
          </m:e>
        </m:d>
        <m:r>
          <m:rPr>
            <m:sty m:val="p"/>
          </m:rPr>
          <m:t>=</m:t>
        </m:r>
        <m:r>
          <m:t>756.9</m:t>
        </m:r>
        <m:r>
          <m:t> </m:t>
        </m:r>
        <m:r>
          <m:rPr>
            <m:nor/>
            <m:sty m:val="p"/>
          </m:rPr>
          <m:t>kJ/mol</m:t>
        </m:r>
      </m:oMath>
    </w:p>
    <w:bookmarkEnd w:id="79"/>
    <w:p>
      <w:pPr>
        <w:pStyle w:val="TextBody"/>
      </w:pPr>
      <w:r>
        <w:t xml:space="preserve">The Born-Haber cycle may also be used to calculate any one of the other quantities in the equation for lattice energy, provided that the remainder is known. For example, if the relevant enthalpy of sublimation</w:t>
      </w:r>
      <w:r>
        <w:t xml:space="preserve"> </w:t>
      </w:r>
      <m:oMath>
        <m:r>
          <m:rPr>
            <m:nor/>
            <m:sty m:val="p"/>
          </m:rPr>
          <m:t>Δ</m:t>
        </m:r>
        <m:sSubSup>
          <m:e>
            <m:r>
              <m:t>H</m:t>
            </m:r>
          </m:e>
          <m:sub>
            <m:r>
              <m:t>s</m:t>
            </m:r>
          </m:sub>
          <m:sup>
            <m:sSup>
              <m:e>
                <m:r>
                  <m:t>​</m:t>
                </m:r>
              </m:e>
              <m:sup>
                <m:r>
                  <m:rPr>
                    <m:sty m:val="p"/>
                  </m:rPr>
                  <m:t>∘</m:t>
                </m:r>
              </m:sup>
            </m:sSup>
          </m:sup>
        </m:sSubSup>
        <m:r>
          <m:rPr>
            <m:sty m:val="p"/>
          </m:rPr>
          <m:t>,</m:t>
        </m:r>
      </m:oMath>
      <w:r>
        <w:t xml:space="preserve"> </w:t>
      </w:r>
      <w:r>
        <w:t xml:space="preserve">ionization energy (IE), bond dissociation enthalpy (D), lattice energy Δ</w:t>
      </w:r>
      <w:r>
        <w:rPr>
          <w:iCs/>
          <w:i/>
        </w:rPr>
        <w:t xml:space="preserve">H</w:t>
      </w:r>
      <w:r>
        <w:rPr>
          <w:vertAlign w:val="subscript"/>
        </w:rPr>
        <w:t xml:space="preserve">lattice,</w:t>
      </w:r>
      <w:r>
        <w:t xml:space="preserve"> </w:t>
      </w:r>
      <w:r>
        <w:t xml:space="preserve">and standard enthalpy of formation</w:t>
      </w:r>
      <w:r>
        <w:t xml:space="preserve"> </w:t>
      </w:r>
      <m:oMath>
        <m:r>
          <m:rPr>
            <m:nor/>
            <m:sty m:val="p"/>
          </m:rPr>
          <m:t>Δ</m:t>
        </m:r>
        <m:sSubSup>
          <m:e>
            <m:r>
              <m:t>H</m:t>
            </m:r>
          </m:e>
          <m:sub>
            <m:r>
              <m:rPr>
                <m:nor/>
                <m:sty m:val="p"/>
              </m:rPr>
              <m:t>f</m:t>
            </m:r>
          </m:sub>
          <m:sup>
            <m:sSup>
              <m:e>
                <m:r>
                  <m:t>​</m:t>
                </m:r>
              </m:e>
              <m:sup>
                <m:r>
                  <m:rPr>
                    <m:sty m:val="p"/>
                  </m:rPr>
                  <m:t>∘</m:t>
                </m:r>
              </m:sup>
            </m:sSup>
          </m:sup>
        </m:sSubSup>
      </m:oMath>
      <w:r>
        <w:t xml:space="preserve"> </w:t>
      </w:r>
      <w:r>
        <w:t xml:space="preserve">are known, the Born-Haber cycle can be used to determine the electron affinity of an atom.</w:t>
      </w:r>
    </w:p>
    <w:p>
      <w:pPr>
        <w:pStyle w:val="TextBody"/>
      </w:pPr>
      <w:r>
        <w:t xml:space="preserve">Lattice energies calculated for ionic compounds are typically much higher than bond dissociation energies measured for covalent bonds. Whereas lattice energies typically fall in the range of 600–4000 kJ/mol (some even higher), covalent bond dissociation energies are typically between 150–400 kJ/mol for single bonds. Keep in mind, however, that these are not directly comparable values. For ionic compounds, lattice energies are associated with many interactions, as cations and anions pack together in an extended lattice. For covalent bonds, the bond dissociation energy is associated with the interaction of just two atoms.</w:t>
      </w:r>
    </w:p>
    <w:bookmarkEnd w:id="80"/>
    <w:bookmarkEnd w:id="81"/>
    <w:bookmarkEnd w:id="82"/>
    <w:bookmarkEnd w:id="83"/>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51" Target="media/rId51.so" /><Relationship Type="http://schemas.openxmlformats.org/officeDocument/2006/relationships/image" Id="rId71" Target="media/rId71.so" /><Relationship Type="http://schemas.openxmlformats.org/officeDocument/2006/relationships/image" Id="rId24" Target="media/rId24.so" /><Relationship Type="http://schemas.openxmlformats.org/officeDocument/2006/relationships/image" Id="rId47" Target="media/rId47.so" /><Relationship Type="http://schemas.openxmlformats.org/officeDocument/2006/relationships/image" Id="rId39" Target="media/rId39.so" /><Relationship Type="http://schemas.openxmlformats.org/officeDocument/2006/relationships/image" Id="rId33" Target="media/rId33.so" /><Relationship Type="http://schemas.openxmlformats.org/officeDocument/2006/relationships/image" Id="rId43" Target="media/rId43.so" /><Relationship Type="http://schemas.openxmlformats.org/officeDocument/2006/relationships/image" Id="rId75" Target="media/rId75.so" /><Relationship Type="http://schemas.openxmlformats.org/officeDocument/2006/relationships/image" Id="rId55" Target="media/rId55.so" /><Relationship Type="http://schemas.openxmlformats.org/officeDocument/2006/relationships/hyperlink" Id="rId21" Target="http://openstax.org/books/chemistry-2e/pages/7-2-covalent-bonding#CNX_Chem_07_02_Morse" TargetMode="External" /><Relationship Type="http://schemas.openxmlformats.org/officeDocument/2006/relationships/hyperlink" Id="rId37" Target="http://openstax.org/books/chemistry-2e/pages/g-standard-thermodynamic-properties-for-selected-substances"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1" Target="http://openstax.org/books/chemistry-2e/pages/7-2-covalent-bonding#CNX_Chem_07_02_Morse" TargetMode="External" /><Relationship Type="http://schemas.openxmlformats.org/officeDocument/2006/relationships/hyperlink" Id="rId37" Target="http://openstax.org/books/chemistry-2e/pages/g-standard-thermodynamic-properties-for-selected-substanc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2025-01-24T22:28:35Z</dcterms:created>
  <dcterms:modified xsi:type="dcterms:W3CDTF">2025-01-24T22:28:35Z</dcterms:modified>
</cp:coreProperties>
</file>

<file path=docProps/custom.xml><?xml version="1.0" encoding="utf-8"?>
<Properties xmlns="http://schemas.openxmlformats.org/officeDocument/2006/custom-properties" xmlns:vt="http://schemas.openxmlformats.org/officeDocument/2006/docPropsVTypes"/>
</file>